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08A9" w14:textId="77777777" w:rsidR="004B7828" w:rsidRDefault="004B7828" w:rsidP="00913869"/>
    <w:tbl>
      <w:tblPr>
        <w:tblW w:w="0" w:type="auto"/>
        <w:tblLook w:val="04A0" w:firstRow="1" w:lastRow="0" w:firstColumn="1" w:lastColumn="0" w:noHBand="0" w:noVBand="1"/>
      </w:tblPr>
      <w:tblGrid>
        <w:gridCol w:w="7890"/>
        <w:gridCol w:w="849"/>
      </w:tblGrid>
      <w:tr w:rsidR="00534A91" w:rsidRPr="00007C4E" w14:paraId="0E922F1C" w14:textId="77777777" w:rsidTr="00BF4FE9">
        <w:tc>
          <w:tcPr>
            <w:tcW w:w="8755" w:type="dxa"/>
            <w:gridSpan w:val="2"/>
            <w:shd w:val="clear" w:color="auto" w:fill="auto"/>
          </w:tcPr>
          <w:p w14:paraId="1974E189" w14:textId="006E81B4" w:rsidR="00534A91" w:rsidRPr="00007C4E" w:rsidRDefault="000378B5" w:rsidP="00BF4FE9">
            <w:pPr>
              <w:tabs>
                <w:tab w:val="left" w:pos="851"/>
                <w:tab w:val="right" w:pos="8505"/>
              </w:tabs>
              <w:jc w:val="both"/>
              <w:rPr>
                <w:u w:val="single"/>
              </w:rPr>
            </w:pPr>
            <w:r>
              <w:rPr>
                <w:u w:val="single"/>
              </w:rPr>
              <w:t>Tuesday, 10 September 2024</w:t>
            </w:r>
            <w:r w:rsidR="00534A91">
              <w:rPr>
                <w:u w:val="single"/>
              </w:rPr>
              <w:t xml:space="preserve"> </w:t>
            </w:r>
          </w:p>
          <w:p w14:paraId="33FD116C" w14:textId="77777777" w:rsidR="00534A91" w:rsidRDefault="00534A91" w:rsidP="00BF4FE9">
            <w:pPr>
              <w:pStyle w:val="Title"/>
              <w:jc w:val="left"/>
            </w:pPr>
          </w:p>
        </w:tc>
      </w:tr>
      <w:tr w:rsidR="00534A91" w14:paraId="1C36FF1E" w14:textId="77777777" w:rsidTr="00BF4FE9">
        <w:tc>
          <w:tcPr>
            <w:tcW w:w="7905" w:type="dxa"/>
            <w:shd w:val="clear" w:color="auto" w:fill="auto"/>
          </w:tcPr>
          <w:p w14:paraId="1925F49B" w14:textId="66E50B93" w:rsidR="00534A91" w:rsidRPr="00913869" w:rsidRDefault="005014CF" w:rsidP="00BF4FE9">
            <w:pPr>
              <w:numPr>
                <w:ilvl w:val="0"/>
                <w:numId w:val="9"/>
              </w:numPr>
              <w:ind w:hanging="720"/>
            </w:pPr>
            <w:r>
              <w:t xml:space="preserve">Fuller &amp; </w:t>
            </w:r>
            <w:proofErr w:type="gramStart"/>
            <w:r>
              <w:t xml:space="preserve">Anor </w:t>
            </w:r>
            <w:r w:rsidR="00534A91" w:rsidRPr="00007C4E">
              <w:t xml:space="preserve"> v</w:t>
            </w:r>
            <w:proofErr w:type="gramEnd"/>
            <w:r w:rsidR="00534A91" w:rsidRPr="00007C4E">
              <w:t xml:space="preserve">  </w:t>
            </w:r>
            <w:r>
              <w:t>Lawrence</w:t>
            </w:r>
          </w:p>
        </w:tc>
        <w:tc>
          <w:tcPr>
            <w:tcW w:w="850" w:type="dxa"/>
            <w:shd w:val="clear" w:color="auto" w:fill="auto"/>
          </w:tcPr>
          <w:p w14:paraId="602590F5" w14:textId="1D469974" w:rsidR="00534A91" w:rsidRPr="00C65A07" w:rsidRDefault="00463A20" w:rsidP="00BF4FE9">
            <w:pPr>
              <w:pStyle w:val="Title"/>
              <w:rPr>
                <w:u w:val="none"/>
              </w:rPr>
            </w:pPr>
            <w:r>
              <w:rPr>
                <w:u w:val="none"/>
              </w:rPr>
              <w:t>1</w:t>
            </w:r>
          </w:p>
        </w:tc>
      </w:tr>
    </w:tbl>
    <w:p w14:paraId="0DABF8CF" w14:textId="77777777" w:rsidR="00534A91" w:rsidRDefault="00534A91" w:rsidP="00913869"/>
    <w:tbl>
      <w:tblPr>
        <w:tblW w:w="0" w:type="auto"/>
        <w:tblLook w:val="04A0" w:firstRow="1" w:lastRow="0" w:firstColumn="1" w:lastColumn="0" w:noHBand="0" w:noVBand="1"/>
      </w:tblPr>
      <w:tblGrid>
        <w:gridCol w:w="7890"/>
        <w:gridCol w:w="849"/>
      </w:tblGrid>
      <w:tr w:rsidR="00534A91" w:rsidRPr="00007C4E" w14:paraId="357A5EA4" w14:textId="77777777" w:rsidTr="00BF4FE9">
        <w:tc>
          <w:tcPr>
            <w:tcW w:w="8755" w:type="dxa"/>
            <w:gridSpan w:val="2"/>
            <w:shd w:val="clear" w:color="auto" w:fill="auto"/>
          </w:tcPr>
          <w:p w14:paraId="695EF1BC" w14:textId="1CF4C181" w:rsidR="00534A91" w:rsidRPr="00007C4E" w:rsidRDefault="000378B5" w:rsidP="00BF4FE9">
            <w:pPr>
              <w:tabs>
                <w:tab w:val="left" w:pos="851"/>
                <w:tab w:val="right" w:pos="8505"/>
              </w:tabs>
              <w:jc w:val="both"/>
              <w:rPr>
                <w:u w:val="single"/>
              </w:rPr>
            </w:pPr>
            <w:r>
              <w:rPr>
                <w:u w:val="single"/>
              </w:rPr>
              <w:t>Wednesday, 11 September 2024</w:t>
            </w:r>
          </w:p>
          <w:p w14:paraId="7A6CA81D" w14:textId="77777777" w:rsidR="00534A91" w:rsidRDefault="00534A91" w:rsidP="00BF4FE9">
            <w:pPr>
              <w:pStyle w:val="Title"/>
              <w:jc w:val="left"/>
            </w:pPr>
          </w:p>
        </w:tc>
      </w:tr>
      <w:tr w:rsidR="00534A91" w14:paraId="26D96B82" w14:textId="77777777" w:rsidTr="00BF4FE9">
        <w:tc>
          <w:tcPr>
            <w:tcW w:w="7905" w:type="dxa"/>
            <w:shd w:val="clear" w:color="auto" w:fill="auto"/>
          </w:tcPr>
          <w:p w14:paraId="328D8807" w14:textId="6AF0CD5A" w:rsidR="00534A91" w:rsidRPr="00913869" w:rsidRDefault="005014CF" w:rsidP="00BF4FE9">
            <w:pPr>
              <w:numPr>
                <w:ilvl w:val="0"/>
                <w:numId w:val="9"/>
              </w:numPr>
              <w:ind w:hanging="720"/>
            </w:pPr>
            <w:r>
              <w:t xml:space="preserve">Kramer &amp; </w:t>
            </w:r>
            <w:proofErr w:type="gramStart"/>
            <w:r>
              <w:t xml:space="preserve">Anor </w:t>
            </w:r>
            <w:r w:rsidR="00534A91" w:rsidRPr="00007C4E">
              <w:t xml:space="preserve"> v</w:t>
            </w:r>
            <w:proofErr w:type="gramEnd"/>
            <w:r w:rsidR="00534A91" w:rsidRPr="00007C4E">
              <w:t xml:space="preserve">  </w:t>
            </w:r>
            <w:r>
              <w:t>Stone</w:t>
            </w:r>
          </w:p>
        </w:tc>
        <w:tc>
          <w:tcPr>
            <w:tcW w:w="850" w:type="dxa"/>
            <w:shd w:val="clear" w:color="auto" w:fill="auto"/>
          </w:tcPr>
          <w:p w14:paraId="7AA85532" w14:textId="3EF3EF20" w:rsidR="00534A91" w:rsidRPr="00C65A07" w:rsidRDefault="000D0AD3" w:rsidP="00BF4FE9">
            <w:pPr>
              <w:pStyle w:val="Title"/>
              <w:rPr>
                <w:u w:val="none"/>
              </w:rPr>
            </w:pPr>
            <w:r>
              <w:rPr>
                <w:u w:val="none"/>
              </w:rPr>
              <w:t>3</w:t>
            </w:r>
          </w:p>
        </w:tc>
      </w:tr>
    </w:tbl>
    <w:p w14:paraId="0131AA4D" w14:textId="77777777" w:rsidR="00534A91" w:rsidRDefault="00534A91" w:rsidP="00913869"/>
    <w:tbl>
      <w:tblPr>
        <w:tblW w:w="0" w:type="auto"/>
        <w:tblLook w:val="04A0" w:firstRow="1" w:lastRow="0" w:firstColumn="1" w:lastColumn="0" w:noHBand="0" w:noVBand="1"/>
      </w:tblPr>
      <w:tblGrid>
        <w:gridCol w:w="7890"/>
        <w:gridCol w:w="849"/>
      </w:tblGrid>
      <w:tr w:rsidR="00534A91" w:rsidRPr="00007C4E" w14:paraId="7DDD7563" w14:textId="77777777" w:rsidTr="00BF4FE9">
        <w:tc>
          <w:tcPr>
            <w:tcW w:w="8755" w:type="dxa"/>
            <w:gridSpan w:val="2"/>
            <w:shd w:val="clear" w:color="auto" w:fill="auto"/>
          </w:tcPr>
          <w:p w14:paraId="71F8B32C" w14:textId="6D2E58E9" w:rsidR="00534A91" w:rsidRPr="00007C4E" w:rsidRDefault="000378B5" w:rsidP="00BF4FE9">
            <w:pPr>
              <w:tabs>
                <w:tab w:val="left" w:pos="851"/>
                <w:tab w:val="right" w:pos="8505"/>
              </w:tabs>
              <w:jc w:val="both"/>
              <w:rPr>
                <w:u w:val="single"/>
              </w:rPr>
            </w:pPr>
            <w:r>
              <w:rPr>
                <w:u w:val="single"/>
              </w:rPr>
              <w:t>Thursday, 12 September 2024</w:t>
            </w:r>
          </w:p>
          <w:p w14:paraId="6CFE966B" w14:textId="77777777" w:rsidR="00534A91" w:rsidRDefault="00534A91" w:rsidP="00BF4FE9">
            <w:pPr>
              <w:pStyle w:val="Title"/>
              <w:jc w:val="left"/>
            </w:pPr>
          </w:p>
        </w:tc>
      </w:tr>
      <w:tr w:rsidR="00534A91" w14:paraId="79A010E0" w14:textId="77777777" w:rsidTr="00BF4FE9">
        <w:tc>
          <w:tcPr>
            <w:tcW w:w="7905" w:type="dxa"/>
            <w:shd w:val="clear" w:color="auto" w:fill="auto"/>
          </w:tcPr>
          <w:p w14:paraId="33ED542C" w14:textId="19942F91" w:rsidR="00534A91" w:rsidRPr="00913869" w:rsidRDefault="005014CF" w:rsidP="00BF4FE9">
            <w:pPr>
              <w:numPr>
                <w:ilvl w:val="0"/>
                <w:numId w:val="9"/>
              </w:numPr>
              <w:ind w:hanging="720"/>
            </w:pPr>
            <w:r>
              <w:t xml:space="preserve">SkyCity Adelaide Pty </w:t>
            </w:r>
            <w:proofErr w:type="gramStart"/>
            <w:r>
              <w:t xml:space="preserve">Ltd </w:t>
            </w:r>
            <w:r w:rsidR="00534A91" w:rsidRPr="00007C4E">
              <w:t xml:space="preserve"> v</w:t>
            </w:r>
            <w:proofErr w:type="gramEnd"/>
            <w:r w:rsidR="00534A91" w:rsidRPr="00007C4E">
              <w:t xml:space="preserve">  </w:t>
            </w:r>
            <w:r>
              <w:t>Treasurer of South Australia &amp; Anor</w:t>
            </w:r>
          </w:p>
        </w:tc>
        <w:tc>
          <w:tcPr>
            <w:tcW w:w="850" w:type="dxa"/>
            <w:shd w:val="clear" w:color="auto" w:fill="auto"/>
          </w:tcPr>
          <w:p w14:paraId="32C2E38B" w14:textId="4A52127A" w:rsidR="00534A91" w:rsidRPr="00C65A07" w:rsidRDefault="00BC3B11" w:rsidP="00BF4FE9">
            <w:pPr>
              <w:pStyle w:val="Title"/>
              <w:rPr>
                <w:u w:val="none"/>
              </w:rPr>
            </w:pPr>
            <w:r>
              <w:rPr>
                <w:u w:val="none"/>
              </w:rPr>
              <w:t>5</w:t>
            </w:r>
          </w:p>
        </w:tc>
      </w:tr>
    </w:tbl>
    <w:p w14:paraId="179CB5D7" w14:textId="77777777" w:rsidR="00534A91" w:rsidRDefault="00534A91" w:rsidP="00913869"/>
    <w:p w14:paraId="5E8677CB" w14:textId="67AE94D0" w:rsidR="000D0AD3" w:rsidRDefault="000D0AD3">
      <w:r>
        <w:br w:type="page"/>
      </w:r>
    </w:p>
    <w:p w14:paraId="2F298547" w14:textId="77777777" w:rsidR="000D0AD3" w:rsidRPr="00253EF7" w:rsidRDefault="000D0AD3" w:rsidP="000D0AD3">
      <w:pPr>
        <w:rPr>
          <w:rFonts w:cs="Arial"/>
          <w:sz w:val="28"/>
          <w:szCs w:val="28"/>
        </w:rPr>
      </w:pPr>
      <w:r w:rsidRPr="00253EF7">
        <w:rPr>
          <w:rFonts w:cs="Arial"/>
          <w:b/>
          <w:sz w:val="28"/>
          <w:szCs w:val="28"/>
          <w:u w:val="single"/>
        </w:rPr>
        <w:lastRenderedPageBreak/>
        <w:t>FULLER &amp; ANOR v LAWRENCE</w:t>
      </w:r>
      <w:r w:rsidRPr="00253EF7">
        <w:rPr>
          <w:rFonts w:cs="Arial"/>
          <w:b/>
          <w:sz w:val="28"/>
          <w:szCs w:val="28"/>
        </w:rPr>
        <w:t xml:space="preserve"> (B24/2024)</w:t>
      </w:r>
    </w:p>
    <w:p w14:paraId="66EAC8C9" w14:textId="77777777" w:rsidR="000D0AD3" w:rsidRPr="00253EF7" w:rsidRDefault="000D0AD3" w:rsidP="000D0AD3">
      <w:pPr>
        <w:rPr>
          <w:rFonts w:cs="Arial"/>
          <w:szCs w:val="24"/>
        </w:rPr>
      </w:pPr>
    </w:p>
    <w:p w14:paraId="5825B89C" w14:textId="77777777" w:rsidR="000D0AD3" w:rsidRPr="00253EF7" w:rsidRDefault="000D0AD3" w:rsidP="000D0AD3">
      <w:pPr>
        <w:tabs>
          <w:tab w:val="left" w:pos="3119"/>
        </w:tabs>
        <w:rPr>
          <w:rFonts w:cs="Arial"/>
          <w:szCs w:val="24"/>
        </w:rPr>
      </w:pPr>
      <w:r w:rsidRPr="00253EF7">
        <w:rPr>
          <w:rFonts w:cs="Arial"/>
          <w:szCs w:val="24"/>
          <w:u w:val="single"/>
        </w:rPr>
        <w:t>Court appealed from</w:t>
      </w:r>
      <w:r w:rsidRPr="00253EF7">
        <w:rPr>
          <w:rFonts w:cs="Arial"/>
          <w:szCs w:val="24"/>
        </w:rPr>
        <w:t>:</w:t>
      </w:r>
      <w:r>
        <w:rPr>
          <w:rFonts w:cs="Arial"/>
          <w:szCs w:val="24"/>
        </w:rPr>
        <w:tab/>
      </w:r>
      <w:r w:rsidRPr="00253EF7">
        <w:rPr>
          <w:rFonts w:cs="Arial"/>
          <w:szCs w:val="24"/>
        </w:rPr>
        <w:t>Supreme Court of Queensland</w:t>
      </w:r>
      <w:r>
        <w:rPr>
          <w:rFonts w:cs="Arial"/>
          <w:szCs w:val="24"/>
        </w:rPr>
        <w:t xml:space="preserve"> Court of Appeal</w:t>
      </w:r>
      <w:r w:rsidRPr="00253EF7">
        <w:rPr>
          <w:rFonts w:cs="Arial"/>
          <w:szCs w:val="24"/>
        </w:rPr>
        <w:t xml:space="preserve"> </w:t>
      </w:r>
    </w:p>
    <w:p w14:paraId="3A282099" w14:textId="07F43656" w:rsidR="000D0AD3" w:rsidRPr="00253EF7" w:rsidRDefault="000D0AD3" w:rsidP="000D0AD3">
      <w:pPr>
        <w:tabs>
          <w:tab w:val="left" w:pos="3119"/>
        </w:tabs>
        <w:rPr>
          <w:rFonts w:cs="Arial"/>
          <w:szCs w:val="24"/>
        </w:rPr>
      </w:pPr>
      <w:r>
        <w:rPr>
          <w:rFonts w:cs="Arial"/>
          <w:szCs w:val="24"/>
        </w:rPr>
        <w:tab/>
      </w:r>
      <w:r w:rsidRPr="00253EF7">
        <w:rPr>
          <w:rFonts w:cs="Arial"/>
          <w:szCs w:val="24"/>
        </w:rPr>
        <w:t>[2023] QCA 2</w:t>
      </w:r>
      <w:r w:rsidR="00A512FD">
        <w:rPr>
          <w:rFonts w:cs="Arial"/>
          <w:szCs w:val="24"/>
        </w:rPr>
        <w:t>57</w:t>
      </w:r>
    </w:p>
    <w:p w14:paraId="307764F3" w14:textId="77777777" w:rsidR="000D0AD3" w:rsidRPr="00253EF7" w:rsidRDefault="000D0AD3" w:rsidP="000D0AD3">
      <w:pPr>
        <w:tabs>
          <w:tab w:val="left" w:pos="3969"/>
        </w:tabs>
        <w:rPr>
          <w:rFonts w:cs="Arial"/>
          <w:szCs w:val="24"/>
        </w:rPr>
      </w:pPr>
    </w:p>
    <w:p w14:paraId="6F68902C" w14:textId="77777777" w:rsidR="000D0AD3" w:rsidRPr="00253EF7" w:rsidRDefault="000D0AD3" w:rsidP="000D0AD3">
      <w:pPr>
        <w:tabs>
          <w:tab w:val="left" w:pos="3119"/>
        </w:tabs>
        <w:rPr>
          <w:rFonts w:cs="Arial"/>
          <w:szCs w:val="24"/>
        </w:rPr>
      </w:pPr>
      <w:r w:rsidRPr="00253EF7">
        <w:rPr>
          <w:rFonts w:cs="Arial"/>
          <w:szCs w:val="24"/>
          <w:u w:val="single"/>
        </w:rPr>
        <w:t>Date of judgment</w:t>
      </w:r>
      <w:r w:rsidRPr="00253EF7">
        <w:rPr>
          <w:rFonts w:cs="Arial"/>
          <w:szCs w:val="24"/>
        </w:rPr>
        <w:t>:</w:t>
      </w:r>
      <w:r>
        <w:rPr>
          <w:rFonts w:cs="Arial"/>
          <w:szCs w:val="24"/>
        </w:rPr>
        <w:tab/>
      </w:r>
      <w:r w:rsidRPr="00253EF7">
        <w:rPr>
          <w:rFonts w:cs="Arial"/>
          <w:szCs w:val="24"/>
        </w:rPr>
        <w:t>15 December 2023</w:t>
      </w:r>
    </w:p>
    <w:p w14:paraId="196FD648" w14:textId="77777777" w:rsidR="000D0AD3" w:rsidRPr="00253EF7" w:rsidRDefault="000D0AD3" w:rsidP="000D0AD3">
      <w:pPr>
        <w:rPr>
          <w:rFonts w:cs="Arial"/>
          <w:szCs w:val="24"/>
        </w:rPr>
      </w:pPr>
    </w:p>
    <w:p w14:paraId="727C4A04" w14:textId="77777777" w:rsidR="000D0AD3" w:rsidRPr="00253EF7" w:rsidRDefault="000D0AD3" w:rsidP="000D0AD3">
      <w:pPr>
        <w:tabs>
          <w:tab w:val="left" w:pos="3119"/>
        </w:tabs>
        <w:rPr>
          <w:rFonts w:cs="Arial"/>
          <w:szCs w:val="24"/>
        </w:rPr>
      </w:pPr>
      <w:r w:rsidRPr="00253EF7">
        <w:rPr>
          <w:rFonts w:cs="Arial"/>
          <w:szCs w:val="24"/>
          <w:u w:val="single"/>
        </w:rPr>
        <w:t>Special leave granted</w:t>
      </w:r>
      <w:r w:rsidRPr="00253EF7">
        <w:rPr>
          <w:rFonts w:cs="Arial"/>
          <w:szCs w:val="24"/>
        </w:rPr>
        <w:t>:</w:t>
      </w:r>
      <w:r>
        <w:rPr>
          <w:rFonts w:cs="Arial"/>
          <w:szCs w:val="24"/>
        </w:rPr>
        <w:tab/>
      </w:r>
      <w:r w:rsidRPr="00253EF7">
        <w:rPr>
          <w:rFonts w:cs="Arial"/>
          <w:szCs w:val="24"/>
        </w:rPr>
        <w:t>11 April 2024</w:t>
      </w:r>
    </w:p>
    <w:p w14:paraId="25306EB2" w14:textId="77777777" w:rsidR="000D0AD3" w:rsidRPr="00253EF7" w:rsidRDefault="000D0AD3" w:rsidP="000D0AD3">
      <w:pPr>
        <w:pStyle w:val="NormalWeb"/>
        <w:shd w:val="clear" w:color="auto" w:fill="FFFFFF"/>
        <w:spacing w:before="0" w:beforeAutospacing="0" w:after="0" w:afterAutospacing="0"/>
        <w:jc w:val="both"/>
        <w:rPr>
          <w:rFonts w:ascii="Arial" w:hAnsi="Arial" w:cs="Arial"/>
          <w:color w:val="000000" w:themeColor="text1"/>
        </w:rPr>
      </w:pPr>
    </w:p>
    <w:p w14:paraId="4E13643A" w14:textId="1E1EB3BC" w:rsidR="000D0AD3" w:rsidRPr="00253EF7" w:rsidRDefault="000D0AD3" w:rsidP="000D0AD3">
      <w:pPr>
        <w:pStyle w:val="NormalWeb"/>
        <w:shd w:val="clear" w:color="auto" w:fill="FFFFFF"/>
        <w:spacing w:before="0" w:beforeAutospacing="0" w:after="0" w:afterAutospacing="0"/>
        <w:jc w:val="both"/>
        <w:rPr>
          <w:rFonts w:ascii="Arial" w:hAnsi="Arial" w:cs="Arial"/>
          <w:color w:val="000000" w:themeColor="text1"/>
        </w:rPr>
      </w:pPr>
      <w:r w:rsidRPr="00253EF7">
        <w:rPr>
          <w:rFonts w:ascii="Arial" w:hAnsi="Arial" w:cs="Arial"/>
          <w:color w:val="000000" w:themeColor="text1"/>
        </w:rPr>
        <w:t>In April 2020</w:t>
      </w:r>
      <w:r>
        <w:rPr>
          <w:rFonts w:ascii="Arial" w:hAnsi="Arial" w:cs="Arial"/>
          <w:color w:val="000000" w:themeColor="text1"/>
        </w:rPr>
        <w:t>,</w:t>
      </w:r>
      <w:r w:rsidRPr="00253EF7">
        <w:rPr>
          <w:rFonts w:ascii="Arial" w:hAnsi="Arial" w:cs="Arial"/>
          <w:color w:val="000000" w:themeColor="text1"/>
        </w:rPr>
        <w:t xml:space="preserve"> Mr Mark Lawrence was released from custody under a supervision order (“the Supervision Order”) made by the Supreme Court of </w:t>
      </w:r>
      <w:r w:rsidRPr="00311102">
        <w:rPr>
          <w:rFonts w:ascii="Arial" w:hAnsi="Arial" w:cs="Arial"/>
          <w:color w:val="000000" w:themeColor="text1"/>
        </w:rPr>
        <w:t>Queensland under s</w:t>
      </w:r>
      <w:r>
        <w:rPr>
          <w:rFonts w:ascii="Arial" w:hAnsi="Arial" w:cs="Arial"/>
          <w:color w:val="000000" w:themeColor="text1"/>
        </w:rPr>
        <w:t>ection</w:t>
      </w:r>
      <w:r w:rsidRPr="00311102">
        <w:rPr>
          <w:rFonts w:ascii="Arial" w:hAnsi="Arial" w:cs="Arial"/>
          <w:color w:val="000000" w:themeColor="text1"/>
        </w:rPr>
        <w:t xml:space="preserve"> 13(5)(b) of the </w:t>
      </w:r>
      <w:r w:rsidRPr="00311102">
        <w:rPr>
          <w:rFonts w:ascii="Arial" w:hAnsi="Arial" w:cs="Arial"/>
          <w:i/>
          <w:iCs/>
          <w:color w:val="000000" w:themeColor="text1"/>
        </w:rPr>
        <w:t xml:space="preserve">Dangerous Prisoners (Sexual Offenders) Act 2003 </w:t>
      </w:r>
      <w:r w:rsidRPr="00311102">
        <w:rPr>
          <w:rFonts w:ascii="Arial" w:hAnsi="Arial" w:cs="Arial"/>
          <w:color w:val="000000" w:themeColor="text1"/>
        </w:rPr>
        <w:t>(Qld) (“the</w:t>
      </w:r>
      <w:r w:rsidRPr="00253EF7">
        <w:rPr>
          <w:rFonts w:ascii="Arial" w:hAnsi="Arial" w:cs="Arial"/>
          <w:color w:val="000000" w:themeColor="text1"/>
        </w:rPr>
        <w:t xml:space="preserve"> DPSO Act”).  The Supervision Order</w:t>
      </w:r>
      <w:r>
        <w:rPr>
          <w:rFonts w:ascii="Arial" w:hAnsi="Arial" w:cs="Arial"/>
          <w:color w:val="000000" w:themeColor="text1"/>
        </w:rPr>
        <w:t xml:space="preserve">, in detailed terms addressed to </w:t>
      </w:r>
      <w:r w:rsidR="001F7D6D">
        <w:rPr>
          <w:rFonts w:ascii="Arial" w:hAnsi="Arial" w:cs="Arial"/>
          <w:color w:val="000000" w:themeColor="text1"/>
        </w:rPr>
        <w:br/>
      </w:r>
      <w:r>
        <w:rPr>
          <w:rFonts w:ascii="Arial" w:hAnsi="Arial" w:cs="Arial"/>
          <w:color w:val="000000" w:themeColor="text1"/>
        </w:rPr>
        <w:t xml:space="preserve">Mr Lawrence, </w:t>
      </w:r>
      <w:r w:rsidRPr="00253EF7">
        <w:rPr>
          <w:rFonts w:ascii="Arial" w:hAnsi="Arial" w:cs="Arial"/>
          <w:color w:val="000000" w:themeColor="text1"/>
        </w:rPr>
        <w:t xml:space="preserve">included </w:t>
      </w:r>
      <w:r>
        <w:rPr>
          <w:rFonts w:ascii="Arial" w:hAnsi="Arial" w:cs="Arial"/>
          <w:color w:val="000000" w:themeColor="text1"/>
        </w:rPr>
        <w:t>“... you must</w:t>
      </w:r>
      <w:r w:rsidRPr="00253EF7">
        <w:rPr>
          <w:rFonts w:ascii="Arial" w:hAnsi="Arial" w:cs="Arial"/>
          <w:color w:val="000000" w:themeColor="text1"/>
        </w:rPr>
        <w:t xml:space="preserve"> obey any reasonable direction that a </w:t>
      </w:r>
      <w:r w:rsidR="001F7D6D">
        <w:rPr>
          <w:rFonts w:ascii="Arial" w:hAnsi="Arial" w:cs="Arial"/>
          <w:color w:val="000000" w:themeColor="text1"/>
        </w:rPr>
        <w:br/>
      </w:r>
      <w:r w:rsidRPr="00253EF7">
        <w:rPr>
          <w:rFonts w:ascii="Arial" w:hAnsi="Arial" w:cs="Arial"/>
          <w:color w:val="000000" w:themeColor="text1"/>
        </w:rPr>
        <w:t>Corrective Services officer gives you about ... who you may not have contact with ...”.</w:t>
      </w:r>
    </w:p>
    <w:p w14:paraId="58F8DC6F" w14:textId="77777777" w:rsidR="000D0AD3" w:rsidRPr="00253EF7" w:rsidRDefault="000D0AD3" w:rsidP="000D0AD3">
      <w:pPr>
        <w:pStyle w:val="NormalWeb"/>
        <w:shd w:val="clear" w:color="auto" w:fill="FFFFFF"/>
        <w:spacing w:before="0" w:beforeAutospacing="0" w:after="0" w:afterAutospacing="0"/>
        <w:jc w:val="both"/>
        <w:rPr>
          <w:rFonts w:ascii="Arial" w:hAnsi="Arial" w:cs="Arial"/>
          <w:color w:val="000000" w:themeColor="text1"/>
        </w:rPr>
      </w:pPr>
    </w:p>
    <w:p w14:paraId="5E2D8695" w14:textId="32807527" w:rsidR="000D0AD3" w:rsidRPr="00253EF7" w:rsidRDefault="000D0AD3" w:rsidP="000D0AD3">
      <w:pPr>
        <w:pStyle w:val="NormalWeb"/>
        <w:shd w:val="clear" w:color="auto" w:fill="FFFFFF"/>
        <w:spacing w:before="0" w:beforeAutospacing="0" w:after="0" w:afterAutospacing="0"/>
        <w:jc w:val="both"/>
        <w:rPr>
          <w:rFonts w:ascii="Arial" w:hAnsi="Arial" w:cs="Arial"/>
          <w:color w:val="000000" w:themeColor="text1"/>
        </w:rPr>
      </w:pPr>
      <w:r w:rsidRPr="00253EF7">
        <w:rPr>
          <w:rFonts w:ascii="Arial" w:hAnsi="Arial" w:cs="Arial"/>
          <w:color w:val="000000" w:themeColor="text1"/>
        </w:rPr>
        <w:t>The DPSO Act prescribes mandatory requirements for the content of supervision orders, which include, in s</w:t>
      </w:r>
      <w:r>
        <w:rPr>
          <w:rFonts w:ascii="Arial" w:hAnsi="Arial" w:cs="Arial"/>
          <w:color w:val="000000" w:themeColor="text1"/>
        </w:rPr>
        <w:t xml:space="preserve"> </w:t>
      </w:r>
      <w:r w:rsidRPr="00253EF7">
        <w:rPr>
          <w:rFonts w:ascii="Arial" w:hAnsi="Arial" w:cs="Arial"/>
          <w:color w:val="000000" w:themeColor="text1"/>
        </w:rPr>
        <w:t>16(</w:t>
      </w:r>
      <w:proofErr w:type="gramStart"/>
      <w:r w:rsidRPr="00253EF7">
        <w:rPr>
          <w:rFonts w:ascii="Arial" w:hAnsi="Arial" w:cs="Arial"/>
          <w:color w:val="000000" w:themeColor="text1"/>
        </w:rPr>
        <w:t>1)(</w:t>
      </w:r>
      <w:proofErr w:type="spellStart"/>
      <w:proofErr w:type="gramEnd"/>
      <w:r w:rsidRPr="00253EF7">
        <w:rPr>
          <w:rFonts w:ascii="Arial" w:hAnsi="Arial" w:cs="Arial"/>
          <w:color w:val="000000" w:themeColor="text1"/>
        </w:rPr>
        <w:t>db</w:t>
      </w:r>
      <w:proofErr w:type="spellEnd"/>
      <w:r w:rsidRPr="00253EF7">
        <w:rPr>
          <w:rFonts w:ascii="Arial" w:hAnsi="Arial" w:cs="Arial"/>
          <w:color w:val="000000" w:themeColor="text1"/>
        </w:rPr>
        <w:t xml:space="preserve">), that the released prisoner “comply with every reasonable direction of a corrective services officer that is not directly inconsistent with a requirement of the order”.  Sections 16A and 16B of the DPSO Act empower corrective services officers to give directions concerning certain matters which do not expressly include contact </w:t>
      </w:r>
      <w:r>
        <w:rPr>
          <w:rFonts w:ascii="Arial" w:hAnsi="Arial" w:cs="Arial"/>
          <w:color w:val="000000" w:themeColor="text1"/>
        </w:rPr>
        <w:t xml:space="preserve">(or no contact) </w:t>
      </w:r>
      <w:r w:rsidRPr="00253EF7">
        <w:rPr>
          <w:rFonts w:ascii="Arial" w:hAnsi="Arial" w:cs="Arial"/>
          <w:color w:val="000000" w:themeColor="text1"/>
        </w:rPr>
        <w:t>with other persons, while s 16C provides that a direction mentioned in s 16(1)(</w:t>
      </w:r>
      <w:proofErr w:type="spellStart"/>
      <w:r w:rsidRPr="00253EF7">
        <w:rPr>
          <w:rFonts w:ascii="Arial" w:hAnsi="Arial" w:cs="Arial"/>
          <w:color w:val="000000" w:themeColor="text1"/>
        </w:rPr>
        <w:t>db</w:t>
      </w:r>
      <w:proofErr w:type="spellEnd"/>
      <w:r w:rsidRPr="00253EF7">
        <w:rPr>
          <w:rFonts w:ascii="Arial" w:hAnsi="Arial" w:cs="Arial"/>
          <w:color w:val="000000" w:themeColor="text1"/>
        </w:rPr>
        <w:t>) may be given if an officer believes it necessary to ensure the adequate protection of the community</w:t>
      </w:r>
      <w:r>
        <w:rPr>
          <w:rFonts w:ascii="Arial" w:hAnsi="Arial" w:cs="Arial"/>
          <w:color w:val="000000" w:themeColor="text1"/>
        </w:rPr>
        <w:t>,</w:t>
      </w:r>
      <w:r w:rsidRPr="00253EF7">
        <w:rPr>
          <w:rFonts w:ascii="Arial" w:hAnsi="Arial" w:cs="Arial"/>
          <w:color w:val="000000" w:themeColor="text1"/>
        </w:rPr>
        <w:t xml:space="preserve"> or for the prisoner’s rehabilitation or care or treatment.</w:t>
      </w:r>
    </w:p>
    <w:p w14:paraId="1390F06D" w14:textId="77777777" w:rsidR="000D0AD3" w:rsidRPr="00253EF7" w:rsidRDefault="000D0AD3" w:rsidP="000D0AD3">
      <w:pPr>
        <w:pStyle w:val="NormalWeb"/>
        <w:shd w:val="clear" w:color="auto" w:fill="FFFFFF"/>
        <w:spacing w:before="0" w:beforeAutospacing="0" w:after="0" w:afterAutospacing="0"/>
        <w:jc w:val="both"/>
        <w:rPr>
          <w:rFonts w:ascii="Arial" w:hAnsi="Arial" w:cs="Arial"/>
          <w:color w:val="000000" w:themeColor="text1"/>
        </w:rPr>
      </w:pPr>
    </w:p>
    <w:p w14:paraId="3A644776" w14:textId="76FD7D07" w:rsidR="000D0AD3" w:rsidRPr="00253EF7" w:rsidRDefault="000D0AD3" w:rsidP="000D0AD3">
      <w:pPr>
        <w:pStyle w:val="NormalWeb"/>
        <w:shd w:val="clear" w:color="auto" w:fill="FFFFFF"/>
        <w:spacing w:before="0" w:beforeAutospacing="0" w:after="0" w:afterAutospacing="0"/>
        <w:jc w:val="both"/>
        <w:rPr>
          <w:rFonts w:ascii="Arial" w:hAnsi="Arial" w:cs="Arial"/>
          <w:color w:val="000000" w:themeColor="text1"/>
        </w:rPr>
      </w:pPr>
      <w:r w:rsidRPr="00253EF7">
        <w:rPr>
          <w:rFonts w:ascii="Arial" w:hAnsi="Arial" w:cs="Arial"/>
          <w:color w:val="000000" w:themeColor="text1"/>
        </w:rPr>
        <w:t>In November 2022</w:t>
      </w:r>
      <w:r>
        <w:rPr>
          <w:rFonts w:ascii="Arial" w:hAnsi="Arial" w:cs="Arial"/>
          <w:color w:val="000000" w:themeColor="text1"/>
        </w:rPr>
        <w:t>,</w:t>
      </w:r>
      <w:r w:rsidRPr="00253EF7">
        <w:rPr>
          <w:rFonts w:ascii="Arial" w:hAnsi="Arial" w:cs="Arial"/>
          <w:color w:val="000000" w:themeColor="text1"/>
        </w:rPr>
        <w:t xml:space="preserve"> a </w:t>
      </w:r>
      <w:r>
        <w:rPr>
          <w:rFonts w:ascii="Arial" w:hAnsi="Arial" w:cs="Arial"/>
          <w:color w:val="000000" w:themeColor="text1"/>
        </w:rPr>
        <w:t xml:space="preserve">Queensland </w:t>
      </w:r>
      <w:r w:rsidRPr="00253EF7">
        <w:rPr>
          <w:rFonts w:ascii="Arial" w:hAnsi="Arial" w:cs="Arial"/>
          <w:color w:val="000000" w:themeColor="text1"/>
        </w:rPr>
        <w:t>Corrective Services officer, Ms Bianca Fuller,</w:t>
      </w:r>
      <w:r>
        <w:rPr>
          <w:rFonts w:ascii="Arial" w:hAnsi="Arial" w:cs="Arial"/>
          <w:color w:val="000000" w:themeColor="text1"/>
        </w:rPr>
        <w:t xml:space="preserve"> issued</w:t>
      </w:r>
      <w:r w:rsidRPr="00253EF7">
        <w:rPr>
          <w:rFonts w:ascii="Arial" w:hAnsi="Arial" w:cs="Arial"/>
          <w:color w:val="000000" w:themeColor="text1"/>
        </w:rPr>
        <w:t xml:space="preserve"> a direction (“the Direction”) that approved Mr Lawrence having contact with a certain person by telephone</w:t>
      </w:r>
      <w:r>
        <w:rPr>
          <w:rFonts w:ascii="Arial" w:hAnsi="Arial" w:cs="Arial"/>
          <w:color w:val="000000" w:themeColor="text1"/>
        </w:rPr>
        <w:t>, including by</w:t>
      </w:r>
      <w:r w:rsidRPr="00253EF7">
        <w:rPr>
          <w:rFonts w:ascii="Arial" w:hAnsi="Arial" w:cs="Arial"/>
          <w:color w:val="000000" w:themeColor="text1"/>
        </w:rPr>
        <w:t xml:space="preserve"> video</w:t>
      </w:r>
      <w:r>
        <w:rPr>
          <w:rFonts w:ascii="Arial" w:hAnsi="Arial" w:cs="Arial"/>
          <w:color w:val="000000" w:themeColor="text1"/>
        </w:rPr>
        <w:t xml:space="preserve"> calls</w:t>
      </w:r>
      <w:r w:rsidRPr="00253EF7">
        <w:rPr>
          <w:rFonts w:ascii="Arial" w:hAnsi="Arial" w:cs="Arial"/>
          <w:color w:val="000000" w:themeColor="text1"/>
        </w:rPr>
        <w:t xml:space="preserve">.  The Direction however denied a request by Mr Lawrence to have in-person contact with the person.  </w:t>
      </w:r>
      <w:r>
        <w:rPr>
          <w:rFonts w:ascii="Arial" w:hAnsi="Arial" w:cs="Arial"/>
          <w:color w:val="000000" w:themeColor="text1"/>
        </w:rPr>
        <w:t>Ms Fuller</w:t>
      </w:r>
      <w:r w:rsidRPr="00253EF7">
        <w:rPr>
          <w:rFonts w:ascii="Arial" w:hAnsi="Arial" w:cs="Arial"/>
          <w:color w:val="000000" w:themeColor="text1"/>
        </w:rPr>
        <w:t xml:space="preserve"> </w:t>
      </w:r>
      <w:r>
        <w:rPr>
          <w:rFonts w:ascii="Arial" w:hAnsi="Arial" w:cs="Arial"/>
          <w:color w:val="000000" w:themeColor="text1"/>
        </w:rPr>
        <w:t xml:space="preserve">then </w:t>
      </w:r>
      <w:r w:rsidRPr="00253EF7">
        <w:rPr>
          <w:rFonts w:ascii="Arial" w:hAnsi="Arial" w:cs="Arial"/>
          <w:color w:val="000000" w:themeColor="text1"/>
        </w:rPr>
        <w:t xml:space="preserve">declined a request </w:t>
      </w:r>
      <w:r>
        <w:rPr>
          <w:rFonts w:ascii="Arial" w:hAnsi="Arial" w:cs="Arial"/>
          <w:color w:val="000000" w:themeColor="text1"/>
        </w:rPr>
        <w:t xml:space="preserve">by Mr Lawrence </w:t>
      </w:r>
      <w:r w:rsidRPr="00253EF7">
        <w:rPr>
          <w:rFonts w:ascii="Arial" w:hAnsi="Arial" w:cs="Arial"/>
          <w:color w:val="000000" w:themeColor="text1"/>
        </w:rPr>
        <w:t xml:space="preserve">for </w:t>
      </w:r>
      <w:r>
        <w:rPr>
          <w:rFonts w:ascii="Arial" w:hAnsi="Arial" w:cs="Arial"/>
          <w:color w:val="000000" w:themeColor="text1"/>
        </w:rPr>
        <w:t xml:space="preserve">a statement of </w:t>
      </w:r>
      <w:r w:rsidRPr="00253EF7">
        <w:rPr>
          <w:rFonts w:ascii="Arial" w:hAnsi="Arial" w:cs="Arial"/>
          <w:color w:val="000000" w:themeColor="text1"/>
        </w:rPr>
        <w:t>reasons</w:t>
      </w:r>
      <w:r>
        <w:rPr>
          <w:rFonts w:ascii="Arial" w:hAnsi="Arial" w:cs="Arial"/>
          <w:color w:val="000000" w:themeColor="text1"/>
        </w:rPr>
        <w:t xml:space="preserve">, whereupon </w:t>
      </w:r>
      <w:r w:rsidRPr="00253EF7">
        <w:rPr>
          <w:rFonts w:ascii="Arial" w:hAnsi="Arial" w:cs="Arial"/>
          <w:color w:val="000000" w:themeColor="text1"/>
        </w:rPr>
        <w:t>Mr Lawrence commenced proceedings under s</w:t>
      </w:r>
      <w:r>
        <w:rPr>
          <w:rFonts w:ascii="Arial" w:hAnsi="Arial" w:cs="Arial"/>
          <w:color w:val="000000" w:themeColor="text1"/>
        </w:rPr>
        <w:t xml:space="preserve"> </w:t>
      </w:r>
      <w:r w:rsidRPr="00253EF7">
        <w:rPr>
          <w:rFonts w:ascii="Arial" w:hAnsi="Arial" w:cs="Arial"/>
          <w:color w:val="000000" w:themeColor="text1"/>
        </w:rPr>
        <w:t xml:space="preserve">38 of the </w:t>
      </w:r>
      <w:r w:rsidR="001F7D6D">
        <w:rPr>
          <w:rFonts w:ascii="Arial" w:hAnsi="Arial" w:cs="Arial"/>
          <w:color w:val="000000" w:themeColor="text1"/>
        </w:rPr>
        <w:br/>
      </w:r>
      <w:r w:rsidRPr="00253EF7">
        <w:rPr>
          <w:rFonts w:ascii="Arial" w:hAnsi="Arial" w:cs="Arial"/>
          <w:i/>
          <w:iCs/>
          <w:color w:val="000000" w:themeColor="text1"/>
        </w:rPr>
        <w:t>Judicial Review Act</w:t>
      </w:r>
      <w:r w:rsidRPr="00253EF7">
        <w:rPr>
          <w:rFonts w:ascii="Arial" w:hAnsi="Arial" w:cs="Arial"/>
          <w:color w:val="000000" w:themeColor="text1"/>
        </w:rPr>
        <w:t xml:space="preserve"> </w:t>
      </w:r>
      <w:r w:rsidRPr="00253EF7">
        <w:rPr>
          <w:rFonts w:ascii="Arial" w:hAnsi="Arial" w:cs="Arial"/>
          <w:i/>
          <w:iCs/>
          <w:color w:val="000000" w:themeColor="text1"/>
        </w:rPr>
        <w:t>1991</w:t>
      </w:r>
      <w:r w:rsidRPr="00253EF7">
        <w:rPr>
          <w:rFonts w:ascii="Arial" w:hAnsi="Arial" w:cs="Arial"/>
          <w:color w:val="000000" w:themeColor="text1"/>
        </w:rPr>
        <w:t xml:space="preserve"> (Qld) (“the JR Act”) against </w:t>
      </w:r>
      <w:r>
        <w:rPr>
          <w:rFonts w:ascii="Arial" w:hAnsi="Arial" w:cs="Arial"/>
          <w:color w:val="000000" w:themeColor="text1"/>
        </w:rPr>
        <w:t>Ms Fuller</w:t>
      </w:r>
      <w:r w:rsidRPr="00253EF7">
        <w:rPr>
          <w:rFonts w:ascii="Arial" w:hAnsi="Arial" w:cs="Arial"/>
          <w:color w:val="000000" w:themeColor="text1"/>
        </w:rPr>
        <w:t xml:space="preserve"> and the </w:t>
      </w:r>
      <w:r w:rsidR="001F7D6D">
        <w:rPr>
          <w:rFonts w:ascii="Arial" w:hAnsi="Arial" w:cs="Arial"/>
          <w:color w:val="000000" w:themeColor="text1"/>
        </w:rPr>
        <w:br/>
      </w:r>
      <w:r w:rsidRPr="00253EF7">
        <w:rPr>
          <w:rFonts w:ascii="Arial" w:hAnsi="Arial" w:cs="Arial"/>
          <w:color w:val="000000" w:themeColor="text1"/>
        </w:rPr>
        <w:t>Chief Executive of Queensland Corrective Services (the Second Appellant)</w:t>
      </w:r>
      <w:r>
        <w:rPr>
          <w:rFonts w:ascii="Arial" w:hAnsi="Arial" w:cs="Arial"/>
          <w:color w:val="000000" w:themeColor="text1"/>
        </w:rPr>
        <w:t xml:space="preserve">, seeking an order for the giving of reasons for the Direction insofar as it denied </w:t>
      </w:r>
      <w:r w:rsidR="001F7D6D">
        <w:rPr>
          <w:rFonts w:ascii="Arial" w:hAnsi="Arial" w:cs="Arial"/>
          <w:color w:val="000000" w:themeColor="text1"/>
        </w:rPr>
        <w:br/>
      </w:r>
      <w:r>
        <w:rPr>
          <w:rFonts w:ascii="Arial" w:hAnsi="Arial" w:cs="Arial"/>
          <w:color w:val="000000" w:themeColor="text1"/>
        </w:rPr>
        <w:t>in-person contact.</w:t>
      </w:r>
    </w:p>
    <w:p w14:paraId="341646BF" w14:textId="77777777" w:rsidR="000D0AD3" w:rsidRPr="00253EF7" w:rsidRDefault="000D0AD3" w:rsidP="000D0AD3">
      <w:pPr>
        <w:pStyle w:val="NormalWeb"/>
        <w:shd w:val="clear" w:color="auto" w:fill="FFFFFF"/>
        <w:spacing w:before="0" w:beforeAutospacing="0" w:after="0" w:afterAutospacing="0"/>
        <w:jc w:val="both"/>
        <w:rPr>
          <w:rFonts w:ascii="Arial" w:hAnsi="Arial" w:cs="Arial"/>
          <w:color w:val="000000" w:themeColor="text1"/>
        </w:rPr>
      </w:pPr>
    </w:p>
    <w:p w14:paraId="55A4CECC" w14:textId="75B277D7" w:rsidR="000D0AD3" w:rsidRPr="00253EF7" w:rsidRDefault="000D0AD3" w:rsidP="000D0AD3">
      <w:pPr>
        <w:pStyle w:val="NormalWeb"/>
        <w:shd w:val="clear" w:color="auto" w:fill="FFFFFF"/>
        <w:spacing w:before="0" w:beforeAutospacing="0" w:after="0" w:afterAutospacing="0"/>
        <w:jc w:val="both"/>
        <w:rPr>
          <w:rFonts w:ascii="Arial" w:hAnsi="Arial" w:cs="Arial"/>
          <w:color w:val="000000" w:themeColor="text1"/>
        </w:rPr>
      </w:pPr>
      <w:r w:rsidRPr="00253EF7">
        <w:rPr>
          <w:rFonts w:ascii="Arial" w:hAnsi="Arial" w:cs="Arial"/>
          <w:color w:val="000000" w:themeColor="text1"/>
        </w:rPr>
        <w:t>The Appellants resisted the giving of reasons</w:t>
      </w:r>
      <w:r>
        <w:rPr>
          <w:rFonts w:ascii="Arial" w:hAnsi="Arial" w:cs="Arial"/>
          <w:color w:val="000000" w:themeColor="text1"/>
        </w:rPr>
        <w:t>,</w:t>
      </w:r>
      <w:r w:rsidRPr="00253EF7">
        <w:rPr>
          <w:rFonts w:ascii="Arial" w:hAnsi="Arial" w:cs="Arial"/>
          <w:color w:val="000000" w:themeColor="text1"/>
        </w:rPr>
        <w:t xml:space="preserve"> </w:t>
      </w:r>
      <w:r>
        <w:rPr>
          <w:rFonts w:ascii="Arial" w:hAnsi="Arial" w:cs="Arial"/>
          <w:color w:val="000000" w:themeColor="text1"/>
        </w:rPr>
        <w:t xml:space="preserve">on the basis that the Direction was not a decision made “under an enactment”, a requirement prescribed in s 4(a) of the JR Act; rather, they contended, it was made under the Supervision Order.  Applegarth J found however that the Direction did meet the legal requirements of a decision made under an enactment, as it was both authorised by the DPSO Act and it was a decision which itself altered or affected legal rights or obligations.  </w:t>
      </w:r>
      <w:r w:rsidR="001F7D6D">
        <w:rPr>
          <w:rFonts w:ascii="Arial" w:hAnsi="Arial" w:cs="Arial"/>
          <w:color w:val="000000" w:themeColor="text1"/>
        </w:rPr>
        <w:br/>
      </w:r>
      <w:r>
        <w:rPr>
          <w:rFonts w:ascii="Arial" w:hAnsi="Arial" w:cs="Arial"/>
          <w:color w:val="000000" w:themeColor="text1"/>
        </w:rPr>
        <w:t>His Honour ordered that a statement of reasons under s 33 of the JR Act be given to Mr Lawrence.</w:t>
      </w:r>
    </w:p>
    <w:p w14:paraId="2E9E57E7" w14:textId="77777777" w:rsidR="000D0AD3" w:rsidRPr="00253EF7" w:rsidRDefault="000D0AD3" w:rsidP="000D0AD3">
      <w:pPr>
        <w:pStyle w:val="NormalWeb"/>
        <w:shd w:val="clear" w:color="auto" w:fill="FFFFFF"/>
        <w:spacing w:before="0" w:beforeAutospacing="0" w:after="0" w:afterAutospacing="0"/>
        <w:jc w:val="both"/>
        <w:rPr>
          <w:rFonts w:ascii="Arial" w:hAnsi="Arial" w:cs="Arial"/>
          <w:iCs/>
          <w:lang w:val="en-US"/>
        </w:rPr>
      </w:pPr>
    </w:p>
    <w:p w14:paraId="0B9F130F" w14:textId="5DF9B3C8" w:rsidR="000D0AD3" w:rsidRDefault="000D0AD3" w:rsidP="000D0AD3">
      <w:pPr>
        <w:pStyle w:val="NormalWeb"/>
        <w:shd w:val="clear" w:color="auto" w:fill="FFFFFF"/>
        <w:spacing w:before="0" w:beforeAutospacing="0" w:after="0" w:afterAutospacing="0"/>
        <w:jc w:val="both"/>
        <w:rPr>
          <w:rFonts w:ascii="Arial" w:hAnsi="Arial" w:cs="Arial"/>
          <w:color w:val="000000" w:themeColor="text1"/>
        </w:rPr>
      </w:pPr>
      <w:r>
        <w:rPr>
          <w:rFonts w:ascii="Arial" w:hAnsi="Arial" w:cs="Arial"/>
          <w:iCs/>
          <w:lang w:val="en-US"/>
        </w:rPr>
        <w:t>An appeal by the Appellants was unanimously dismissed by t</w:t>
      </w:r>
      <w:r w:rsidRPr="00253EF7">
        <w:rPr>
          <w:rFonts w:ascii="Arial" w:hAnsi="Arial" w:cs="Arial"/>
          <w:iCs/>
          <w:lang w:val="en-US"/>
        </w:rPr>
        <w:t>he Court of Appeal (</w:t>
      </w:r>
      <w:proofErr w:type="spellStart"/>
      <w:r w:rsidRPr="00253EF7">
        <w:rPr>
          <w:rFonts w:ascii="Arial" w:hAnsi="Arial" w:cs="Arial"/>
          <w:iCs/>
          <w:lang w:val="en-US"/>
        </w:rPr>
        <w:t>Bowskill</w:t>
      </w:r>
      <w:proofErr w:type="spellEnd"/>
      <w:r w:rsidRPr="00253EF7">
        <w:rPr>
          <w:rFonts w:ascii="Arial" w:hAnsi="Arial" w:cs="Arial"/>
          <w:iCs/>
          <w:lang w:val="en-US"/>
        </w:rPr>
        <w:t xml:space="preserve"> CJ, Morrison and Bond JJA).  Their Honours </w:t>
      </w:r>
      <w:r>
        <w:rPr>
          <w:rFonts w:ascii="Arial" w:hAnsi="Arial" w:cs="Arial"/>
          <w:iCs/>
          <w:lang w:val="en-US"/>
        </w:rPr>
        <w:t xml:space="preserve">held that, </w:t>
      </w:r>
      <w:r w:rsidR="001F7D6D">
        <w:rPr>
          <w:rFonts w:ascii="Arial" w:hAnsi="Arial" w:cs="Arial"/>
          <w:iCs/>
          <w:lang w:val="en-US"/>
        </w:rPr>
        <w:br/>
      </w:r>
      <w:r>
        <w:rPr>
          <w:rFonts w:ascii="Arial" w:hAnsi="Arial" w:cs="Arial"/>
          <w:iCs/>
          <w:lang w:val="en-US"/>
        </w:rPr>
        <w:t>although supervision orders make directions enforceable, the source of the power to give the Direction was the DPSO Act and not the Supervision Order.  Power was conferred either expressly or impliedly by s 16</w:t>
      </w:r>
      <w:proofErr w:type="gramStart"/>
      <w:r>
        <w:rPr>
          <w:rFonts w:ascii="Arial" w:hAnsi="Arial" w:cs="Arial"/>
          <w:iCs/>
          <w:lang w:val="en-US"/>
        </w:rPr>
        <w:t>C(</w:t>
      </w:r>
      <w:proofErr w:type="gramEnd"/>
      <w:r>
        <w:rPr>
          <w:rFonts w:ascii="Arial" w:hAnsi="Arial" w:cs="Arial"/>
          <w:iCs/>
          <w:lang w:val="en-US"/>
        </w:rPr>
        <w:t xml:space="preserve">1) of the DPSO Act.  </w:t>
      </w:r>
      <w:r w:rsidR="001F7D6D">
        <w:rPr>
          <w:rFonts w:ascii="Arial" w:hAnsi="Arial" w:cs="Arial"/>
          <w:iCs/>
          <w:lang w:val="en-US"/>
        </w:rPr>
        <w:br/>
      </w:r>
      <w:r>
        <w:rPr>
          <w:rFonts w:ascii="Arial" w:hAnsi="Arial" w:cs="Arial"/>
          <w:iCs/>
          <w:lang w:val="en-US"/>
        </w:rPr>
        <w:t xml:space="preserve">The Court of Appeal also held that the Direction was a decision which </w:t>
      </w:r>
      <w:r w:rsidRPr="0029469F">
        <w:rPr>
          <w:rFonts w:ascii="Arial" w:hAnsi="Arial" w:cs="Arial"/>
          <w:i/>
          <w:iCs/>
          <w:color w:val="000000" w:themeColor="text1"/>
        </w:rPr>
        <w:t>itself</w:t>
      </w:r>
      <w:r>
        <w:rPr>
          <w:rFonts w:ascii="Arial" w:hAnsi="Arial" w:cs="Arial"/>
          <w:color w:val="000000" w:themeColor="text1"/>
        </w:rPr>
        <w:t xml:space="preserve"> altered or affected legal rights or obligations, as Mr Lawrence was obliged to comply with it </w:t>
      </w:r>
      <w:r>
        <w:rPr>
          <w:rFonts w:ascii="Arial" w:hAnsi="Arial" w:cs="Arial"/>
          <w:color w:val="000000" w:themeColor="text1"/>
        </w:rPr>
        <w:lastRenderedPageBreak/>
        <w:t xml:space="preserve">at the time it was made, without more.  Bond JA further explained that although </w:t>
      </w:r>
      <w:r w:rsidR="001F7D6D">
        <w:rPr>
          <w:rFonts w:ascii="Arial" w:hAnsi="Arial" w:cs="Arial"/>
          <w:color w:val="000000" w:themeColor="text1"/>
        </w:rPr>
        <w:br/>
      </w:r>
      <w:r>
        <w:rPr>
          <w:rFonts w:ascii="Arial" w:hAnsi="Arial" w:cs="Arial"/>
          <w:color w:val="000000" w:themeColor="text1"/>
        </w:rPr>
        <w:t>Mr Lawrence’s rights were affected by a judicial decision in the making of the Supervision Order, that decision operated so that Mr Lawrence’s rights were capable of being affected by the second type of decision, namely the Direction.  Mr Lawrence’s rights were then affected by the Direction in a way in which they had not previously been affected.</w:t>
      </w:r>
    </w:p>
    <w:p w14:paraId="70AAEDA1" w14:textId="77777777" w:rsidR="000D0AD3" w:rsidRPr="00253EF7" w:rsidRDefault="000D0AD3" w:rsidP="000D0AD3">
      <w:pPr>
        <w:pStyle w:val="NormalWeb"/>
        <w:shd w:val="clear" w:color="auto" w:fill="FFFFFF"/>
        <w:spacing w:before="0" w:beforeAutospacing="0" w:after="0" w:afterAutospacing="0"/>
        <w:jc w:val="both"/>
        <w:rPr>
          <w:rFonts w:ascii="Arial" w:hAnsi="Arial" w:cs="Arial"/>
          <w:iCs/>
          <w:lang w:val="en-US"/>
        </w:rPr>
      </w:pPr>
    </w:p>
    <w:p w14:paraId="686B28C1" w14:textId="77777777" w:rsidR="000D0AD3" w:rsidRDefault="000D0AD3" w:rsidP="000D0AD3">
      <w:pPr>
        <w:pStyle w:val="NormalWeb"/>
        <w:shd w:val="clear" w:color="auto" w:fill="FFFFFF" w:themeFill="background1"/>
        <w:spacing w:before="0" w:beforeAutospacing="0" w:after="0" w:afterAutospacing="0"/>
        <w:rPr>
          <w:rFonts w:ascii="Arial" w:hAnsi="Arial" w:cs="Arial"/>
          <w:iCs/>
        </w:rPr>
      </w:pPr>
      <w:r w:rsidRPr="00253EF7">
        <w:rPr>
          <w:rFonts w:ascii="Arial" w:hAnsi="Arial" w:cs="Arial"/>
          <w:iCs/>
        </w:rPr>
        <w:t>The sole ground of appeal is:</w:t>
      </w:r>
    </w:p>
    <w:p w14:paraId="72076A46" w14:textId="77777777" w:rsidR="000D0AD3" w:rsidRDefault="000D0AD3" w:rsidP="000D0AD3">
      <w:pPr>
        <w:pStyle w:val="NormalWeb"/>
        <w:shd w:val="clear" w:color="auto" w:fill="FFFFFF" w:themeFill="background1"/>
        <w:spacing w:before="0" w:beforeAutospacing="0" w:after="0" w:afterAutospacing="0"/>
        <w:rPr>
          <w:rFonts w:ascii="Arial" w:hAnsi="Arial" w:cs="Arial"/>
          <w:iCs/>
        </w:rPr>
      </w:pPr>
    </w:p>
    <w:p w14:paraId="2184EA6E" w14:textId="4F72D67F" w:rsidR="000D0AD3" w:rsidRPr="00CA01F7" w:rsidRDefault="000D0AD3" w:rsidP="000D0AD3">
      <w:pPr>
        <w:pStyle w:val="ListParagraph"/>
        <w:numPr>
          <w:ilvl w:val="0"/>
          <w:numId w:val="10"/>
        </w:numPr>
        <w:ind w:left="426" w:hanging="426"/>
        <w:rPr>
          <w:rFonts w:cs="Arial"/>
          <w:iCs/>
          <w:szCs w:val="24"/>
        </w:rPr>
      </w:pPr>
      <w:r w:rsidRPr="00253EF7">
        <w:rPr>
          <w:rFonts w:cs="Arial"/>
          <w:iCs/>
          <w:szCs w:val="24"/>
        </w:rPr>
        <w:t xml:space="preserve">The Court of Appeal erred in concluding that a </w:t>
      </w:r>
      <w:r>
        <w:rPr>
          <w:rFonts w:cs="Arial"/>
          <w:iCs/>
          <w:szCs w:val="24"/>
        </w:rPr>
        <w:t>direction</w:t>
      </w:r>
      <w:r w:rsidRPr="00253EF7">
        <w:rPr>
          <w:rFonts w:cs="Arial"/>
          <w:iCs/>
          <w:szCs w:val="24"/>
        </w:rPr>
        <w:t xml:space="preserve"> given by a </w:t>
      </w:r>
      <w:r w:rsidR="001F7D6D">
        <w:rPr>
          <w:rFonts w:cs="Arial"/>
          <w:iCs/>
          <w:szCs w:val="24"/>
        </w:rPr>
        <w:br/>
      </w:r>
      <w:r w:rsidRPr="00253EF7">
        <w:rPr>
          <w:rFonts w:cs="Arial"/>
          <w:iCs/>
          <w:szCs w:val="24"/>
        </w:rPr>
        <w:t xml:space="preserve">Corrective Services officer to a prisoner who is the subject of a supervision order under the DPSO Act “itself” affects rights in the sense necessary to qualify as a “decision … made under an enactment” within the meaning of </w:t>
      </w:r>
      <w:r w:rsidRPr="00CA01F7">
        <w:rPr>
          <w:rFonts w:cs="Arial"/>
          <w:iCs/>
          <w:szCs w:val="24"/>
        </w:rPr>
        <w:t>the JR Act.</w:t>
      </w:r>
    </w:p>
    <w:p w14:paraId="2F8FE93F" w14:textId="77777777" w:rsidR="000D0AD3" w:rsidRDefault="000D0AD3" w:rsidP="00913869"/>
    <w:p w14:paraId="0DCC2A27" w14:textId="6C79D223" w:rsidR="001F7D6D" w:rsidRDefault="001F7D6D">
      <w:r>
        <w:br w:type="page"/>
      </w:r>
    </w:p>
    <w:p w14:paraId="618C288D" w14:textId="77777777" w:rsidR="00C425CD" w:rsidRPr="00C425CD" w:rsidRDefault="00C425CD" w:rsidP="00C425CD">
      <w:pPr>
        <w:pStyle w:val="Heading1"/>
        <w:rPr>
          <w:b/>
          <w:bCs/>
          <w:sz w:val="28"/>
          <w:szCs w:val="28"/>
        </w:rPr>
      </w:pPr>
      <w:r w:rsidRPr="00C425CD">
        <w:rPr>
          <w:b/>
          <w:bCs/>
          <w:sz w:val="28"/>
          <w:szCs w:val="28"/>
        </w:rPr>
        <w:lastRenderedPageBreak/>
        <w:t>KRAMER &amp; ANOR v STONE</w:t>
      </w:r>
      <w:r w:rsidRPr="00C425CD">
        <w:rPr>
          <w:b/>
          <w:bCs/>
          <w:sz w:val="28"/>
          <w:szCs w:val="28"/>
          <w:u w:val="none"/>
        </w:rPr>
        <w:t xml:space="preserve"> (S53/2024)</w:t>
      </w:r>
    </w:p>
    <w:p w14:paraId="58FC9B43" w14:textId="77777777" w:rsidR="00C425CD" w:rsidRPr="00A729C0" w:rsidRDefault="00C425CD" w:rsidP="00C425CD">
      <w:pPr>
        <w:tabs>
          <w:tab w:val="left" w:pos="0"/>
        </w:tabs>
        <w:ind w:left="3600" w:hanging="3600"/>
        <w:rPr>
          <w:rFonts w:cs="Arial"/>
          <w:szCs w:val="24"/>
        </w:rPr>
      </w:pPr>
    </w:p>
    <w:p w14:paraId="6DDD44B6" w14:textId="77777777" w:rsidR="00C425CD" w:rsidRDefault="00C425CD" w:rsidP="00C425CD">
      <w:pPr>
        <w:ind w:left="3119" w:hanging="3119"/>
        <w:rPr>
          <w:rFonts w:cs="Arial"/>
          <w:szCs w:val="24"/>
        </w:rPr>
      </w:pPr>
      <w:r w:rsidRPr="004B2258">
        <w:rPr>
          <w:rFonts w:cs="Arial"/>
          <w:szCs w:val="24"/>
          <w:u w:val="single"/>
        </w:rPr>
        <w:t>Court appealed from</w:t>
      </w:r>
      <w:r w:rsidRPr="004B2258">
        <w:rPr>
          <w:rFonts w:cs="Arial"/>
          <w:szCs w:val="24"/>
        </w:rPr>
        <w:t>:</w:t>
      </w:r>
      <w:r>
        <w:rPr>
          <w:rFonts w:cs="Arial"/>
          <w:szCs w:val="24"/>
        </w:rPr>
        <w:tab/>
        <w:t xml:space="preserve">Court of Appeal of the Supreme Court of </w:t>
      </w:r>
      <w:r>
        <w:rPr>
          <w:rFonts w:cs="Arial"/>
          <w:szCs w:val="24"/>
        </w:rPr>
        <w:br/>
        <w:t xml:space="preserve">New South Wales </w:t>
      </w:r>
    </w:p>
    <w:p w14:paraId="5CA1DF1E" w14:textId="77777777" w:rsidR="00C425CD" w:rsidRDefault="00C425CD" w:rsidP="00C425CD">
      <w:pPr>
        <w:ind w:left="3119"/>
        <w:rPr>
          <w:rFonts w:cs="Arial"/>
          <w:szCs w:val="24"/>
        </w:rPr>
      </w:pPr>
      <w:r w:rsidRPr="00CF7747">
        <w:rPr>
          <w:rFonts w:cs="Arial"/>
          <w:szCs w:val="24"/>
        </w:rPr>
        <w:t>[2023] NSWCA 270</w:t>
      </w:r>
    </w:p>
    <w:p w14:paraId="48F97C68" w14:textId="77777777" w:rsidR="00C425CD" w:rsidRPr="004B2258" w:rsidRDefault="00C425CD" w:rsidP="00C425CD">
      <w:pPr>
        <w:ind w:left="3600" w:hanging="3600"/>
        <w:rPr>
          <w:rFonts w:cs="Arial"/>
          <w:szCs w:val="24"/>
        </w:rPr>
      </w:pPr>
    </w:p>
    <w:p w14:paraId="26267AF3" w14:textId="77777777" w:rsidR="00C425CD" w:rsidRDefault="00C425CD" w:rsidP="00C425CD">
      <w:pPr>
        <w:ind w:left="3119" w:hanging="3119"/>
        <w:rPr>
          <w:rFonts w:cs="Arial"/>
          <w:szCs w:val="24"/>
        </w:rPr>
      </w:pPr>
      <w:r w:rsidRPr="004B2258">
        <w:rPr>
          <w:rFonts w:cs="Arial"/>
          <w:szCs w:val="24"/>
          <w:u w:val="single"/>
        </w:rPr>
        <w:t>Date of judgment</w:t>
      </w:r>
      <w:r w:rsidRPr="004B2258">
        <w:rPr>
          <w:rFonts w:cs="Arial"/>
          <w:szCs w:val="24"/>
        </w:rPr>
        <w:t>:</w:t>
      </w:r>
      <w:r w:rsidRPr="004B2258">
        <w:rPr>
          <w:rFonts w:cs="Arial"/>
          <w:szCs w:val="24"/>
        </w:rPr>
        <w:tab/>
      </w:r>
      <w:r>
        <w:rPr>
          <w:rFonts w:cs="Arial"/>
          <w:szCs w:val="24"/>
        </w:rPr>
        <w:t>10 November 2023</w:t>
      </w:r>
    </w:p>
    <w:p w14:paraId="2D477599" w14:textId="77777777" w:rsidR="00C425CD" w:rsidRDefault="00C425CD" w:rsidP="00C425CD">
      <w:pPr>
        <w:ind w:left="3600" w:hanging="3600"/>
        <w:rPr>
          <w:rFonts w:cs="Arial"/>
          <w:szCs w:val="24"/>
        </w:rPr>
      </w:pPr>
    </w:p>
    <w:p w14:paraId="297746B3" w14:textId="77777777" w:rsidR="00C425CD" w:rsidRDefault="00C425CD" w:rsidP="00C425CD">
      <w:pPr>
        <w:ind w:left="3119" w:hanging="3119"/>
        <w:rPr>
          <w:rFonts w:cs="Arial"/>
          <w:szCs w:val="24"/>
        </w:rPr>
      </w:pPr>
      <w:r>
        <w:rPr>
          <w:rFonts w:cs="Arial"/>
          <w:szCs w:val="24"/>
          <w:u w:val="single"/>
        </w:rPr>
        <w:t>Special leave granted</w:t>
      </w:r>
      <w:r>
        <w:rPr>
          <w:rFonts w:cs="Arial"/>
          <w:szCs w:val="24"/>
        </w:rPr>
        <w:t xml:space="preserve">: </w:t>
      </w:r>
      <w:r>
        <w:rPr>
          <w:rFonts w:cs="Arial"/>
          <w:szCs w:val="24"/>
        </w:rPr>
        <w:tab/>
        <w:t>11 April 2024</w:t>
      </w:r>
    </w:p>
    <w:p w14:paraId="5FE00BE1" w14:textId="77777777" w:rsidR="00C425CD" w:rsidRDefault="00C425CD" w:rsidP="00C425CD">
      <w:pPr>
        <w:tabs>
          <w:tab w:val="left" w:pos="0"/>
        </w:tabs>
        <w:rPr>
          <w:rFonts w:cs="Arial"/>
          <w:szCs w:val="24"/>
        </w:rPr>
      </w:pPr>
    </w:p>
    <w:p w14:paraId="3134A230" w14:textId="5040653D" w:rsidR="00C425CD" w:rsidRDefault="00C425CD" w:rsidP="00C425CD">
      <w:pPr>
        <w:tabs>
          <w:tab w:val="left" w:pos="0"/>
        </w:tabs>
        <w:jc w:val="both"/>
        <w:rPr>
          <w:rFonts w:cs="Arial"/>
          <w:szCs w:val="24"/>
        </w:rPr>
      </w:pPr>
      <w:r>
        <w:rPr>
          <w:rFonts w:cs="Arial"/>
          <w:szCs w:val="24"/>
        </w:rPr>
        <w:t xml:space="preserve">The appellants are the executors of the estate of the late Dame Leonie Judith Kramer.  Relevantly, the first appellant (“Hilary”) is one of two daughters of </w:t>
      </w:r>
      <w:r w:rsidR="005B3550">
        <w:rPr>
          <w:rFonts w:cs="Arial"/>
          <w:szCs w:val="24"/>
        </w:rPr>
        <w:br/>
      </w:r>
      <w:r>
        <w:rPr>
          <w:rFonts w:cs="Arial"/>
          <w:szCs w:val="24"/>
        </w:rPr>
        <w:t xml:space="preserve">Dame Leonie. Dame Leonie died on 20 April 2016.  At the time of her death, </w:t>
      </w:r>
      <w:r w:rsidR="005B3550">
        <w:rPr>
          <w:rFonts w:cs="Arial"/>
          <w:szCs w:val="24"/>
        </w:rPr>
        <w:br/>
      </w:r>
      <w:r>
        <w:rPr>
          <w:rFonts w:cs="Arial"/>
          <w:szCs w:val="24"/>
        </w:rPr>
        <w:t xml:space="preserve">Dame Leonie was the sole owner of a rural property of approximately 100 acres </w:t>
      </w:r>
      <w:r w:rsidR="00260747">
        <w:rPr>
          <w:rFonts w:cs="Arial"/>
          <w:szCs w:val="24"/>
        </w:rPr>
        <w:br/>
      </w:r>
      <w:r>
        <w:rPr>
          <w:rFonts w:cs="Arial"/>
          <w:szCs w:val="24"/>
        </w:rPr>
        <w:t xml:space="preserve">in Upper Colo, New South Wales (“the Colo Property”), her husband </w:t>
      </w:r>
      <w:r w:rsidR="005B3550">
        <w:rPr>
          <w:rFonts w:cs="Arial"/>
          <w:szCs w:val="24"/>
        </w:rPr>
        <w:br/>
      </w:r>
      <w:r>
        <w:rPr>
          <w:rFonts w:cs="Arial"/>
          <w:szCs w:val="24"/>
        </w:rPr>
        <w:t xml:space="preserve">(Dr Harry Kramer) having died in 1988.  By her will made on 11 November 2011, Dame Leonie left the Colo Property to Hilary.  At the time of the grant of probate in December 2016, the Colo Property was valued at $1.5 million.  This matter concerns the entitlement to the Colo Property. </w:t>
      </w:r>
    </w:p>
    <w:p w14:paraId="4B3ED10C" w14:textId="77777777" w:rsidR="00C425CD" w:rsidRDefault="00C425CD" w:rsidP="00C425CD">
      <w:pPr>
        <w:tabs>
          <w:tab w:val="left" w:pos="0"/>
        </w:tabs>
        <w:jc w:val="both"/>
        <w:rPr>
          <w:rFonts w:cs="Arial"/>
          <w:szCs w:val="24"/>
        </w:rPr>
      </w:pPr>
    </w:p>
    <w:p w14:paraId="43E68962" w14:textId="5178AC4D" w:rsidR="00C425CD" w:rsidRDefault="00C425CD" w:rsidP="00C425CD">
      <w:pPr>
        <w:tabs>
          <w:tab w:val="left" w:pos="0"/>
        </w:tabs>
        <w:jc w:val="both"/>
        <w:rPr>
          <w:rFonts w:cs="Arial"/>
          <w:szCs w:val="24"/>
        </w:rPr>
      </w:pPr>
      <w:r>
        <w:rPr>
          <w:rFonts w:cs="Arial"/>
          <w:szCs w:val="24"/>
        </w:rPr>
        <w:t xml:space="preserve">The respondent had been farming on the Colo Property under an oral share farming agreement for some decades.  The respondent claimed that he was entitled to the Colo Property </w:t>
      </w:r>
      <w:proofErr w:type="gramStart"/>
      <w:r>
        <w:rPr>
          <w:rFonts w:cs="Arial"/>
          <w:szCs w:val="24"/>
        </w:rPr>
        <w:t>on the basis of</w:t>
      </w:r>
      <w:proofErr w:type="gramEnd"/>
      <w:r>
        <w:rPr>
          <w:rFonts w:cs="Arial"/>
          <w:szCs w:val="24"/>
        </w:rPr>
        <w:t xml:space="preserve"> a representation allegedly made to him by </w:t>
      </w:r>
      <w:r w:rsidR="00260747">
        <w:rPr>
          <w:rFonts w:cs="Arial"/>
          <w:szCs w:val="24"/>
        </w:rPr>
        <w:br/>
      </w:r>
      <w:r>
        <w:rPr>
          <w:rFonts w:cs="Arial"/>
          <w:szCs w:val="24"/>
        </w:rPr>
        <w:t>Dame Leonie that he would receive the Colo Property on her death, following earlier similar representations made to him by Dr Kramer.  He claims that in leaving the Colo Property to Hilary rather than to himself, Dame Leonie acted unconscionably in conflict with the representations that had been made to him by Dame Leonie and Dr Kramer.  The respondent maintains that he relied on the representations, conducted the share farming, and undertook additional tasks on the Colo Property in circumstances where he did not, as he otherwise would have, terminate the share farming agreement to seek more remunerative work elsewhere.  It is noted that Dame Leonie made a bequest of $200,000 to the respondent in her will.</w:t>
      </w:r>
    </w:p>
    <w:p w14:paraId="7E314E23" w14:textId="77777777" w:rsidR="00C425CD" w:rsidRDefault="00C425CD" w:rsidP="00C425CD">
      <w:pPr>
        <w:tabs>
          <w:tab w:val="left" w:pos="0"/>
        </w:tabs>
        <w:jc w:val="both"/>
        <w:rPr>
          <w:rFonts w:cs="Arial"/>
          <w:szCs w:val="24"/>
        </w:rPr>
      </w:pPr>
      <w:r>
        <w:rPr>
          <w:rFonts w:cs="Arial"/>
          <w:szCs w:val="24"/>
        </w:rPr>
        <w:t xml:space="preserve"> </w:t>
      </w:r>
    </w:p>
    <w:p w14:paraId="448F973D" w14:textId="1D76E954" w:rsidR="00C425CD" w:rsidRDefault="00C425CD" w:rsidP="00C425CD">
      <w:pPr>
        <w:tabs>
          <w:tab w:val="left" w:pos="0"/>
        </w:tabs>
        <w:jc w:val="both"/>
        <w:rPr>
          <w:rFonts w:cs="Arial"/>
          <w:szCs w:val="24"/>
        </w:rPr>
      </w:pPr>
      <w:r>
        <w:rPr>
          <w:rFonts w:cs="Arial"/>
          <w:szCs w:val="24"/>
        </w:rPr>
        <w:t xml:space="preserve">The issues raised in this matter are whether, in a proprietary estoppel case, </w:t>
      </w:r>
      <w:r w:rsidR="00260747">
        <w:rPr>
          <w:rFonts w:cs="Arial"/>
          <w:szCs w:val="24"/>
        </w:rPr>
        <w:br/>
      </w:r>
      <w:r>
        <w:rPr>
          <w:rFonts w:cs="Arial"/>
          <w:szCs w:val="24"/>
        </w:rPr>
        <w:t>the element of encouragement coupled with reasonable and detrimental reliance by the respondent is sufficient to establish unconscionable conduct; and the type of knowledge of the detriment (if any) that is required.</w:t>
      </w:r>
    </w:p>
    <w:p w14:paraId="53A9E92F" w14:textId="77777777" w:rsidR="00C425CD" w:rsidRDefault="00C425CD" w:rsidP="00C425CD">
      <w:pPr>
        <w:tabs>
          <w:tab w:val="left" w:pos="0"/>
        </w:tabs>
        <w:jc w:val="both"/>
        <w:rPr>
          <w:rFonts w:cs="Arial"/>
          <w:szCs w:val="24"/>
        </w:rPr>
      </w:pPr>
    </w:p>
    <w:p w14:paraId="38638ABD" w14:textId="77777777" w:rsidR="00C425CD" w:rsidRPr="00A16824" w:rsidRDefault="00C425CD" w:rsidP="00C425CD">
      <w:pPr>
        <w:tabs>
          <w:tab w:val="left" w:pos="0"/>
        </w:tabs>
        <w:jc w:val="both"/>
        <w:rPr>
          <w:rFonts w:cs="Arial"/>
          <w:szCs w:val="24"/>
        </w:rPr>
      </w:pPr>
      <w:r>
        <w:rPr>
          <w:rFonts w:cs="Arial"/>
          <w:szCs w:val="24"/>
        </w:rPr>
        <w:t xml:space="preserve">The primary judge (Justice Robb) found that the respondent had established an entitlement to equitable relief and that the Colo Property was held on constructive trust for the respondent </w:t>
      </w:r>
      <w:proofErr w:type="gramStart"/>
      <w:r>
        <w:rPr>
          <w:rFonts w:cs="Arial"/>
          <w:szCs w:val="24"/>
        </w:rPr>
        <w:t>on the basis of</w:t>
      </w:r>
      <w:proofErr w:type="gramEnd"/>
      <w:r>
        <w:rPr>
          <w:rFonts w:cs="Arial"/>
          <w:szCs w:val="24"/>
        </w:rPr>
        <w:t xml:space="preserve"> an equitable estoppel arising out of the representation made by Dame Leonie to the respondent.  The appellants appealed to the Court of Appeal, which dismissed the appeal.</w:t>
      </w:r>
    </w:p>
    <w:p w14:paraId="5DCE4641" w14:textId="77777777" w:rsidR="00C425CD" w:rsidRDefault="00C425CD" w:rsidP="00C425CD">
      <w:pPr>
        <w:tabs>
          <w:tab w:val="left" w:pos="0"/>
        </w:tabs>
        <w:jc w:val="both"/>
        <w:rPr>
          <w:rFonts w:cs="Arial"/>
          <w:szCs w:val="24"/>
        </w:rPr>
      </w:pPr>
      <w:bookmarkStart w:id="0" w:name="para28"/>
      <w:bookmarkStart w:id="1" w:name="para4"/>
      <w:bookmarkStart w:id="2" w:name="Heading109"/>
      <w:bookmarkEnd w:id="0"/>
      <w:bookmarkEnd w:id="1"/>
      <w:bookmarkEnd w:id="2"/>
    </w:p>
    <w:p w14:paraId="4D6A2466" w14:textId="6BD4D2E7" w:rsidR="00C425CD" w:rsidRDefault="00C425CD" w:rsidP="00C425CD">
      <w:pPr>
        <w:tabs>
          <w:tab w:val="left" w:pos="0"/>
        </w:tabs>
        <w:jc w:val="both"/>
        <w:rPr>
          <w:rFonts w:cs="Arial"/>
          <w:szCs w:val="24"/>
        </w:rPr>
      </w:pPr>
      <w:r>
        <w:rPr>
          <w:rFonts w:cs="Arial"/>
          <w:szCs w:val="24"/>
        </w:rPr>
        <w:t xml:space="preserve">The appellants submit that the equity </w:t>
      </w:r>
      <w:proofErr w:type="spellStart"/>
      <w:r>
        <w:rPr>
          <w:rFonts w:cs="Arial"/>
          <w:szCs w:val="24"/>
        </w:rPr>
        <w:t>recognised</w:t>
      </w:r>
      <w:proofErr w:type="spellEnd"/>
      <w:r>
        <w:rPr>
          <w:rFonts w:cs="Arial"/>
          <w:szCs w:val="24"/>
        </w:rPr>
        <w:t xml:space="preserve"> by proprietary estoppel arises from the conduct of the donor </w:t>
      </w:r>
      <w:r>
        <w:rPr>
          <w:rFonts w:cs="Arial"/>
          <w:szCs w:val="24"/>
          <w:u w:val="single"/>
        </w:rPr>
        <w:t>after</w:t>
      </w:r>
      <w:r>
        <w:rPr>
          <w:rFonts w:cs="Arial"/>
          <w:szCs w:val="24"/>
        </w:rPr>
        <w:t xml:space="preserve"> making the voluntary promise, and that the </w:t>
      </w:r>
      <w:r w:rsidR="00A52E38">
        <w:rPr>
          <w:rFonts w:cs="Arial"/>
          <w:szCs w:val="24"/>
        </w:rPr>
        <w:br/>
      </w:r>
      <w:r>
        <w:rPr>
          <w:rFonts w:cs="Arial"/>
          <w:szCs w:val="24"/>
        </w:rPr>
        <w:t xml:space="preserve">Court of Appeal’s conclusion departed from this position and was contrary to </w:t>
      </w:r>
      <w:r w:rsidR="00A52E38">
        <w:rPr>
          <w:rFonts w:cs="Arial"/>
          <w:szCs w:val="24"/>
        </w:rPr>
        <w:br/>
      </w:r>
      <w:r>
        <w:rPr>
          <w:rFonts w:cs="Arial"/>
          <w:szCs w:val="24"/>
        </w:rPr>
        <w:t xml:space="preserve">binding authority on the issue, particularly the decision in </w:t>
      </w:r>
      <w:r>
        <w:rPr>
          <w:rFonts w:cs="Arial"/>
          <w:i/>
          <w:iCs/>
          <w:szCs w:val="24"/>
        </w:rPr>
        <w:t xml:space="preserve">Olsson v Dyson </w:t>
      </w:r>
      <w:r w:rsidRPr="003F68E1">
        <w:rPr>
          <w:rFonts w:cs="Arial"/>
          <w:szCs w:val="24"/>
        </w:rPr>
        <w:t>(</w:t>
      </w:r>
      <w:r>
        <w:rPr>
          <w:rFonts w:cs="Arial"/>
          <w:szCs w:val="24"/>
        </w:rPr>
        <w:t xml:space="preserve">1969) </w:t>
      </w:r>
      <w:r w:rsidR="00A52E38">
        <w:rPr>
          <w:rFonts w:cs="Arial"/>
          <w:szCs w:val="24"/>
        </w:rPr>
        <w:br/>
      </w:r>
      <w:r>
        <w:rPr>
          <w:rFonts w:cs="Arial"/>
          <w:szCs w:val="24"/>
        </w:rPr>
        <w:t xml:space="preserve">120 CLR 365.  The appellants further submit that the Court of Appeal ought to have held that constructive knowledge of detrimental reliance is insufficient to establish unconscionability in this case, where knowledge was the only relevant matter arising </w:t>
      </w:r>
      <w:r>
        <w:rPr>
          <w:rFonts w:cs="Arial"/>
          <w:szCs w:val="24"/>
          <w:u w:val="single"/>
        </w:rPr>
        <w:t>after</w:t>
      </w:r>
      <w:r>
        <w:rPr>
          <w:rFonts w:cs="Arial"/>
          <w:szCs w:val="24"/>
        </w:rPr>
        <w:t xml:space="preserve"> the making of the promise which could support a conclusion of unconscionability.</w:t>
      </w:r>
    </w:p>
    <w:p w14:paraId="213E4DCC" w14:textId="77777777" w:rsidR="00C425CD" w:rsidRDefault="00C425CD" w:rsidP="00C425CD">
      <w:pPr>
        <w:tabs>
          <w:tab w:val="left" w:pos="0"/>
        </w:tabs>
        <w:jc w:val="both"/>
        <w:rPr>
          <w:rFonts w:cs="Arial"/>
          <w:szCs w:val="24"/>
        </w:rPr>
      </w:pPr>
      <w:r>
        <w:rPr>
          <w:rFonts w:cs="Arial"/>
          <w:szCs w:val="24"/>
        </w:rPr>
        <w:lastRenderedPageBreak/>
        <w:t xml:space="preserve">The respondent objects to the statement of material facts as set out by the appellants, claiming it is inaccurate and tendentious, and that the appellants’ submissions </w:t>
      </w:r>
      <w:proofErr w:type="spellStart"/>
      <w:r>
        <w:rPr>
          <w:rFonts w:cs="Arial"/>
          <w:szCs w:val="24"/>
        </w:rPr>
        <w:t>mischaracterise</w:t>
      </w:r>
      <w:proofErr w:type="spellEnd"/>
      <w:r>
        <w:rPr>
          <w:rFonts w:cs="Arial"/>
          <w:szCs w:val="24"/>
        </w:rPr>
        <w:t xml:space="preserve"> what happened and what was determined by the primary judge and the Court of Appeal.  The respondent submits that the grant of special leave to appeal should be revoked.</w:t>
      </w:r>
    </w:p>
    <w:p w14:paraId="6E3B5AC1" w14:textId="77777777" w:rsidR="00C425CD" w:rsidRDefault="00C425CD" w:rsidP="00C425CD">
      <w:pPr>
        <w:tabs>
          <w:tab w:val="left" w:pos="0"/>
        </w:tabs>
        <w:jc w:val="both"/>
        <w:rPr>
          <w:rFonts w:cs="Arial"/>
          <w:szCs w:val="24"/>
        </w:rPr>
      </w:pPr>
    </w:p>
    <w:p w14:paraId="7615A189" w14:textId="77777777" w:rsidR="00C425CD" w:rsidRPr="00872ECB" w:rsidRDefault="00C425CD" w:rsidP="00C425CD">
      <w:pPr>
        <w:tabs>
          <w:tab w:val="left" w:pos="0"/>
        </w:tabs>
        <w:jc w:val="both"/>
        <w:rPr>
          <w:rFonts w:cs="Arial"/>
          <w:szCs w:val="24"/>
        </w:rPr>
      </w:pPr>
      <w:r w:rsidRPr="00872ECB">
        <w:rPr>
          <w:rFonts w:cs="Arial"/>
          <w:szCs w:val="24"/>
        </w:rPr>
        <w:t xml:space="preserve">The </w:t>
      </w:r>
      <w:r>
        <w:rPr>
          <w:rFonts w:cs="Arial"/>
          <w:szCs w:val="24"/>
        </w:rPr>
        <w:t>grounds of appeal are</w:t>
      </w:r>
      <w:r w:rsidRPr="00872ECB">
        <w:rPr>
          <w:rFonts w:cs="Arial"/>
          <w:szCs w:val="24"/>
        </w:rPr>
        <w:t>:</w:t>
      </w:r>
    </w:p>
    <w:p w14:paraId="36E2F5B0" w14:textId="77777777" w:rsidR="00C425CD" w:rsidRPr="00872ECB" w:rsidRDefault="00C425CD" w:rsidP="00C425CD">
      <w:pPr>
        <w:tabs>
          <w:tab w:val="left" w:pos="0"/>
        </w:tabs>
        <w:jc w:val="both"/>
        <w:rPr>
          <w:rFonts w:cs="Arial"/>
          <w:szCs w:val="24"/>
        </w:rPr>
      </w:pPr>
    </w:p>
    <w:p w14:paraId="3BF83096" w14:textId="77777777" w:rsidR="00C425CD" w:rsidRPr="0042459D" w:rsidRDefault="00C425CD" w:rsidP="00C425CD">
      <w:pPr>
        <w:numPr>
          <w:ilvl w:val="0"/>
          <w:numId w:val="11"/>
        </w:numPr>
        <w:tabs>
          <w:tab w:val="left" w:pos="0"/>
        </w:tabs>
        <w:ind w:left="426" w:hanging="426"/>
        <w:jc w:val="both"/>
        <w:rPr>
          <w:rFonts w:cs="Arial"/>
          <w:szCs w:val="24"/>
        </w:rPr>
      </w:pPr>
      <w:r>
        <w:rPr>
          <w:rFonts w:cs="Arial"/>
          <w:szCs w:val="24"/>
        </w:rPr>
        <w:t xml:space="preserve">The Court of Appeal erred by concluding that, in cases of proprietary estoppel by encouragement, the elements of </w:t>
      </w:r>
      <w:r>
        <w:rPr>
          <w:rFonts w:cs="Arial"/>
          <w:i/>
          <w:iCs/>
          <w:szCs w:val="24"/>
        </w:rPr>
        <w:t>encouragement</w:t>
      </w:r>
      <w:r>
        <w:rPr>
          <w:rFonts w:cs="Arial"/>
          <w:szCs w:val="24"/>
        </w:rPr>
        <w:t xml:space="preserve"> coupled with </w:t>
      </w:r>
      <w:r>
        <w:rPr>
          <w:rFonts w:cs="Arial"/>
          <w:i/>
          <w:iCs/>
          <w:szCs w:val="24"/>
        </w:rPr>
        <w:t>reasonable</w:t>
      </w:r>
      <w:r>
        <w:rPr>
          <w:rFonts w:cs="Arial"/>
          <w:szCs w:val="24"/>
        </w:rPr>
        <w:t xml:space="preserve"> and </w:t>
      </w:r>
      <w:r>
        <w:rPr>
          <w:rFonts w:cs="Arial"/>
          <w:i/>
          <w:iCs/>
          <w:szCs w:val="24"/>
        </w:rPr>
        <w:t>detrimental reliance</w:t>
      </w:r>
      <w:r>
        <w:t xml:space="preserve"> are sufficient, without more, to establish unconscionable conduct.  Consistently with authority of this Court binding upon it, the Court of Appeal ought to have held:</w:t>
      </w:r>
    </w:p>
    <w:p w14:paraId="3B6CC78E" w14:textId="77777777" w:rsidR="00C425CD" w:rsidRPr="002E5B88" w:rsidRDefault="00C425CD" w:rsidP="00C425CD">
      <w:pPr>
        <w:tabs>
          <w:tab w:val="left" w:pos="0"/>
        </w:tabs>
        <w:ind w:left="720"/>
        <w:jc w:val="both"/>
        <w:rPr>
          <w:rFonts w:cs="Arial"/>
          <w:szCs w:val="24"/>
        </w:rPr>
      </w:pPr>
    </w:p>
    <w:p w14:paraId="57305CFD" w14:textId="77777777" w:rsidR="00C425CD" w:rsidRDefault="00C425CD" w:rsidP="00C425CD">
      <w:pPr>
        <w:pStyle w:val="ListParagraph"/>
        <w:numPr>
          <w:ilvl w:val="0"/>
          <w:numId w:val="12"/>
        </w:numPr>
        <w:tabs>
          <w:tab w:val="left" w:pos="0"/>
        </w:tabs>
        <w:ind w:left="851" w:hanging="425"/>
      </w:pPr>
      <w:r>
        <w:t>the equity “</w:t>
      </w:r>
      <w:r w:rsidRPr="00D85C91">
        <w:rPr>
          <w:i/>
          <w:iCs/>
        </w:rPr>
        <w:t xml:space="preserve">arises… from the conduct of the donor </w:t>
      </w:r>
      <w:r w:rsidRPr="00D85C91">
        <w:rPr>
          <w:i/>
          <w:iCs/>
          <w:u w:val="single"/>
        </w:rPr>
        <w:t>after</w:t>
      </w:r>
      <w:r w:rsidRPr="00D85C91">
        <w:rPr>
          <w:i/>
          <w:iCs/>
        </w:rPr>
        <w:t xml:space="preserve"> making the voluntary promise</w:t>
      </w:r>
      <w:r>
        <w:t>”; and</w:t>
      </w:r>
    </w:p>
    <w:p w14:paraId="756C3DE8" w14:textId="77777777" w:rsidR="00C425CD" w:rsidRDefault="00C425CD" w:rsidP="00C425CD">
      <w:pPr>
        <w:pStyle w:val="ListParagraph"/>
        <w:tabs>
          <w:tab w:val="left" w:pos="0"/>
        </w:tabs>
        <w:ind w:left="1080"/>
        <w:rPr>
          <w:rFonts w:cs="Arial"/>
          <w:szCs w:val="24"/>
        </w:rPr>
      </w:pPr>
    </w:p>
    <w:p w14:paraId="548FF1FA" w14:textId="77777777" w:rsidR="00C425CD" w:rsidRPr="002E5B88" w:rsidRDefault="00C425CD" w:rsidP="00C425CD">
      <w:pPr>
        <w:pStyle w:val="ListParagraph"/>
        <w:numPr>
          <w:ilvl w:val="0"/>
          <w:numId w:val="12"/>
        </w:numPr>
        <w:tabs>
          <w:tab w:val="left" w:pos="0"/>
        </w:tabs>
        <w:ind w:left="851" w:hanging="425"/>
        <w:rPr>
          <w:rFonts w:cs="Arial"/>
          <w:szCs w:val="24"/>
        </w:rPr>
      </w:pPr>
      <w:r>
        <w:rPr>
          <w:rFonts w:cs="Arial"/>
          <w:szCs w:val="24"/>
        </w:rPr>
        <w:t>constructive knowledge of detrimental reliance is insufficient to establish unconscionability, at least where (as in this case) knowledge is the only matter which would support an unconscionability finding.</w:t>
      </w:r>
    </w:p>
    <w:p w14:paraId="187F7CDB" w14:textId="77777777" w:rsidR="001F7D6D" w:rsidRDefault="001F7D6D" w:rsidP="00913869"/>
    <w:p w14:paraId="065311F5" w14:textId="3BE4AA83" w:rsidR="00C425CD" w:rsidRDefault="00C425CD">
      <w:r>
        <w:br w:type="page"/>
      </w:r>
    </w:p>
    <w:p w14:paraId="39AC78FD" w14:textId="77777777" w:rsidR="004B1867" w:rsidRDefault="004B1867" w:rsidP="004B1867">
      <w:pPr>
        <w:pStyle w:val="NoSpacing"/>
        <w:rPr>
          <w:rFonts w:ascii="Arial" w:eastAsia="Times New Roman" w:hAnsi="Arial" w:cs="Arial"/>
          <w:b/>
          <w:color w:val="000000"/>
          <w:sz w:val="28"/>
          <w:szCs w:val="28"/>
          <w:lang w:eastAsia="en-AU"/>
        </w:rPr>
      </w:pPr>
      <w:bookmarkStart w:id="3" w:name="_Hlk115879848"/>
      <w:r w:rsidRPr="001B2BF7">
        <w:rPr>
          <w:rFonts w:ascii="Arial" w:eastAsia="Times New Roman" w:hAnsi="Arial" w:cs="Arial"/>
          <w:b/>
          <w:color w:val="000000"/>
          <w:sz w:val="28"/>
          <w:szCs w:val="28"/>
          <w:u w:val="single"/>
          <w:lang w:eastAsia="en-AU"/>
        </w:rPr>
        <w:lastRenderedPageBreak/>
        <w:t xml:space="preserve">SKYCITY ADELAIDE PTY LTD </w:t>
      </w:r>
      <w:r>
        <w:rPr>
          <w:rFonts w:ascii="Arial" w:eastAsia="Times New Roman" w:hAnsi="Arial" w:cs="Arial"/>
          <w:b/>
          <w:color w:val="000000"/>
          <w:sz w:val="28"/>
          <w:szCs w:val="28"/>
          <w:u w:val="single"/>
          <w:lang w:eastAsia="en-AU"/>
        </w:rPr>
        <w:t>v</w:t>
      </w:r>
      <w:r w:rsidRPr="001B2BF7">
        <w:rPr>
          <w:rFonts w:ascii="Arial" w:eastAsia="Times New Roman" w:hAnsi="Arial" w:cs="Arial"/>
          <w:b/>
          <w:color w:val="000000"/>
          <w:sz w:val="28"/>
          <w:szCs w:val="28"/>
          <w:u w:val="single"/>
          <w:lang w:eastAsia="en-AU"/>
        </w:rPr>
        <w:t xml:space="preserve"> TREASURER OF SOUTH AUSTRALIA &amp; ANOR</w:t>
      </w:r>
      <w:r w:rsidRPr="006206FE">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A10/2024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28AA5B00" w14:textId="77777777" w:rsidR="004B1867" w:rsidRPr="00A920AB" w:rsidRDefault="004B1867" w:rsidP="004B1867">
      <w:pPr>
        <w:rPr>
          <w:rFonts w:cs="Arial"/>
          <w:szCs w:val="24"/>
        </w:rPr>
      </w:pPr>
    </w:p>
    <w:p w14:paraId="2A71E7B7" w14:textId="77777777" w:rsidR="004B1867" w:rsidRPr="006206FE" w:rsidRDefault="004B1867" w:rsidP="004B1867">
      <w:pPr>
        <w:ind w:left="3119" w:hanging="3119"/>
        <w:rPr>
          <w:rFonts w:cs="Arial"/>
          <w:szCs w:val="24"/>
        </w:rPr>
      </w:pPr>
      <w:r w:rsidRPr="006206FE">
        <w:rPr>
          <w:rFonts w:cs="Arial"/>
          <w:szCs w:val="24"/>
          <w:u w:val="single"/>
        </w:rPr>
        <w:t>Court appealed from</w:t>
      </w:r>
      <w:r w:rsidRPr="006206FE">
        <w:rPr>
          <w:rFonts w:cs="Arial"/>
          <w:szCs w:val="24"/>
        </w:rPr>
        <w:t xml:space="preserve">: </w:t>
      </w:r>
      <w:r w:rsidRPr="006206FE">
        <w:rPr>
          <w:rFonts w:cs="Arial"/>
          <w:szCs w:val="24"/>
        </w:rPr>
        <w:tab/>
        <w:t>Supreme Court of South Australia Court of Appeal</w:t>
      </w:r>
    </w:p>
    <w:p w14:paraId="6ED333B7" w14:textId="77777777" w:rsidR="004B1867" w:rsidRPr="006206FE" w:rsidRDefault="004B1867" w:rsidP="004B1867">
      <w:pPr>
        <w:ind w:left="3119"/>
        <w:rPr>
          <w:rFonts w:cs="Arial"/>
          <w:szCs w:val="24"/>
        </w:rPr>
      </w:pPr>
      <w:r w:rsidRPr="006206FE">
        <w:rPr>
          <w:rFonts w:cs="Arial"/>
          <w:szCs w:val="24"/>
        </w:rPr>
        <w:t>[2024] SASCA 14</w:t>
      </w:r>
      <w:r w:rsidRPr="006206FE">
        <w:rPr>
          <w:rFonts w:cs="Arial"/>
          <w:szCs w:val="24"/>
        </w:rPr>
        <w:tab/>
      </w:r>
    </w:p>
    <w:p w14:paraId="3773E453" w14:textId="77777777" w:rsidR="004B1867" w:rsidRPr="006206FE" w:rsidRDefault="004B1867" w:rsidP="004B1867">
      <w:pPr>
        <w:ind w:left="3119" w:hanging="3119"/>
        <w:rPr>
          <w:rFonts w:cs="Arial"/>
          <w:szCs w:val="24"/>
        </w:rPr>
      </w:pPr>
    </w:p>
    <w:p w14:paraId="740B0CE8" w14:textId="77777777" w:rsidR="004B1867" w:rsidRPr="006206FE" w:rsidRDefault="004B1867" w:rsidP="004B1867">
      <w:pPr>
        <w:ind w:left="3119" w:hanging="3119"/>
        <w:rPr>
          <w:rFonts w:cs="Arial"/>
          <w:szCs w:val="24"/>
        </w:rPr>
      </w:pPr>
      <w:r w:rsidRPr="006206FE">
        <w:rPr>
          <w:rFonts w:cs="Arial"/>
          <w:szCs w:val="24"/>
          <w:u w:val="single"/>
        </w:rPr>
        <w:t>Date of judgment</w:t>
      </w:r>
      <w:r w:rsidRPr="006206FE">
        <w:rPr>
          <w:rFonts w:cs="Arial"/>
          <w:szCs w:val="24"/>
        </w:rPr>
        <w:t>:</w:t>
      </w:r>
      <w:r w:rsidRPr="006206FE">
        <w:rPr>
          <w:rFonts w:cs="Arial"/>
          <w:szCs w:val="24"/>
        </w:rPr>
        <w:tab/>
        <w:t>22 February 2024</w:t>
      </w:r>
      <w:r w:rsidRPr="006206FE">
        <w:rPr>
          <w:rFonts w:cs="Arial"/>
          <w:szCs w:val="24"/>
        </w:rPr>
        <w:tab/>
      </w:r>
      <w:r w:rsidRPr="006206FE">
        <w:rPr>
          <w:rFonts w:cs="Arial"/>
          <w:szCs w:val="24"/>
        </w:rPr>
        <w:tab/>
      </w:r>
    </w:p>
    <w:p w14:paraId="66FB086E" w14:textId="77777777" w:rsidR="004B1867" w:rsidRPr="006206FE" w:rsidRDefault="004B1867" w:rsidP="004B1867">
      <w:pPr>
        <w:ind w:left="3119" w:hanging="3119"/>
        <w:rPr>
          <w:rFonts w:cs="Arial"/>
          <w:szCs w:val="24"/>
        </w:rPr>
      </w:pPr>
    </w:p>
    <w:p w14:paraId="477F5062" w14:textId="77777777" w:rsidR="004B1867" w:rsidRPr="006206FE" w:rsidRDefault="004B1867" w:rsidP="004B1867">
      <w:pPr>
        <w:ind w:left="3119" w:hanging="3119"/>
        <w:rPr>
          <w:rFonts w:cs="Arial"/>
          <w:szCs w:val="24"/>
        </w:rPr>
      </w:pPr>
      <w:r w:rsidRPr="006206FE">
        <w:rPr>
          <w:rFonts w:cs="Arial"/>
          <w:szCs w:val="24"/>
          <w:u w:val="single"/>
        </w:rPr>
        <w:t>Special leave granted</w:t>
      </w:r>
      <w:r w:rsidRPr="006206FE">
        <w:rPr>
          <w:rFonts w:cs="Arial"/>
          <w:szCs w:val="24"/>
        </w:rPr>
        <w:t>:</w:t>
      </w:r>
      <w:r w:rsidRPr="006206FE">
        <w:rPr>
          <w:rFonts w:cs="Arial"/>
          <w:szCs w:val="24"/>
        </w:rPr>
        <w:tab/>
        <w:t>6 June 2024</w:t>
      </w:r>
    </w:p>
    <w:p w14:paraId="7A3B9312" w14:textId="77777777" w:rsidR="004B1867" w:rsidRPr="006206FE" w:rsidRDefault="004B1867" w:rsidP="004B1867">
      <w:pPr>
        <w:shd w:val="clear" w:color="auto" w:fill="FFFFFF"/>
        <w:jc w:val="both"/>
        <w:rPr>
          <w:rFonts w:cs="Arial"/>
          <w:szCs w:val="24"/>
        </w:rPr>
      </w:pPr>
      <w:bookmarkStart w:id="4" w:name="Heading133"/>
      <w:bookmarkEnd w:id="4"/>
    </w:p>
    <w:p w14:paraId="5A8600B7" w14:textId="0B2D2E6C" w:rsidR="004B1867" w:rsidRPr="004B1867" w:rsidRDefault="004B1867" w:rsidP="004B1867">
      <w:pPr>
        <w:pStyle w:val="NormalWeb"/>
        <w:shd w:val="clear" w:color="auto" w:fill="FFFFFF"/>
        <w:spacing w:before="0" w:beforeAutospacing="0" w:after="0" w:afterAutospacing="0"/>
        <w:jc w:val="both"/>
        <w:rPr>
          <w:rFonts w:ascii="Arial" w:hAnsi="Arial" w:cs="Arial"/>
        </w:rPr>
      </w:pPr>
      <w:r w:rsidRPr="004B1867">
        <w:rPr>
          <w:rFonts w:ascii="Arial" w:hAnsi="Arial" w:cs="Arial"/>
        </w:rPr>
        <w:t xml:space="preserve">The appellant (“SkyCity”) operates the SkyCity Casino in Adelaide pursuant </w:t>
      </w:r>
      <w:r w:rsidR="004A533A">
        <w:rPr>
          <w:rFonts w:ascii="Arial" w:hAnsi="Arial" w:cs="Arial"/>
        </w:rPr>
        <w:br/>
      </w:r>
      <w:r w:rsidRPr="004B1867">
        <w:rPr>
          <w:rFonts w:ascii="Arial" w:hAnsi="Arial" w:cs="Arial"/>
        </w:rPr>
        <w:t xml:space="preserve">to a licence granted under section 5(2) of the </w:t>
      </w:r>
      <w:hyperlink r:id="rId8" w:history="1">
        <w:r w:rsidRPr="004B1867">
          <w:rPr>
            <w:rStyle w:val="Hyperlink"/>
            <w:rFonts w:ascii="Arial" w:hAnsi="Arial" w:cs="Arial"/>
            <w:i/>
            <w:iCs/>
            <w:color w:val="auto"/>
            <w:u w:val="none"/>
          </w:rPr>
          <w:t>Casino Act 1997</w:t>
        </w:r>
      </w:hyperlink>
      <w:r w:rsidRPr="004B1867">
        <w:rPr>
          <w:rFonts w:ascii="Arial" w:hAnsi="Arial" w:cs="Arial"/>
        </w:rPr>
        <w:t xml:space="preserve"> (SA) </w:t>
      </w:r>
      <w:r w:rsidR="004A533A">
        <w:rPr>
          <w:rFonts w:ascii="Arial" w:hAnsi="Arial" w:cs="Arial"/>
        </w:rPr>
        <w:br/>
      </w:r>
      <w:r w:rsidRPr="004B1867">
        <w:rPr>
          <w:rFonts w:ascii="Arial" w:hAnsi="Arial" w:cs="Arial"/>
        </w:rPr>
        <w:t>(“the Casino Act”).  The conditions of the licence are contemplated by</w:t>
      </w:r>
      <w:r w:rsidR="004A533A">
        <w:rPr>
          <w:rFonts w:ascii="Arial" w:hAnsi="Arial" w:cs="Arial"/>
        </w:rPr>
        <w:t xml:space="preserve"> </w:t>
      </w:r>
      <w:hyperlink r:id="rId9" w:history="1">
        <w:r w:rsidRPr="004B1867">
          <w:rPr>
            <w:rStyle w:val="Hyperlink"/>
            <w:rFonts w:ascii="Arial" w:hAnsi="Arial" w:cs="Arial"/>
            <w:color w:val="auto"/>
            <w:u w:val="none"/>
          </w:rPr>
          <w:t>s</w:t>
        </w:r>
        <w:r w:rsidR="004A533A">
          <w:rPr>
            <w:rStyle w:val="Hyperlink"/>
            <w:rFonts w:ascii="Arial" w:hAnsi="Arial" w:cs="Arial"/>
            <w:color w:val="auto"/>
            <w:u w:val="none"/>
          </w:rPr>
          <w:t xml:space="preserve"> </w:t>
        </w:r>
        <w:r w:rsidRPr="004B1867">
          <w:rPr>
            <w:rStyle w:val="Hyperlink"/>
            <w:rFonts w:ascii="Arial" w:hAnsi="Arial" w:cs="Arial"/>
            <w:color w:val="auto"/>
            <w:u w:val="none"/>
          </w:rPr>
          <w:t>16</w:t>
        </w:r>
      </w:hyperlink>
      <w:r w:rsidR="004A533A">
        <w:rPr>
          <w:rFonts w:ascii="Arial" w:hAnsi="Arial" w:cs="Arial"/>
        </w:rPr>
        <w:t xml:space="preserve"> </w:t>
      </w:r>
      <w:r w:rsidRPr="004B1867">
        <w:rPr>
          <w:rFonts w:ascii="Arial" w:hAnsi="Arial" w:cs="Arial"/>
        </w:rPr>
        <w:t xml:space="preserve">of the </w:t>
      </w:r>
      <w:r w:rsidR="004A533A">
        <w:rPr>
          <w:rFonts w:ascii="Arial" w:hAnsi="Arial" w:cs="Arial"/>
        </w:rPr>
        <w:br/>
      </w:r>
      <w:r w:rsidRPr="004B1867">
        <w:rPr>
          <w:rFonts w:ascii="Arial" w:hAnsi="Arial" w:cs="Arial"/>
        </w:rPr>
        <w:t>Casino </w:t>
      </w:r>
      <w:hyperlink r:id="rId10" w:history="1">
        <w:r w:rsidRPr="004B1867">
          <w:rPr>
            <w:rStyle w:val="Hyperlink"/>
            <w:rFonts w:ascii="Arial" w:hAnsi="Arial" w:cs="Arial"/>
            <w:color w:val="auto"/>
            <w:u w:val="none"/>
          </w:rPr>
          <w:t>Act</w:t>
        </w:r>
      </w:hyperlink>
      <w:r w:rsidRPr="004B1867">
        <w:rPr>
          <w:rStyle w:val="Hyperlink"/>
          <w:rFonts w:ascii="Arial" w:hAnsi="Arial" w:cs="Arial"/>
          <w:color w:val="auto"/>
          <w:u w:val="none"/>
        </w:rPr>
        <w:t>,</w:t>
      </w:r>
      <w:r w:rsidR="004A533A">
        <w:rPr>
          <w:rFonts w:ascii="Arial" w:hAnsi="Arial" w:cs="Arial"/>
        </w:rPr>
        <w:t xml:space="preserve"> </w:t>
      </w:r>
      <w:r w:rsidRPr="004B1867">
        <w:rPr>
          <w:rFonts w:ascii="Arial" w:hAnsi="Arial" w:cs="Arial"/>
        </w:rPr>
        <w:t xml:space="preserve">which provides for an Approved Licensing Agreement (“ALA”).  </w:t>
      </w:r>
      <w:r w:rsidR="004A533A">
        <w:rPr>
          <w:rFonts w:ascii="Arial" w:hAnsi="Arial" w:cs="Arial"/>
        </w:rPr>
        <w:br/>
      </w:r>
      <w:r w:rsidRPr="004B1867">
        <w:rPr>
          <w:rFonts w:ascii="Arial" w:hAnsi="Arial" w:cs="Arial"/>
        </w:rPr>
        <w:t xml:space="preserve">On 27 October 1999, SkyCity and the Treasurer of South Australia for and on behalf of the State of South Australia (together, “the respondents”) </w:t>
      </w:r>
      <w:proofErr w:type="gramStart"/>
      <w:r w:rsidRPr="004B1867">
        <w:rPr>
          <w:rFonts w:ascii="Arial" w:hAnsi="Arial" w:cs="Arial"/>
        </w:rPr>
        <w:t>entered into</w:t>
      </w:r>
      <w:proofErr w:type="gramEnd"/>
      <w:r w:rsidRPr="004B1867">
        <w:rPr>
          <w:rFonts w:ascii="Arial" w:hAnsi="Arial" w:cs="Arial"/>
        </w:rPr>
        <w:t xml:space="preserve"> an ALA.  The most recent variation to that agreement took place on 20 October 2020.  </w:t>
      </w:r>
      <w:hyperlink r:id="rId11" w:history="1">
        <w:r w:rsidRPr="004B1867">
          <w:rPr>
            <w:rStyle w:val="Hyperlink"/>
            <w:rFonts w:ascii="Arial" w:hAnsi="Arial" w:cs="Arial"/>
            <w:color w:val="auto"/>
            <w:u w:val="none"/>
          </w:rPr>
          <w:t>Section</w:t>
        </w:r>
        <w:r w:rsidR="004A533A">
          <w:rPr>
            <w:rStyle w:val="Hyperlink"/>
            <w:rFonts w:ascii="Arial" w:hAnsi="Arial" w:cs="Arial"/>
            <w:color w:val="auto"/>
            <w:u w:val="none"/>
          </w:rPr>
          <w:t xml:space="preserve"> </w:t>
        </w:r>
        <w:r w:rsidRPr="004B1867">
          <w:rPr>
            <w:rStyle w:val="Hyperlink"/>
            <w:rFonts w:ascii="Arial" w:hAnsi="Arial" w:cs="Arial"/>
            <w:color w:val="auto"/>
            <w:u w:val="none"/>
          </w:rPr>
          <w:t>51</w:t>
        </w:r>
      </w:hyperlink>
      <w:r w:rsidR="004A533A">
        <w:rPr>
          <w:rFonts w:ascii="Arial" w:hAnsi="Arial" w:cs="Arial"/>
        </w:rPr>
        <w:t xml:space="preserve"> </w:t>
      </w:r>
      <w:r w:rsidRPr="004B1867">
        <w:rPr>
          <w:rFonts w:ascii="Arial" w:hAnsi="Arial" w:cs="Arial"/>
        </w:rPr>
        <w:t>of the Casino Act</w:t>
      </w:r>
      <w:r w:rsidRPr="004B1867">
        <w:rPr>
          <w:rFonts w:ascii="Arial" w:hAnsi="Arial" w:cs="Arial"/>
          <w:i/>
          <w:iCs/>
        </w:rPr>
        <w:t xml:space="preserve"> </w:t>
      </w:r>
      <w:r w:rsidRPr="004B1867">
        <w:rPr>
          <w:rFonts w:ascii="Arial" w:hAnsi="Arial" w:cs="Arial"/>
        </w:rPr>
        <w:t xml:space="preserve">provides that a licensee must pay casino duty </w:t>
      </w:r>
      <w:r w:rsidR="004A533A">
        <w:rPr>
          <w:rFonts w:ascii="Arial" w:hAnsi="Arial" w:cs="Arial"/>
        </w:rPr>
        <w:br/>
      </w:r>
      <w:r w:rsidRPr="004B1867">
        <w:rPr>
          <w:rFonts w:ascii="Arial" w:hAnsi="Arial" w:cs="Arial"/>
        </w:rPr>
        <w:t xml:space="preserve">(and interest and penalties for late payment).  The calculation of casino duty is governed by a separate Casino Duty Agreement (“CDA”), as contemplated by </w:t>
      </w:r>
      <w:hyperlink r:id="rId12" w:history="1">
        <w:r w:rsidRPr="004B1867">
          <w:rPr>
            <w:rStyle w:val="Hyperlink"/>
            <w:rFonts w:ascii="Arial" w:hAnsi="Arial" w:cs="Arial"/>
            <w:color w:val="auto"/>
            <w:u w:val="none"/>
          </w:rPr>
          <w:t>s 17</w:t>
        </w:r>
      </w:hyperlink>
      <w:r w:rsidRPr="004B1867">
        <w:rPr>
          <w:rFonts w:ascii="Arial" w:hAnsi="Arial" w:cs="Arial"/>
        </w:rPr>
        <w:t xml:space="preserve"> of the Casino Act.  The CDA has been varied by agreement several times since its inception in 1999.  Pursuant to the CDA, SkyCity is obliged to pay casino duty on “net gambling revenue”, which comprises “gross gambling revenue” less the </w:t>
      </w:r>
      <w:proofErr w:type="gramStart"/>
      <w:r w:rsidRPr="004B1867">
        <w:rPr>
          <w:rFonts w:ascii="Arial" w:hAnsi="Arial" w:cs="Arial"/>
        </w:rPr>
        <w:t>amount</w:t>
      </w:r>
      <w:proofErr w:type="gramEnd"/>
      <w:r w:rsidRPr="004B1867">
        <w:rPr>
          <w:rFonts w:ascii="Arial" w:hAnsi="Arial" w:cs="Arial"/>
        </w:rPr>
        <w:t xml:space="preserve"> of monetary prizes (and some other specified amounts).</w:t>
      </w:r>
    </w:p>
    <w:p w14:paraId="61D64AF7" w14:textId="77777777" w:rsidR="004B1867" w:rsidRDefault="004B1867" w:rsidP="004B1867">
      <w:pPr>
        <w:pStyle w:val="NormalWeb"/>
        <w:shd w:val="clear" w:color="auto" w:fill="FFFFFF"/>
        <w:spacing w:before="0" w:beforeAutospacing="0" w:after="0" w:afterAutospacing="0"/>
        <w:jc w:val="both"/>
        <w:rPr>
          <w:rFonts w:ascii="Arial" w:hAnsi="Arial" w:cs="Arial"/>
        </w:rPr>
      </w:pPr>
    </w:p>
    <w:p w14:paraId="7506C171" w14:textId="76FE8BF5" w:rsidR="004B1867" w:rsidRDefault="004B1867" w:rsidP="004B1867">
      <w:pPr>
        <w:pStyle w:val="NormalWeb"/>
        <w:shd w:val="clear" w:color="auto" w:fill="FFFFFF"/>
        <w:spacing w:before="0" w:beforeAutospacing="0" w:after="0" w:afterAutospacing="0"/>
        <w:jc w:val="both"/>
        <w:rPr>
          <w:rFonts w:ascii="Arial" w:hAnsi="Arial" w:cs="Arial"/>
        </w:rPr>
      </w:pPr>
      <w:r w:rsidRPr="006206FE">
        <w:rPr>
          <w:rFonts w:ascii="Arial" w:hAnsi="Arial" w:cs="Arial"/>
        </w:rPr>
        <w:t xml:space="preserve">SkyCity operates a rewards program within the casino. </w:t>
      </w:r>
      <w:r>
        <w:rPr>
          <w:rFonts w:ascii="Arial" w:hAnsi="Arial" w:cs="Arial"/>
        </w:rPr>
        <w:t xml:space="preserve"> </w:t>
      </w:r>
      <w:r w:rsidRPr="006206FE">
        <w:rPr>
          <w:rFonts w:ascii="Arial" w:hAnsi="Arial" w:cs="Arial"/>
        </w:rPr>
        <w:t xml:space="preserve">Customers who participate in the rewards program </w:t>
      </w:r>
      <w:proofErr w:type="gramStart"/>
      <w:r w:rsidRPr="006206FE">
        <w:rPr>
          <w:rFonts w:ascii="Arial" w:hAnsi="Arial" w:cs="Arial"/>
        </w:rPr>
        <w:t>are able to</w:t>
      </w:r>
      <w:proofErr w:type="gramEnd"/>
      <w:r w:rsidRPr="006206FE">
        <w:rPr>
          <w:rFonts w:ascii="Arial" w:hAnsi="Arial" w:cs="Arial"/>
        </w:rPr>
        <w:t xml:space="preserve"> accumulate ‘Points’ when using the </w:t>
      </w:r>
      <w:r w:rsidR="004A533A">
        <w:rPr>
          <w:rFonts w:ascii="Arial" w:hAnsi="Arial" w:cs="Arial"/>
        </w:rPr>
        <w:br/>
      </w:r>
      <w:r w:rsidRPr="006206FE">
        <w:rPr>
          <w:rFonts w:ascii="Arial" w:hAnsi="Arial" w:cs="Arial"/>
        </w:rPr>
        <w:t xml:space="preserve">cashless gaming system that is operative in Electronic Gaming Machines and </w:t>
      </w:r>
      <w:r w:rsidR="004A533A">
        <w:rPr>
          <w:rFonts w:ascii="Arial" w:hAnsi="Arial" w:cs="Arial"/>
        </w:rPr>
        <w:br/>
      </w:r>
      <w:r w:rsidRPr="006206FE">
        <w:rPr>
          <w:rFonts w:ascii="Arial" w:hAnsi="Arial" w:cs="Arial"/>
        </w:rPr>
        <w:t xml:space="preserve">Automated Table Games. </w:t>
      </w:r>
      <w:r>
        <w:rPr>
          <w:rFonts w:ascii="Arial" w:hAnsi="Arial" w:cs="Arial"/>
        </w:rPr>
        <w:t xml:space="preserve"> </w:t>
      </w:r>
      <w:r w:rsidRPr="006206FE">
        <w:rPr>
          <w:rFonts w:ascii="Arial" w:hAnsi="Arial" w:cs="Arial"/>
        </w:rPr>
        <w:t xml:space="preserve">Points can be converted into ‘Credits’. </w:t>
      </w:r>
      <w:r>
        <w:rPr>
          <w:rFonts w:ascii="Arial" w:hAnsi="Arial" w:cs="Arial"/>
        </w:rPr>
        <w:t xml:space="preserve"> </w:t>
      </w:r>
      <w:r w:rsidRPr="006206FE">
        <w:rPr>
          <w:rFonts w:ascii="Arial" w:hAnsi="Arial" w:cs="Arial"/>
        </w:rPr>
        <w:t xml:space="preserve">To enable a conversion, a customer must first wager Credits on the same trading day in an amount equal in value to the nominal value of the Points they wish to convert. </w:t>
      </w:r>
      <w:r>
        <w:rPr>
          <w:rFonts w:ascii="Arial" w:hAnsi="Arial" w:cs="Arial"/>
        </w:rPr>
        <w:t xml:space="preserve"> </w:t>
      </w:r>
      <w:r w:rsidR="004A533A">
        <w:rPr>
          <w:rFonts w:ascii="Arial" w:hAnsi="Arial" w:cs="Arial"/>
        </w:rPr>
        <w:br/>
      </w:r>
      <w:r w:rsidRPr="006206FE">
        <w:rPr>
          <w:rFonts w:ascii="Arial" w:hAnsi="Arial" w:cs="Arial"/>
        </w:rPr>
        <w:t>Once the Points have passed through that ‘gate’, Credits can then be converted into cash or used for gambling (“Converted Credits”).</w:t>
      </w:r>
    </w:p>
    <w:p w14:paraId="1F37F27B" w14:textId="77777777" w:rsidR="004B1867" w:rsidRPr="006206FE" w:rsidRDefault="004B1867" w:rsidP="004B1867">
      <w:pPr>
        <w:pStyle w:val="NormalWeb"/>
        <w:shd w:val="clear" w:color="auto" w:fill="FFFFFF"/>
        <w:spacing w:before="0" w:beforeAutospacing="0" w:after="0" w:afterAutospacing="0"/>
        <w:jc w:val="both"/>
        <w:rPr>
          <w:rFonts w:ascii="Arial" w:hAnsi="Arial" w:cs="Arial"/>
        </w:rPr>
      </w:pPr>
    </w:p>
    <w:p w14:paraId="405E17D9" w14:textId="3AD3BDA7" w:rsidR="004B1867" w:rsidRDefault="004B1867" w:rsidP="004B1867">
      <w:pPr>
        <w:pStyle w:val="NormalWeb"/>
        <w:shd w:val="clear" w:color="auto" w:fill="FFFFFF"/>
        <w:spacing w:before="0" w:beforeAutospacing="0" w:after="0" w:afterAutospacing="0"/>
        <w:jc w:val="both"/>
        <w:rPr>
          <w:rFonts w:ascii="Arial" w:hAnsi="Arial" w:cs="Arial"/>
        </w:rPr>
      </w:pPr>
      <w:r w:rsidRPr="006206FE">
        <w:rPr>
          <w:rFonts w:ascii="Arial" w:hAnsi="Arial" w:cs="Arial"/>
        </w:rPr>
        <w:t xml:space="preserve">A dispute arose between the parties as to what duties are payable by SkyCity with respect to Converted Credits under the operative terms of the CDA.  </w:t>
      </w:r>
      <w:proofErr w:type="gramStart"/>
      <w:r w:rsidRPr="006206FE">
        <w:rPr>
          <w:rFonts w:ascii="Arial" w:hAnsi="Arial" w:cs="Arial"/>
        </w:rPr>
        <w:t>In particular</w:t>
      </w:r>
      <w:r>
        <w:rPr>
          <w:rFonts w:ascii="Arial" w:hAnsi="Arial" w:cs="Arial"/>
        </w:rPr>
        <w:t>,</w:t>
      </w:r>
      <w:r w:rsidRPr="006206FE">
        <w:rPr>
          <w:rFonts w:ascii="Arial" w:hAnsi="Arial" w:cs="Arial"/>
        </w:rPr>
        <w:t xml:space="preserve"> they</w:t>
      </w:r>
      <w:proofErr w:type="gramEnd"/>
      <w:r w:rsidRPr="006206FE">
        <w:rPr>
          <w:rFonts w:ascii="Arial" w:hAnsi="Arial" w:cs="Arial"/>
        </w:rPr>
        <w:t xml:space="preserve"> disagreed as to whether the value of the Converted Credits</w:t>
      </w:r>
      <w:r>
        <w:rPr>
          <w:rFonts w:ascii="Arial" w:hAnsi="Arial" w:cs="Arial"/>
        </w:rPr>
        <w:t>,</w:t>
      </w:r>
      <w:r w:rsidRPr="006206FE">
        <w:rPr>
          <w:rFonts w:ascii="Arial" w:hAnsi="Arial" w:cs="Arial"/>
        </w:rPr>
        <w:t xml:space="preserve"> which had been converted from Points and then wagered by a customer</w:t>
      </w:r>
      <w:r>
        <w:rPr>
          <w:rFonts w:ascii="Arial" w:hAnsi="Arial" w:cs="Arial"/>
        </w:rPr>
        <w:t>,</w:t>
      </w:r>
      <w:r w:rsidRPr="006206FE">
        <w:rPr>
          <w:rFonts w:ascii="Arial" w:hAnsi="Arial" w:cs="Arial"/>
        </w:rPr>
        <w:t xml:space="preserve"> were to be regarded as constituting “gross gambling revenue” and consequently “net gambling revenue</w:t>
      </w:r>
      <w:r>
        <w:rPr>
          <w:rFonts w:ascii="Arial" w:hAnsi="Arial" w:cs="Arial"/>
        </w:rPr>
        <w:t>”</w:t>
      </w:r>
      <w:r w:rsidRPr="006206FE">
        <w:rPr>
          <w:rFonts w:ascii="Arial" w:hAnsi="Arial" w:cs="Arial"/>
        </w:rPr>
        <w:t xml:space="preserve"> subject to duty at specified rates.</w:t>
      </w:r>
    </w:p>
    <w:p w14:paraId="74C5BE63" w14:textId="77777777" w:rsidR="004B1867" w:rsidRPr="006206FE" w:rsidRDefault="004B1867" w:rsidP="004B1867">
      <w:pPr>
        <w:pStyle w:val="NormalWeb"/>
        <w:shd w:val="clear" w:color="auto" w:fill="FFFFFF"/>
        <w:spacing w:before="0" w:beforeAutospacing="0" w:after="0" w:afterAutospacing="0"/>
        <w:jc w:val="both"/>
        <w:rPr>
          <w:rFonts w:ascii="Arial" w:hAnsi="Arial" w:cs="Arial"/>
        </w:rPr>
      </w:pPr>
    </w:p>
    <w:p w14:paraId="6125E502" w14:textId="1E4C231A" w:rsidR="004B1867" w:rsidRDefault="004B1867" w:rsidP="004B1867">
      <w:pPr>
        <w:pStyle w:val="NormalWeb"/>
        <w:shd w:val="clear" w:color="auto" w:fill="FFFFFF"/>
        <w:spacing w:before="0" w:beforeAutospacing="0" w:after="0" w:afterAutospacing="0"/>
        <w:jc w:val="both"/>
        <w:rPr>
          <w:rFonts w:ascii="Arial" w:hAnsi="Arial" w:cs="Arial"/>
        </w:rPr>
      </w:pPr>
      <w:r w:rsidRPr="006206FE">
        <w:rPr>
          <w:rFonts w:ascii="Arial" w:hAnsi="Arial" w:cs="Arial"/>
        </w:rPr>
        <w:t xml:space="preserve">In September 2022, SkyCity lodged a statement of claim in the Supreme Court of South Australia, seeking declarations as to the correct interpretation and effect of the CDA. </w:t>
      </w:r>
      <w:r>
        <w:rPr>
          <w:rFonts w:ascii="Arial" w:hAnsi="Arial" w:cs="Arial"/>
        </w:rPr>
        <w:t xml:space="preserve"> </w:t>
      </w:r>
      <w:r w:rsidRPr="006206FE">
        <w:rPr>
          <w:rFonts w:ascii="Arial" w:hAnsi="Arial" w:cs="Arial"/>
        </w:rPr>
        <w:t xml:space="preserve">The respondents filed a cross claim seeking payment of any duty payable by SkyCity should the respondents’ interpretation of the CDA be upheld. </w:t>
      </w:r>
      <w:r w:rsidRPr="006206FE">
        <w:rPr>
          <w:rFonts w:ascii="Source Sans Pro" w:hAnsi="Source Sans Pro"/>
          <w:sz w:val="29"/>
          <w:szCs w:val="29"/>
        </w:rPr>
        <w:t xml:space="preserve"> </w:t>
      </w:r>
      <w:r>
        <w:rPr>
          <w:rFonts w:ascii="Source Sans Pro" w:hAnsi="Source Sans Pro"/>
          <w:sz w:val="29"/>
          <w:szCs w:val="29"/>
        </w:rPr>
        <w:t xml:space="preserve"> </w:t>
      </w:r>
      <w:r w:rsidR="004A533A">
        <w:rPr>
          <w:rFonts w:ascii="Source Sans Pro" w:hAnsi="Source Sans Pro"/>
          <w:sz w:val="29"/>
          <w:szCs w:val="29"/>
        </w:rPr>
        <w:br/>
      </w:r>
      <w:r w:rsidRPr="006206FE">
        <w:rPr>
          <w:rFonts w:ascii="Arial" w:hAnsi="Arial" w:cs="Arial"/>
        </w:rPr>
        <w:t>In June 2023</w:t>
      </w:r>
      <w:r>
        <w:rPr>
          <w:rFonts w:ascii="Arial" w:hAnsi="Arial" w:cs="Arial"/>
        </w:rPr>
        <w:t>,</w:t>
      </w:r>
      <w:r w:rsidRPr="006206FE">
        <w:rPr>
          <w:rFonts w:ascii="Arial" w:hAnsi="Arial" w:cs="Arial"/>
        </w:rPr>
        <w:t xml:space="preserve"> a </w:t>
      </w:r>
      <w:r>
        <w:rPr>
          <w:rFonts w:ascii="Arial" w:hAnsi="Arial" w:cs="Arial"/>
        </w:rPr>
        <w:t>J</w:t>
      </w:r>
      <w:r w:rsidRPr="006206FE">
        <w:rPr>
          <w:rFonts w:ascii="Arial" w:hAnsi="Arial" w:cs="Arial"/>
        </w:rPr>
        <w:t xml:space="preserve">udge of the Supreme Court ordered that three questions of law be reserved for determination by the Court of Appeal. </w:t>
      </w:r>
    </w:p>
    <w:p w14:paraId="05CF601C" w14:textId="77777777" w:rsidR="004B1867" w:rsidRDefault="004B1867" w:rsidP="004B1867">
      <w:pPr>
        <w:pStyle w:val="NormalWeb"/>
        <w:shd w:val="clear" w:color="auto" w:fill="FFFFFF"/>
        <w:spacing w:before="0" w:beforeAutospacing="0" w:after="0" w:afterAutospacing="0"/>
        <w:jc w:val="both"/>
        <w:rPr>
          <w:rFonts w:ascii="Arial" w:hAnsi="Arial" w:cs="Arial"/>
        </w:rPr>
      </w:pPr>
    </w:p>
    <w:p w14:paraId="7FA6D89A" w14:textId="7B5355A6" w:rsidR="004B1867" w:rsidRPr="009B4B17" w:rsidRDefault="004B1867" w:rsidP="004B1867">
      <w:pPr>
        <w:pStyle w:val="NormalWeb"/>
        <w:shd w:val="clear" w:color="auto" w:fill="FFFFFF"/>
        <w:spacing w:before="0" w:beforeAutospacing="0" w:after="0" w:afterAutospacing="0"/>
        <w:jc w:val="both"/>
        <w:rPr>
          <w:rFonts w:ascii="Arial" w:hAnsi="Arial" w:cs="Arial"/>
        </w:rPr>
      </w:pPr>
      <w:r w:rsidRPr="009B4B17">
        <w:rPr>
          <w:rFonts w:ascii="Arial" w:hAnsi="Arial" w:cs="Arial"/>
        </w:rPr>
        <w:t xml:space="preserve">The Court of Appeal in answering those questions found that Points are fundamentally different from Credits.  They can be converted directly to cash and can be staked in gambling at any time.  They do not expire.  A positive Credit balance represents a chose in action against SkyCity, of monetary value to the amount represented by the Credit balance.  At the point of gambling, there is no distinction between Credits dependent on their genesis.  The duty regime under the </w:t>
      </w:r>
      <w:r w:rsidRPr="009B4B17">
        <w:rPr>
          <w:rFonts w:ascii="Arial" w:hAnsi="Arial" w:cs="Arial"/>
        </w:rPr>
        <w:lastRenderedPageBreak/>
        <w:t xml:space="preserve">Casino Act and the CDA is constructed </w:t>
      </w:r>
      <w:proofErr w:type="gramStart"/>
      <w:r w:rsidRPr="009B4B17">
        <w:rPr>
          <w:rFonts w:ascii="Arial" w:hAnsi="Arial" w:cs="Arial"/>
        </w:rPr>
        <w:t>on the basis of</w:t>
      </w:r>
      <w:proofErr w:type="gramEnd"/>
      <w:r w:rsidRPr="009B4B17">
        <w:rPr>
          <w:rFonts w:ascii="Arial" w:hAnsi="Arial" w:cs="Arial"/>
        </w:rPr>
        <w:t xml:space="preserve"> taxing the difference between the monetary value gained by the casino and the monetary value paid out at the point of gambling.  It does not purport to be a tax on a different form of ‘revenue’ received at some earlier point, such as when Credits are purchased.  </w:t>
      </w:r>
      <w:r w:rsidR="00AE4544">
        <w:rPr>
          <w:rFonts w:ascii="Arial" w:hAnsi="Arial" w:cs="Arial"/>
        </w:rPr>
        <w:br/>
      </w:r>
      <w:r w:rsidRPr="009B4B17">
        <w:rPr>
          <w:rFonts w:ascii="Arial" w:hAnsi="Arial" w:cs="Arial"/>
        </w:rPr>
        <w:t>The Court held that Points do not constitute a ‘monetary prize’ within the meaning of “net gambling revenue” in clause 1.1 of the CDA.  On the question related to interest and penalties, the Court found that the legislative regime provides for agreement on both interest and penalties.  This language, having regard to its ordinary usage in the law of contract, distinguishes objectively between interest as a compensatory device and penalties as a penal device.  Section</w:t>
      </w:r>
      <w:r w:rsidR="00AE4544">
        <w:rPr>
          <w:rFonts w:ascii="Arial" w:hAnsi="Arial" w:cs="Arial"/>
        </w:rPr>
        <w:t xml:space="preserve"> </w:t>
      </w:r>
      <w:r w:rsidRPr="009B4B17">
        <w:rPr>
          <w:rFonts w:ascii="Arial" w:hAnsi="Arial" w:cs="Arial"/>
        </w:rPr>
        <w:t>51</w:t>
      </w:r>
      <w:r w:rsidR="00AE4544">
        <w:rPr>
          <w:rFonts w:ascii="Arial" w:hAnsi="Arial" w:cs="Arial"/>
        </w:rPr>
        <w:t xml:space="preserve"> </w:t>
      </w:r>
      <w:r w:rsidRPr="009B4B17">
        <w:rPr>
          <w:rFonts w:ascii="Arial" w:hAnsi="Arial" w:cs="Arial"/>
        </w:rPr>
        <w:t xml:space="preserve">of the </w:t>
      </w:r>
      <w:r w:rsidR="00AE4544">
        <w:rPr>
          <w:rFonts w:ascii="Arial" w:hAnsi="Arial" w:cs="Arial"/>
        </w:rPr>
        <w:br/>
      </w:r>
      <w:r w:rsidRPr="009B4B17">
        <w:rPr>
          <w:rFonts w:ascii="Arial" w:hAnsi="Arial" w:cs="Arial"/>
        </w:rPr>
        <w:t xml:space="preserve">Casino Act contains no strong contextual indicator that the legislative regime has abolished the common law against, or the equitable jurisdiction to relieve against, interest provisions that go beyond the compensatory </w:t>
      </w:r>
      <w:proofErr w:type="gramStart"/>
      <w:r w:rsidRPr="009B4B17">
        <w:rPr>
          <w:rFonts w:ascii="Arial" w:hAnsi="Arial" w:cs="Arial"/>
        </w:rPr>
        <w:t>so as to</w:t>
      </w:r>
      <w:proofErr w:type="gramEnd"/>
      <w:r w:rsidRPr="009B4B17">
        <w:rPr>
          <w:rFonts w:ascii="Arial" w:hAnsi="Arial" w:cs="Arial"/>
        </w:rPr>
        <w:t xml:space="preserve"> operate as penalties.</w:t>
      </w:r>
    </w:p>
    <w:p w14:paraId="3ED08242" w14:textId="77777777" w:rsidR="004B1867" w:rsidRPr="009B4B17" w:rsidRDefault="004B1867" w:rsidP="004B1867">
      <w:pPr>
        <w:pStyle w:val="NormalWeb"/>
        <w:shd w:val="clear" w:color="auto" w:fill="FFFFFF"/>
        <w:spacing w:before="0" w:beforeAutospacing="0" w:after="0" w:afterAutospacing="0"/>
        <w:jc w:val="both"/>
        <w:rPr>
          <w:rFonts w:ascii="Arial" w:hAnsi="Arial" w:cs="Arial"/>
        </w:rPr>
      </w:pPr>
    </w:p>
    <w:p w14:paraId="6021F09F" w14:textId="77777777" w:rsidR="004B1867" w:rsidRDefault="004B1867" w:rsidP="004B1867">
      <w:pPr>
        <w:pStyle w:val="NormalWeb"/>
        <w:shd w:val="clear" w:color="auto" w:fill="FFFFFF"/>
        <w:spacing w:before="0" w:beforeAutospacing="0" w:after="0" w:afterAutospacing="0"/>
        <w:jc w:val="both"/>
        <w:rPr>
          <w:rFonts w:ascii="Arial" w:hAnsi="Arial" w:cs="Arial"/>
        </w:rPr>
      </w:pPr>
      <w:r w:rsidRPr="006206FE">
        <w:rPr>
          <w:rFonts w:ascii="Arial" w:hAnsi="Arial" w:cs="Arial"/>
        </w:rPr>
        <w:t>The appeal to this Court relate</w:t>
      </w:r>
      <w:r>
        <w:rPr>
          <w:rFonts w:ascii="Arial" w:hAnsi="Arial" w:cs="Arial"/>
        </w:rPr>
        <w:t>s</w:t>
      </w:r>
      <w:r w:rsidRPr="006206FE">
        <w:rPr>
          <w:rFonts w:ascii="Arial" w:hAnsi="Arial" w:cs="Arial"/>
        </w:rPr>
        <w:t xml:space="preserve"> to the first question reserved.</w:t>
      </w:r>
    </w:p>
    <w:p w14:paraId="1118EB04" w14:textId="77777777" w:rsidR="004B1867" w:rsidRPr="006206FE" w:rsidRDefault="004B1867" w:rsidP="004B1867">
      <w:pPr>
        <w:shd w:val="clear" w:color="auto" w:fill="FFFFFF"/>
        <w:jc w:val="both"/>
        <w:rPr>
          <w:rFonts w:cs="Arial"/>
          <w:szCs w:val="24"/>
        </w:rPr>
      </w:pPr>
      <w:r>
        <w:rPr>
          <w:rFonts w:cs="Arial"/>
          <w:szCs w:val="24"/>
        </w:rPr>
        <w:br/>
      </w:r>
      <w:r w:rsidRPr="006206FE">
        <w:rPr>
          <w:rFonts w:cs="Arial"/>
          <w:szCs w:val="24"/>
        </w:rPr>
        <w:t xml:space="preserve">The </w:t>
      </w:r>
      <w:r>
        <w:rPr>
          <w:rFonts w:cs="Arial"/>
          <w:szCs w:val="24"/>
        </w:rPr>
        <w:t xml:space="preserve">sole </w:t>
      </w:r>
      <w:r w:rsidRPr="006206FE">
        <w:rPr>
          <w:rFonts w:cs="Arial"/>
          <w:szCs w:val="24"/>
        </w:rPr>
        <w:t>ground of appeal is:</w:t>
      </w:r>
      <w:bookmarkEnd w:id="3"/>
      <w:r w:rsidRPr="006206FE">
        <w:rPr>
          <w:rFonts w:cs="Arial"/>
          <w:szCs w:val="24"/>
        </w:rPr>
        <w:t xml:space="preserve"> </w:t>
      </w:r>
    </w:p>
    <w:p w14:paraId="03FCB779" w14:textId="77777777" w:rsidR="004B1867" w:rsidRPr="006206FE" w:rsidRDefault="004B1867" w:rsidP="004B1867">
      <w:pPr>
        <w:shd w:val="clear" w:color="auto" w:fill="FFFFFF"/>
        <w:jc w:val="both"/>
        <w:rPr>
          <w:rFonts w:cs="Arial"/>
          <w:szCs w:val="24"/>
        </w:rPr>
      </w:pPr>
    </w:p>
    <w:p w14:paraId="11174738" w14:textId="3940B835" w:rsidR="004B1867" w:rsidRPr="006174F4" w:rsidRDefault="004B1867" w:rsidP="004B1867">
      <w:pPr>
        <w:pStyle w:val="ListParagraph"/>
        <w:numPr>
          <w:ilvl w:val="0"/>
          <w:numId w:val="14"/>
        </w:numPr>
        <w:autoSpaceDE w:val="0"/>
        <w:autoSpaceDN w:val="0"/>
        <w:adjustRightInd w:val="0"/>
        <w:ind w:left="426" w:hanging="426"/>
        <w:rPr>
          <w:rFonts w:cs="Arial"/>
          <w:szCs w:val="24"/>
        </w:rPr>
      </w:pPr>
      <w:r w:rsidRPr="006174F4">
        <w:rPr>
          <w:rFonts w:cs="Arial"/>
          <w:szCs w:val="24"/>
        </w:rPr>
        <w:t xml:space="preserve">The Court of Appeal erred in answering “Yes” to </w:t>
      </w:r>
      <w:r>
        <w:rPr>
          <w:rFonts w:cs="Arial"/>
          <w:szCs w:val="24"/>
        </w:rPr>
        <w:t>Q</w:t>
      </w:r>
      <w:r w:rsidRPr="006174F4">
        <w:rPr>
          <w:rFonts w:cs="Arial"/>
          <w:szCs w:val="24"/>
        </w:rPr>
        <w:t>uestion 1 of the case stated, on the basis that the concepts of “gross gambling revenue” and “net gambling revenue” in the</w:t>
      </w:r>
      <w:r w:rsidRPr="00F66476">
        <w:rPr>
          <w:rFonts w:cs="Arial"/>
          <w:color w:val="FF0000"/>
          <w:szCs w:val="24"/>
        </w:rPr>
        <w:t xml:space="preserve"> </w:t>
      </w:r>
      <w:r w:rsidRPr="00570B02">
        <w:rPr>
          <w:rFonts w:cs="Arial"/>
          <w:szCs w:val="24"/>
        </w:rPr>
        <w:t>CDA</w:t>
      </w:r>
      <w:r>
        <w:rPr>
          <w:rFonts w:cs="Arial"/>
          <w:szCs w:val="24"/>
        </w:rPr>
        <w:t xml:space="preserve"> </w:t>
      </w:r>
      <w:r w:rsidRPr="006174F4">
        <w:rPr>
          <w:rFonts w:cs="Arial"/>
          <w:szCs w:val="24"/>
        </w:rPr>
        <w:t xml:space="preserve">included the value of </w:t>
      </w:r>
      <w:r>
        <w:rPr>
          <w:rFonts w:cs="Arial"/>
          <w:szCs w:val="24"/>
        </w:rPr>
        <w:t>C</w:t>
      </w:r>
      <w:r w:rsidRPr="006174F4">
        <w:rPr>
          <w:rFonts w:cs="Arial"/>
          <w:szCs w:val="24"/>
        </w:rPr>
        <w:t>redits wagered on electronic gambling which had their source in loyalty points given to customers by the appellant</w:t>
      </w:r>
      <w:r>
        <w:rPr>
          <w:rFonts w:cs="Arial"/>
          <w:szCs w:val="24"/>
        </w:rPr>
        <w:t xml:space="preserve">. </w:t>
      </w:r>
    </w:p>
    <w:p w14:paraId="4513F3E7" w14:textId="77777777" w:rsidR="004B1867" w:rsidRPr="006206FE" w:rsidRDefault="004B1867" w:rsidP="004B1867">
      <w:pPr>
        <w:autoSpaceDE w:val="0"/>
        <w:autoSpaceDN w:val="0"/>
        <w:adjustRightInd w:val="0"/>
        <w:jc w:val="both"/>
        <w:rPr>
          <w:rFonts w:cs="Arial"/>
          <w:szCs w:val="24"/>
        </w:rPr>
      </w:pPr>
    </w:p>
    <w:p w14:paraId="2980C67A" w14:textId="77777777" w:rsidR="004B1867" w:rsidRPr="006206FE" w:rsidRDefault="004B1867" w:rsidP="004B1867">
      <w:pPr>
        <w:autoSpaceDE w:val="0"/>
        <w:autoSpaceDN w:val="0"/>
        <w:adjustRightInd w:val="0"/>
        <w:jc w:val="both"/>
        <w:rPr>
          <w:rFonts w:cs="Arial"/>
          <w:szCs w:val="24"/>
        </w:rPr>
      </w:pPr>
      <w:r w:rsidRPr="006206FE">
        <w:rPr>
          <w:rFonts w:cs="Arial"/>
          <w:szCs w:val="24"/>
        </w:rPr>
        <w:t>The respondents have filed a notice of cross-appeal with the following grounds:</w:t>
      </w:r>
    </w:p>
    <w:p w14:paraId="4C4AFCD4" w14:textId="77777777" w:rsidR="004B1867" w:rsidRPr="006206FE" w:rsidRDefault="004B1867" w:rsidP="004B1867">
      <w:pPr>
        <w:autoSpaceDE w:val="0"/>
        <w:autoSpaceDN w:val="0"/>
        <w:adjustRightInd w:val="0"/>
        <w:jc w:val="both"/>
        <w:rPr>
          <w:rFonts w:cs="Arial"/>
          <w:szCs w:val="24"/>
        </w:rPr>
      </w:pPr>
    </w:p>
    <w:p w14:paraId="73D227EE" w14:textId="77777777" w:rsidR="004B1867" w:rsidRDefault="004B1867" w:rsidP="004B1867">
      <w:pPr>
        <w:pStyle w:val="ListParagraph"/>
        <w:numPr>
          <w:ilvl w:val="0"/>
          <w:numId w:val="13"/>
        </w:numPr>
        <w:autoSpaceDE w:val="0"/>
        <w:autoSpaceDN w:val="0"/>
        <w:adjustRightInd w:val="0"/>
        <w:ind w:left="426" w:hanging="426"/>
        <w:rPr>
          <w:rFonts w:cs="Arial"/>
          <w:szCs w:val="24"/>
        </w:rPr>
      </w:pPr>
      <w:r w:rsidRPr="006206FE">
        <w:rPr>
          <w:rFonts w:cs="Arial"/>
          <w:szCs w:val="24"/>
        </w:rPr>
        <w:t xml:space="preserve">The Court of Appeal erred in answering “Yes” to Question 3 of the case stated. </w:t>
      </w:r>
      <w:r>
        <w:rPr>
          <w:rFonts w:cs="Arial"/>
          <w:szCs w:val="24"/>
        </w:rPr>
        <w:t xml:space="preserve"> </w:t>
      </w:r>
      <w:r w:rsidRPr="006206FE">
        <w:rPr>
          <w:rFonts w:cs="Arial"/>
          <w:szCs w:val="24"/>
        </w:rPr>
        <w:t xml:space="preserve">The Court of Appeal should have found that ss 17 and 51 of the </w:t>
      </w:r>
      <w:r w:rsidRPr="006206FE">
        <w:rPr>
          <w:rFonts w:cs="Arial"/>
          <w:i/>
          <w:iCs/>
          <w:szCs w:val="24"/>
        </w:rPr>
        <w:t xml:space="preserve">Casino Act 1997 </w:t>
      </w:r>
      <w:r w:rsidRPr="006206FE">
        <w:rPr>
          <w:rFonts w:cs="Arial"/>
          <w:szCs w:val="24"/>
        </w:rPr>
        <w:t xml:space="preserve">(SA) have the effect that the common law or equitable principles concerning penalty clauses do not apply to cl 11 of the </w:t>
      </w:r>
      <w:r>
        <w:rPr>
          <w:rFonts w:cs="Arial"/>
          <w:szCs w:val="24"/>
        </w:rPr>
        <w:t>c</w:t>
      </w:r>
      <w:r w:rsidRPr="006206FE">
        <w:rPr>
          <w:rFonts w:cs="Arial"/>
          <w:szCs w:val="24"/>
        </w:rPr>
        <w:t>urrent CDA</w:t>
      </w:r>
      <w:r>
        <w:rPr>
          <w:rFonts w:cs="Arial"/>
          <w:szCs w:val="24"/>
        </w:rPr>
        <w:t xml:space="preserve"> </w:t>
      </w:r>
      <w:r w:rsidRPr="006206FE">
        <w:rPr>
          <w:rFonts w:cs="Arial"/>
          <w:szCs w:val="24"/>
        </w:rPr>
        <w:t>because:</w:t>
      </w:r>
    </w:p>
    <w:p w14:paraId="6052CA46" w14:textId="77777777" w:rsidR="004B1867" w:rsidRPr="006206FE" w:rsidRDefault="004B1867" w:rsidP="004B1867">
      <w:pPr>
        <w:pStyle w:val="ListParagraph"/>
        <w:autoSpaceDE w:val="0"/>
        <w:autoSpaceDN w:val="0"/>
        <w:adjustRightInd w:val="0"/>
        <w:ind w:left="567" w:hanging="567"/>
        <w:rPr>
          <w:rFonts w:cs="Arial"/>
          <w:szCs w:val="24"/>
        </w:rPr>
      </w:pPr>
    </w:p>
    <w:p w14:paraId="6326C029" w14:textId="4709BEE2" w:rsidR="004B1867" w:rsidRPr="00C76649" w:rsidRDefault="004B1867" w:rsidP="004B1867">
      <w:pPr>
        <w:pStyle w:val="ListParagraph"/>
        <w:numPr>
          <w:ilvl w:val="0"/>
          <w:numId w:val="15"/>
        </w:numPr>
        <w:autoSpaceDE w:val="0"/>
        <w:autoSpaceDN w:val="0"/>
        <w:adjustRightInd w:val="0"/>
        <w:ind w:left="851" w:hanging="425"/>
        <w:rPr>
          <w:rFonts w:cs="Arial"/>
          <w:szCs w:val="24"/>
        </w:rPr>
      </w:pPr>
      <w:r w:rsidRPr="00C76649">
        <w:rPr>
          <w:rFonts w:cs="Arial"/>
          <w:szCs w:val="24"/>
        </w:rPr>
        <w:t xml:space="preserve">by expressly providing that the agreement would deal with “penalties”, </w:t>
      </w:r>
      <w:r w:rsidR="00B96845">
        <w:rPr>
          <w:rFonts w:cs="Arial"/>
          <w:szCs w:val="24"/>
        </w:rPr>
        <w:br/>
      </w:r>
      <w:r w:rsidRPr="00C76649">
        <w:rPr>
          <w:rFonts w:cs="Arial"/>
          <w:szCs w:val="24"/>
        </w:rPr>
        <w:t xml:space="preserve">ss 17 and 51 of </w:t>
      </w:r>
      <w:r>
        <w:rPr>
          <w:rFonts w:cs="Arial"/>
          <w:szCs w:val="24"/>
        </w:rPr>
        <w:t>the Casino Act</w:t>
      </w:r>
      <w:r>
        <w:rPr>
          <w:rFonts w:cs="Arial"/>
          <w:i/>
          <w:iCs/>
          <w:szCs w:val="24"/>
        </w:rPr>
        <w:t xml:space="preserve"> </w:t>
      </w:r>
      <w:r w:rsidRPr="00C76649">
        <w:rPr>
          <w:rFonts w:cs="Arial"/>
          <w:szCs w:val="24"/>
        </w:rPr>
        <w:t>authorised the parties to the CDA to agree a term that was a penalty at law: that is, a clause that had as its predominant purpose penalising any failure by SkyCity to meet its obligations as agreed under the CDA in a timely manner and thereby to compel SkyCity’s compliance with the scheme, including by means of the imposition of interest on unpaid duty; or</w:t>
      </w:r>
    </w:p>
    <w:p w14:paraId="60A6D1D7" w14:textId="77777777" w:rsidR="004B1867" w:rsidRPr="006206FE" w:rsidRDefault="004B1867" w:rsidP="004B1867">
      <w:pPr>
        <w:pStyle w:val="ListParagraph"/>
        <w:autoSpaceDE w:val="0"/>
        <w:autoSpaceDN w:val="0"/>
        <w:adjustRightInd w:val="0"/>
        <w:ind w:left="1134" w:hanging="567"/>
        <w:rPr>
          <w:rFonts w:cs="Arial"/>
          <w:szCs w:val="24"/>
        </w:rPr>
      </w:pPr>
    </w:p>
    <w:p w14:paraId="7ACD02FD" w14:textId="77777777" w:rsidR="004B1867" w:rsidRPr="00BD3C26" w:rsidRDefault="004B1867" w:rsidP="004B1867">
      <w:pPr>
        <w:pStyle w:val="ListParagraph"/>
        <w:numPr>
          <w:ilvl w:val="0"/>
          <w:numId w:val="15"/>
        </w:numPr>
        <w:autoSpaceDE w:val="0"/>
        <w:autoSpaceDN w:val="0"/>
        <w:adjustRightInd w:val="0"/>
        <w:ind w:left="851" w:hanging="425"/>
        <w:rPr>
          <w:rFonts w:cs="Arial"/>
          <w:szCs w:val="24"/>
        </w:rPr>
      </w:pPr>
      <w:r w:rsidRPr="00C76649">
        <w:rPr>
          <w:rFonts w:cs="Arial"/>
          <w:szCs w:val="24"/>
        </w:rPr>
        <w:t xml:space="preserve">in the alternative, by expressly providing that the licensee “must pay casino duty (and interest and penalties…) in accordance with the </w:t>
      </w:r>
      <w:r w:rsidRPr="00570B02">
        <w:rPr>
          <w:rFonts w:cs="Arial"/>
          <w:szCs w:val="24"/>
        </w:rPr>
        <w:t>CDA</w:t>
      </w:r>
      <w:r w:rsidRPr="00C76649">
        <w:rPr>
          <w:rFonts w:cs="Arial"/>
          <w:szCs w:val="24"/>
        </w:rPr>
        <w:t xml:space="preserve">” which if not paid would be recoverable as a debt, s 51 of the </w:t>
      </w:r>
      <w:r w:rsidRPr="00570B02">
        <w:rPr>
          <w:rFonts w:cs="Arial"/>
          <w:szCs w:val="24"/>
        </w:rPr>
        <w:t>Casino Act</w:t>
      </w:r>
      <w:r w:rsidRPr="00C76649">
        <w:rPr>
          <w:rFonts w:cs="Arial"/>
          <w:i/>
          <w:iCs/>
          <w:szCs w:val="24"/>
        </w:rPr>
        <w:t xml:space="preserve"> </w:t>
      </w:r>
      <w:r w:rsidRPr="00C76649">
        <w:rPr>
          <w:rFonts w:cs="Arial"/>
          <w:szCs w:val="24"/>
        </w:rPr>
        <w:t xml:space="preserve">created a liability imposed by statutory fiat, including a mechanism for enforcement and recovery, which did not depend upon cl 11 of the </w:t>
      </w:r>
      <w:r>
        <w:rPr>
          <w:rFonts w:cs="Arial"/>
          <w:szCs w:val="24"/>
        </w:rPr>
        <w:t>c</w:t>
      </w:r>
      <w:r w:rsidRPr="00C76649">
        <w:rPr>
          <w:rFonts w:cs="Arial"/>
          <w:szCs w:val="24"/>
        </w:rPr>
        <w:t>urrent CDA for its efficacy.</w:t>
      </w:r>
    </w:p>
    <w:p w14:paraId="4E6E3A82" w14:textId="77777777" w:rsidR="00C425CD" w:rsidRDefault="00C425CD" w:rsidP="00913869"/>
    <w:p w14:paraId="41F24F35" w14:textId="77777777" w:rsidR="004B1867" w:rsidRPr="00913869" w:rsidRDefault="004B1867" w:rsidP="00913869"/>
    <w:sectPr w:rsidR="004B1867" w:rsidRPr="00913869" w:rsidSect="00E442CA">
      <w:headerReference w:type="default" r:id="rId13"/>
      <w:headerReference w:type="first" r:id="rId14"/>
      <w:footerReference w:type="first" r:id="rId15"/>
      <w:pgSz w:w="11907" w:h="16840" w:code="9"/>
      <w:pgMar w:top="851" w:right="1467" w:bottom="851" w:left="1701" w:header="244" w:footer="833"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7645" w14:textId="77777777" w:rsidR="006235D8" w:rsidRDefault="006235D8">
      <w:r>
        <w:separator/>
      </w:r>
    </w:p>
  </w:endnote>
  <w:endnote w:type="continuationSeparator" w:id="0">
    <w:p w14:paraId="4E1855F8" w14:textId="77777777" w:rsidR="006235D8" w:rsidRDefault="006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01A" w14:textId="77777777" w:rsidR="004B7828" w:rsidRDefault="004B7828">
    <w:pPr>
      <w:tabs>
        <w:tab w:val="left" w:pos="851"/>
        <w:tab w:val="right" w:pos="8505"/>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1015" w14:textId="77777777" w:rsidR="006235D8" w:rsidRDefault="006235D8">
      <w:r>
        <w:separator/>
      </w:r>
    </w:p>
  </w:footnote>
  <w:footnote w:type="continuationSeparator" w:id="0">
    <w:p w14:paraId="1DD47662" w14:textId="77777777" w:rsidR="006235D8" w:rsidRDefault="0062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89B" w14:textId="77777777" w:rsidR="004B7828" w:rsidRDefault="004B7828">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3C2828">
      <w:rPr>
        <w:rStyle w:val="PageNumber"/>
        <w:noProof/>
      </w:rPr>
      <w:t>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FE2" w14:textId="77777777" w:rsidR="004B7828" w:rsidRDefault="004B7828">
    <w:pPr>
      <w:pStyle w:val="Title"/>
    </w:pPr>
  </w:p>
  <w:p w14:paraId="221B972A" w14:textId="77777777" w:rsidR="004B7828" w:rsidRDefault="004B7828">
    <w:pPr>
      <w:pStyle w:val="Title"/>
    </w:pPr>
    <w:r>
      <w:t>SHORT PARTICULARS OF CASES</w:t>
    </w:r>
  </w:p>
  <w:p w14:paraId="1782DED5" w14:textId="77777777" w:rsidR="004B7828" w:rsidRDefault="004B7828">
    <w:pPr>
      <w:pStyle w:val="Title"/>
    </w:pPr>
    <w:r>
      <w:t>APPEALS</w:t>
    </w:r>
  </w:p>
  <w:p w14:paraId="12AB4A2D" w14:textId="77777777" w:rsidR="004B7828" w:rsidRDefault="004B7828">
    <w:pPr>
      <w:tabs>
        <w:tab w:val="left" w:pos="851"/>
        <w:tab w:val="right" w:pos="8505"/>
      </w:tabs>
      <w:jc w:val="center"/>
      <w:rPr>
        <w:b/>
        <w:u w:val="single"/>
      </w:rPr>
    </w:pPr>
  </w:p>
  <w:p w14:paraId="78F44644" w14:textId="193B6041" w:rsidR="00463A20" w:rsidRDefault="00463A20">
    <w:pPr>
      <w:tabs>
        <w:tab w:val="left" w:pos="851"/>
        <w:tab w:val="right" w:pos="8505"/>
      </w:tabs>
      <w:jc w:val="center"/>
      <w:rPr>
        <w:b/>
        <w:u w:val="single"/>
      </w:rPr>
    </w:pPr>
    <w:r>
      <w:rPr>
        <w:b/>
        <w:u w:val="single"/>
      </w:rPr>
      <w:t>HOBART</w:t>
    </w:r>
  </w:p>
  <w:p w14:paraId="50496E0C" w14:textId="7668D6DD" w:rsidR="004B7828" w:rsidRDefault="00534A91">
    <w:pPr>
      <w:tabs>
        <w:tab w:val="left" w:pos="851"/>
        <w:tab w:val="right" w:pos="8505"/>
      </w:tabs>
      <w:jc w:val="center"/>
      <w:rPr>
        <w:b/>
        <w:u w:val="single"/>
      </w:rPr>
    </w:pPr>
    <w:r>
      <w:rPr>
        <w:b/>
        <w:u w:val="single"/>
      </w:rPr>
      <w:t>SEPTEMBER 2024</w:t>
    </w:r>
  </w:p>
  <w:p w14:paraId="2C0FAA10" w14:textId="77777777" w:rsidR="004B7828" w:rsidRDefault="004B7828">
    <w:pPr>
      <w:tabs>
        <w:tab w:val="left" w:pos="851"/>
        <w:tab w:val="right" w:pos="8505"/>
      </w:tabs>
    </w:pPr>
  </w:p>
  <w:p w14:paraId="6FFBEA45" w14:textId="77777777" w:rsidR="004B7828" w:rsidRDefault="004B7828">
    <w:pPr>
      <w:tabs>
        <w:tab w:val="left" w:pos="851"/>
        <w:tab w:val="right" w:pos="8505"/>
      </w:tabs>
      <w:jc w:val="both"/>
    </w:pPr>
    <w:r>
      <w:t>_______________________________________________________________</w:t>
    </w:r>
    <w:r w:rsidR="00E442CA">
      <w:t>_</w:t>
    </w:r>
  </w:p>
  <w:p w14:paraId="2E575DB1" w14:textId="77777777" w:rsidR="004B7828" w:rsidRDefault="004B7828">
    <w:pPr>
      <w:tabs>
        <w:tab w:val="left" w:pos="851"/>
        <w:tab w:val="right" w:pos="8505"/>
      </w:tabs>
      <w:jc w:val="both"/>
    </w:pPr>
  </w:p>
  <w:p w14:paraId="68B21641" w14:textId="77777777" w:rsidR="004B7828" w:rsidRDefault="004B7828">
    <w:pPr>
      <w:tabs>
        <w:tab w:val="left" w:pos="851"/>
        <w:tab w:val="right" w:pos="8505"/>
      </w:tabs>
      <w:jc w:val="both"/>
    </w:pPr>
    <w:r>
      <w:t>No.</w:t>
    </w:r>
    <w:r>
      <w:tab/>
      <w:t>Name of Matter</w:t>
    </w:r>
    <w:r>
      <w:tab/>
      <w:t>Page No</w:t>
    </w:r>
  </w:p>
  <w:p w14:paraId="130CBC58" w14:textId="77777777" w:rsidR="004B7828" w:rsidRDefault="004B7828" w:rsidP="00E442CA">
    <w:pPr>
      <w:tabs>
        <w:tab w:val="left" w:pos="851"/>
        <w:tab w:val="right" w:pos="8505"/>
      </w:tabs>
      <w:jc w:val="both"/>
    </w:pPr>
    <w:r>
      <w:t>_______________________________________________________________</w:t>
    </w:r>
    <w:r w:rsidR="00E442CA">
      <w:t>_</w:t>
    </w:r>
  </w:p>
  <w:p w14:paraId="6AA231B1" w14:textId="77777777" w:rsidR="004B7828" w:rsidRDefault="004B7828">
    <w:pPr>
      <w:tabs>
        <w:tab w:val="left" w:pos="851"/>
        <w:tab w:val="right" w:pos="8505"/>
      </w:tabs>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C5D"/>
    <w:multiLevelType w:val="hybridMultilevel"/>
    <w:tmpl w:val="F7AE74E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2C633D"/>
    <w:multiLevelType w:val="hybridMultilevel"/>
    <w:tmpl w:val="79784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55C35"/>
    <w:multiLevelType w:val="hybridMultilevel"/>
    <w:tmpl w:val="36E2D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403BFF"/>
    <w:multiLevelType w:val="hybridMultilevel"/>
    <w:tmpl w:val="EA2C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B76C2"/>
    <w:multiLevelType w:val="hybridMultilevel"/>
    <w:tmpl w:val="80AA8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543981"/>
    <w:multiLevelType w:val="hybridMultilevel"/>
    <w:tmpl w:val="A470D6AA"/>
    <w:lvl w:ilvl="0" w:tplc="DD9C41FE">
      <w:start w:val="1"/>
      <w:numFmt w:val="decimal"/>
      <w:lvlText w:val="%1."/>
      <w:lvlJc w:val="left"/>
      <w:pPr>
        <w:ind w:left="145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CA523D"/>
    <w:multiLevelType w:val="hybridMultilevel"/>
    <w:tmpl w:val="A10C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E15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384E9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21F2EA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6B2539"/>
    <w:multiLevelType w:val="hybridMultilevel"/>
    <w:tmpl w:val="E250C764"/>
    <w:lvl w:ilvl="0" w:tplc="100E3A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FD3E5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69806D6"/>
    <w:multiLevelType w:val="singleLevel"/>
    <w:tmpl w:val="E58EFF88"/>
    <w:lvl w:ilvl="0">
      <w:start w:val="6"/>
      <w:numFmt w:val="decimal"/>
      <w:lvlText w:val="%1."/>
      <w:lvlJc w:val="left"/>
      <w:pPr>
        <w:tabs>
          <w:tab w:val="num" w:pos="852"/>
        </w:tabs>
        <w:ind w:left="852" w:hanging="852"/>
      </w:pPr>
      <w:rPr>
        <w:rFonts w:hint="default"/>
      </w:rPr>
    </w:lvl>
  </w:abstractNum>
  <w:abstractNum w:abstractNumId="13" w15:restartNumberingAfterBreak="0">
    <w:nsid w:val="77721F51"/>
    <w:multiLevelType w:val="singleLevel"/>
    <w:tmpl w:val="1A407722"/>
    <w:lvl w:ilvl="0">
      <w:start w:val="4"/>
      <w:numFmt w:val="decimal"/>
      <w:lvlText w:val="%1."/>
      <w:lvlJc w:val="left"/>
      <w:pPr>
        <w:tabs>
          <w:tab w:val="num" w:pos="852"/>
        </w:tabs>
        <w:ind w:left="852" w:hanging="852"/>
      </w:pPr>
      <w:rPr>
        <w:rFonts w:hint="default"/>
      </w:rPr>
    </w:lvl>
  </w:abstractNum>
  <w:abstractNum w:abstractNumId="14" w15:restartNumberingAfterBreak="0">
    <w:nsid w:val="78E535BA"/>
    <w:multiLevelType w:val="hybridMultilevel"/>
    <w:tmpl w:val="6AF4A15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3448536">
    <w:abstractNumId w:val="13"/>
  </w:num>
  <w:num w:numId="2" w16cid:durableId="1864131533">
    <w:abstractNumId w:val="8"/>
  </w:num>
  <w:num w:numId="3" w16cid:durableId="2140566895">
    <w:abstractNumId w:val="7"/>
  </w:num>
  <w:num w:numId="4" w16cid:durableId="945429455">
    <w:abstractNumId w:val="9"/>
  </w:num>
  <w:num w:numId="5" w16cid:durableId="1537503138">
    <w:abstractNumId w:val="12"/>
  </w:num>
  <w:num w:numId="6" w16cid:durableId="1067920724">
    <w:abstractNumId w:val="11"/>
  </w:num>
  <w:num w:numId="7" w16cid:durableId="1613588479">
    <w:abstractNumId w:val="1"/>
  </w:num>
  <w:num w:numId="8" w16cid:durableId="673264733">
    <w:abstractNumId w:val="0"/>
  </w:num>
  <w:num w:numId="9" w16cid:durableId="1925802925">
    <w:abstractNumId w:val="2"/>
  </w:num>
  <w:num w:numId="10" w16cid:durableId="1684285830">
    <w:abstractNumId w:val="14"/>
  </w:num>
  <w:num w:numId="11" w16cid:durableId="1864979724">
    <w:abstractNumId w:val="4"/>
  </w:num>
  <w:num w:numId="12" w16cid:durableId="1066991812">
    <w:abstractNumId w:val="10"/>
  </w:num>
  <w:num w:numId="13" w16cid:durableId="291326524">
    <w:abstractNumId w:val="6"/>
  </w:num>
  <w:num w:numId="14" w16cid:durableId="1517890806">
    <w:abstractNumId w:val="3"/>
  </w:num>
  <w:num w:numId="15" w16cid:durableId="1001077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CA"/>
    <w:rsid w:val="00007C4E"/>
    <w:rsid w:val="000145E7"/>
    <w:rsid w:val="000378B5"/>
    <w:rsid w:val="000B7BD8"/>
    <w:rsid w:val="000D0AD3"/>
    <w:rsid w:val="0017627F"/>
    <w:rsid w:val="001A29AE"/>
    <w:rsid w:val="001F7D6D"/>
    <w:rsid w:val="00260747"/>
    <w:rsid w:val="002E45D0"/>
    <w:rsid w:val="003216E0"/>
    <w:rsid w:val="003C2828"/>
    <w:rsid w:val="003D1679"/>
    <w:rsid w:val="00463A20"/>
    <w:rsid w:val="004A533A"/>
    <w:rsid w:val="004B1867"/>
    <w:rsid w:val="004B7828"/>
    <w:rsid w:val="005014CF"/>
    <w:rsid w:val="00534A91"/>
    <w:rsid w:val="00570096"/>
    <w:rsid w:val="005B3550"/>
    <w:rsid w:val="00607F6D"/>
    <w:rsid w:val="006235D8"/>
    <w:rsid w:val="00737693"/>
    <w:rsid w:val="00811E2E"/>
    <w:rsid w:val="00876107"/>
    <w:rsid w:val="00913869"/>
    <w:rsid w:val="00A414D3"/>
    <w:rsid w:val="00A512FD"/>
    <w:rsid w:val="00A52E38"/>
    <w:rsid w:val="00AE4544"/>
    <w:rsid w:val="00B96845"/>
    <w:rsid w:val="00BA02B7"/>
    <w:rsid w:val="00BC3B11"/>
    <w:rsid w:val="00C425CD"/>
    <w:rsid w:val="00C65A07"/>
    <w:rsid w:val="00D7300E"/>
    <w:rsid w:val="00E442CA"/>
    <w:rsid w:val="00F03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DEF5"/>
  <w15:chartTrackingRefBased/>
  <w15:docId w15:val="{19AB1777-7B0E-4DA8-AF62-169DFEC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2E"/>
    <w:rPr>
      <w:rFonts w:ascii="Arial" w:hAnsi="Arial"/>
      <w:sz w:val="24"/>
      <w:lang w:val="en-US"/>
    </w:rPr>
  </w:style>
  <w:style w:type="paragraph" w:styleId="Heading1">
    <w:name w:val="heading 1"/>
    <w:basedOn w:val="Normal"/>
    <w:next w:val="Normal"/>
    <w:qFormat/>
    <w:pPr>
      <w:keepNext/>
      <w:tabs>
        <w:tab w:val="left" w:pos="851"/>
        <w:tab w:val="right" w:pos="8505"/>
      </w:tabs>
      <w:outlineLvl w:val="0"/>
    </w:pPr>
    <w:rPr>
      <w:u w:val="single"/>
    </w:rPr>
  </w:style>
  <w:style w:type="paragraph" w:styleId="Heading2">
    <w:name w:val="heading 2"/>
    <w:basedOn w:val="Normal"/>
    <w:next w:val="Normal"/>
    <w:qFormat/>
    <w:pPr>
      <w:keepNext/>
      <w:tabs>
        <w:tab w:val="left" w:pos="851"/>
        <w:tab w:val="right" w:pos="8505"/>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51"/>
        <w:tab w:val="right" w:pos="8505"/>
      </w:tabs>
      <w:jc w:val="center"/>
    </w:pPr>
    <w:rPr>
      <w:b/>
      <w:u w:val="single"/>
    </w:rPr>
  </w:style>
  <w:style w:type="paragraph" w:styleId="BodyText">
    <w:name w:val="Body Text"/>
    <w:basedOn w:val="Normal"/>
    <w:pPr>
      <w:tabs>
        <w:tab w:val="left" w:pos="851"/>
        <w:tab w:val="right" w:pos="8505"/>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0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AD3"/>
    <w:pPr>
      <w:ind w:left="720"/>
      <w:jc w:val="both"/>
    </w:pPr>
  </w:style>
  <w:style w:type="paragraph" w:styleId="NormalWeb">
    <w:name w:val="Normal (Web)"/>
    <w:basedOn w:val="Normal"/>
    <w:uiPriority w:val="99"/>
    <w:unhideWhenUsed/>
    <w:rsid w:val="000D0AD3"/>
    <w:pPr>
      <w:spacing w:before="100" w:beforeAutospacing="1" w:after="100" w:afterAutospacing="1"/>
    </w:pPr>
    <w:rPr>
      <w:rFonts w:ascii="Times New Roman" w:hAnsi="Times New Roman"/>
      <w:szCs w:val="24"/>
      <w:lang w:val="en-AU"/>
    </w:rPr>
  </w:style>
  <w:style w:type="character" w:styleId="Hyperlink">
    <w:name w:val="Hyperlink"/>
    <w:uiPriority w:val="99"/>
    <w:semiHidden/>
    <w:unhideWhenUsed/>
    <w:rsid w:val="004B1867"/>
    <w:rPr>
      <w:color w:val="0000FF"/>
      <w:u w:val="single"/>
    </w:rPr>
  </w:style>
  <w:style w:type="paragraph" w:styleId="NoSpacing">
    <w:name w:val="No Spacing"/>
    <w:uiPriority w:val="1"/>
    <w:qFormat/>
    <w:rsid w:val="004B186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8.austlii.edu.au/cgi-bin/viewdoc/au/legis/sa/consol_act/ca19977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8.austlii.edu.au/cgi-bin/viewdoc/au/legis/sa/consol_act/ca199776/s1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austlii.edu.au/cgi-bin/viewdoc/au/legis/sa/consol_act/ca199776/s5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8.austlii.edu.au/cgi-bin/viewdoc/au/legis/sa/consol_act/ca199776/" TargetMode="External"/><Relationship Id="rId4" Type="http://schemas.openxmlformats.org/officeDocument/2006/relationships/settings" Target="settings.xml"/><Relationship Id="rId9" Type="http://schemas.openxmlformats.org/officeDocument/2006/relationships/hyperlink" Target="https://www8.austlii.edu.au/cgi-bin/viewdoc/au/legis/sa/consol_act/ca199776/s1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F76E-953C-4FA3-9043-B5CBB0C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2362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SP Appeals</vt:lpstr>
    </vt:vector>
  </TitlesOfParts>
  <Company>High Court of Australia</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Appeals</dc:title>
  <dc:subject/>
  <dc:creator>Personal Assistant to Senior Registrar</dc:creator>
  <cp:keywords/>
  <cp:lastModifiedBy>Thomas Woodbridge</cp:lastModifiedBy>
  <cp:revision>21</cp:revision>
  <cp:lastPrinted>1999-08-03T02:31:00Z</cp:lastPrinted>
  <dcterms:created xsi:type="dcterms:W3CDTF">2022-03-29T00:10:00Z</dcterms:created>
  <dcterms:modified xsi:type="dcterms:W3CDTF">2024-09-05T05:34:00Z</dcterms:modified>
</cp:coreProperties>
</file>