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005C1" w14:textId="77777777" w:rsidR="00F03117" w:rsidRDefault="00F03117" w:rsidP="00913869"/>
    <w:tbl>
      <w:tblPr>
        <w:tblW w:w="0" w:type="auto"/>
        <w:tblLook w:val="04A0" w:firstRow="1" w:lastRow="0" w:firstColumn="1" w:lastColumn="0" w:noHBand="0" w:noVBand="1"/>
      </w:tblPr>
      <w:tblGrid>
        <w:gridCol w:w="7890"/>
        <w:gridCol w:w="849"/>
      </w:tblGrid>
      <w:tr w:rsidR="00F03117" w:rsidRPr="00007C4E" w14:paraId="200EEC29" w14:textId="77777777" w:rsidTr="00007C4E">
        <w:tc>
          <w:tcPr>
            <w:tcW w:w="8755" w:type="dxa"/>
            <w:gridSpan w:val="2"/>
            <w:shd w:val="clear" w:color="auto" w:fill="auto"/>
          </w:tcPr>
          <w:p w14:paraId="79D98DA8" w14:textId="5AE5947D" w:rsidR="00F03117" w:rsidRPr="00007C4E" w:rsidRDefault="00652D06" w:rsidP="00007C4E">
            <w:pPr>
              <w:tabs>
                <w:tab w:val="left" w:pos="851"/>
                <w:tab w:val="right" w:pos="8505"/>
              </w:tabs>
              <w:jc w:val="both"/>
              <w:rPr>
                <w:u w:val="single"/>
              </w:rPr>
            </w:pPr>
            <w:r>
              <w:rPr>
                <w:u w:val="single"/>
              </w:rPr>
              <w:t>Tuesday, 6 August 2024</w:t>
            </w:r>
            <w:r w:rsidR="001A29AE">
              <w:rPr>
                <w:u w:val="single"/>
              </w:rPr>
              <w:t xml:space="preserve"> </w:t>
            </w:r>
          </w:p>
          <w:p w14:paraId="2A1C705A" w14:textId="77777777" w:rsidR="00F03117" w:rsidRDefault="00F03117" w:rsidP="00007C4E">
            <w:pPr>
              <w:pStyle w:val="Title"/>
              <w:jc w:val="left"/>
            </w:pPr>
          </w:p>
        </w:tc>
      </w:tr>
      <w:tr w:rsidR="00F03117" w14:paraId="79901CF9" w14:textId="77777777" w:rsidTr="00007C4E">
        <w:tc>
          <w:tcPr>
            <w:tcW w:w="7905" w:type="dxa"/>
            <w:shd w:val="clear" w:color="auto" w:fill="auto"/>
          </w:tcPr>
          <w:p w14:paraId="7786B4F6" w14:textId="7AD8D4F3" w:rsidR="00F03117" w:rsidRPr="00913869" w:rsidRDefault="00652D06" w:rsidP="00913869">
            <w:pPr>
              <w:numPr>
                <w:ilvl w:val="0"/>
                <w:numId w:val="9"/>
              </w:numPr>
              <w:ind w:hanging="720"/>
            </w:pPr>
            <w:proofErr w:type="gramStart"/>
            <w:r>
              <w:t>YBFZ</w:t>
            </w:r>
            <w:r w:rsidR="00657BA4">
              <w:t xml:space="preserve"> </w:t>
            </w:r>
            <w:r w:rsidR="00F03117" w:rsidRPr="00007C4E">
              <w:t xml:space="preserve"> v</w:t>
            </w:r>
            <w:proofErr w:type="gramEnd"/>
            <w:r w:rsidR="00F03117" w:rsidRPr="00007C4E">
              <w:t xml:space="preserve">  </w:t>
            </w:r>
            <w:r w:rsidR="00657BA4">
              <w:t>Minister for Immigration, Citizenship and Multicultural Affairs &amp; Anor</w:t>
            </w:r>
          </w:p>
        </w:tc>
        <w:tc>
          <w:tcPr>
            <w:tcW w:w="850" w:type="dxa"/>
            <w:shd w:val="clear" w:color="auto" w:fill="auto"/>
          </w:tcPr>
          <w:p w14:paraId="05D939EE" w14:textId="48EB074C" w:rsidR="00F03117" w:rsidRPr="00C65A07" w:rsidRDefault="00D7300E" w:rsidP="00C65A07">
            <w:pPr>
              <w:pStyle w:val="Title"/>
              <w:rPr>
                <w:u w:val="none"/>
              </w:rPr>
            </w:pPr>
            <w:r>
              <w:rPr>
                <w:u w:val="none"/>
              </w:rPr>
              <w:t>1</w:t>
            </w:r>
          </w:p>
        </w:tc>
      </w:tr>
    </w:tbl>
    <w:p w14:paraId="28B48188" w14:textId="77777777" w:rsidR="00F03117" w:rsidRDefault="00F03117" w:rsidP="00913869"/>
    <w:tbl>
      <w:tblPr>
        <w:tblW w:w="0" w:type="auto"/>
        <w:tblLook w:val="04A0" w:firstRow="1" w:lastRow="0" w:firstColumn="1" w:lastColumn="0" w:noHBand="0" w:noVBand="1"/>
      </w:tblPr>
      <w:tblGrid>
        <w:gridCol w:w="7890"/>
        <w:gridCol w:w="849"/>
      </w:tblGrid>
      <w:tr w:rsidR="003C59A4" w:rsidRPr="00007C4E" w14:paraId="6535EAD0" w14:textId="77777777" w:rsidTr="00353FD1">
        <w:tc>
          <w:tcPr>
            <w:tcW w:w="8755" w:type="dxa"/>
            <w:gridSpan w:val="2"/>
            <w:shd w:val="clear" w:color="auto" w:fill="auto"/>
          </w:tcPr>
          <w:p w14:paraId="3C0C3EE4" w14:textId="6FE9E1F6" w:rsidR="003C59A4" w:rsidRPr="00007C4E" w:rsidRDefault="00652D06" w:rsidP="00353FD1">
            <w:pPr>
              <w:tabs>
                <w:tab w:val="left" w:pos="851"/>
                <w:tab w:val="right" w:pos="8505"/>
              </w:tabs>
              <w:jc w:val="both"/>
              <w:rPr>
                <w:u w:val="single"/>
              </w:rPr>
            </w:pPr>
            <w:r>
              <w:rPr>
                <w:u w:val="single"/>
              </w:rPr>
              <w:t>Wednesday, 7 August 2024, Thursday, 8 August 2024 and Friday, 9 August 2024</w:t>
            </w:r>
            <w:r w:rsidR="003C59A4">
              <w:rPr>
                <w:u w:val="single"/>
              </w:rPr>
              <w:t xml:space="preserve"> </w:t>
            </w:r>
          </w:p>
          <w:p w14:paraId="3CD57D55" w14:textId="77777777" w:rsidR="003C59A4" w:rsidRDefault="003C59A4" w:rsidP="00353FD1">
            <w:pPr>
              <w:pStyle w:val="Title"/>
              <w:jc w:val="left"/>
            </w:pPr>
          </w:p>
        </w:tc>
      </w:tr>
      <w:tr w:rsidR="003C59A4" w14:paraId="4C7F919F" w14:textId="77777777" w:rsidTr="00353FD1">
        <w:tc>
          <w:tcPr>
            <w:tcW w:w="7905" w:type="dxa"/>
            <w:shd w:val="clear" w:color="auto" w:fill="auto"/>
          </w:tcPr>
          <w:p w14:paraId="607E0B99" w14:textId="1B20B015" w:rsidR="003C59A4" w:rsidRPr="00913869" w:rsidRDefault="00AF68B2" w:rsidP="00353FD1">
            <w:pPr>
              <w:numPr>
                <w:ilvl w:val="0"/>
                <w:numId w:val="9"/>
              </w:numPr>
              <w:ind w:hanging="720"/>
            </w:pPr>
            <w:r>
              <w:t xml:space="preserve">Commonwealth of </w:t>
            </w:r>
            <w:proofErr w:type="gramStart"/>
            <w:r>
              <w:t xml:space="preserve">Australia </w:t>
            </w:r>
            <w:r w:rsidR="003C59A4" w:rsidRPr="00007C4E">
              <w:t xml:space="preserve"> v</w:t>
            </w:r>
            <w:proofErr w:type="gramEnd"/>
            <w:r w:rsidR="003C59A4" w:rsidRPr="00007C4E">
              <w:t xml:space="preserve">  </w:t>
            </w:r>
            <w:r>
              <w:t xml:space="preserve">Yunupingu (on behalf of the </w:t>
            </w:r>
            <w:proofErr w:type="spellStart"/>
            <w:r>
              <w:t>Gumatj</w:t>
            </w:r>
            <w:proofErr w:type="spellEnd"/>
            <w:r>
              <w:t xml:space="preserve"> Clan or Estate Group) &amp; </w:t>
            </w:r>
            <w:proofErr w:type="spellStart"/>
            <w:r>
              <w:t>Ors</w:t>
            </w:r>
            <w:proofErr w:type="spellEnd"/>
          </w:p>
        </w:tc>
        <w:tc>
          <w:tcPr>
            <w:tcW w:w="850" w:type="dxa"/>
            <w:shd w:val="clear" w:color="auto" w:fill="auto"/>
          </w:tcPr>
          <w:p w14:paraId="5E8FC4D9" w14:textId="488958CC" w:rsidR="003C59A4" w:rsidRPr="00C65A07" w:rsidRDefault="0066696E" w:rsidP="00353FD1">
            <w:pPr>
              <w:pStyle w:val="Title"/>
              <w:rPr>
                <w:u w:val="none"/>
              </w:rPr>
            </w:pPr>
            <w:r>
              <w:rPr>
                <w:u w:val="none"/>
              </w:rPr>
              <w:t>3</w:t>
            </w:r>
          </w:p>
        </w:tc>
      </w:tr>
    </w:tbl>
    <w:p w14:paraId="473D845D" w14:textId="77777777" w:rsidR="003C59A4" w:rsidRDefault="003C59A4" w:rsidP="00913869"/>
    <w:p w14:paraId="6F1D1E5B" w14:textId="4B2288F6" w:rsidR="00A316AD" w:rsidRDefault="00A316AD">
      <w:r>
        <w:br w:type="page"/>
      </w:r>
    </w:p>
    <w:p w14:paraId="10D1FCF4" w14:textId="77777777" w:rsidR="0066696E" w:rsidRPr="0066696E" w:rsidRDefault="0066696E" w:rsidP="0066696E">
      <w:pPr>
        <w:pStyle w:val="Heading1"/>
        <w:rPr>
          <w:b/>
          <w:bCs/>
          <w:sz w:val="28"/>
          <w:szCs w:val="28"/>
        </w:rPr>
      </w:pPr>
      <w:r w:rsidRPr="0066696E">
        <w:rPr>
          <w:b/>
          <w:bCs/>
          <w:sz w:val="28"/>
          <w:szCs w:val="28"/>
        </w:rPr>
        <w:lastRenderedPageBreak/>
        <w:t>YBFZ v MINISTER FOR IMMIGRATION, CITIZENSHIP AND MULTICULTURAL AFFAIRS &amp; ANOR</w:t>
      </w:r>
      <w:r w:rsidRPr="0066696E">
        <w:rPr>
          <w:b/>
          <w:bCs/>
          <w:sz w:val="28"/>
          <w:szCs w:val="28"/>
          <w:u w:val="none"/>
        </w:rPr>
        <w:t xml:space="preserve"> (S27/2024)</w:t>
      </w:r>
    </w:p>
    <w:p w14:paraId="62E1E59E" w14:textId="77777777" w:rsidR="0066696E" w:rsidRPr="00A729C0" w:rsidRDefault="0066696E" w:rsidP="0066696E">
      <w:pPr>
        <w:tabs>
          <w:tab w:val="left" w:pos="0"/>
        </w:tabs>
        <w:ind w:left="3600" w:hanging="3600"/>
        <w:rPr>
          <w:rFonts w:cs="Arial"/>
          <w:szCs w:val="24"/>
        </w:rPr>
      </w:pPr>
    </w:p>
    <w:p w14:paraId="0F32DB75" w14:textId="77777777" w:rsidR="0066696E" w:rsidRDefault="0066696E" w:rsidP="0066696E">
      <w:pPr>
        <w:ind w:left="3600" w:hanging="3600"/>
        <w:rPr>
          <w:rFonts w:cs="Arial"/>
          <w:szCs w:val="24"/>
          <w:u w:val="single"/>
        </w:rPr>
      </w:pPr>
      <w:r>
        <w:rPr>
          <w:rFonts w:cs="Arial"/>
          <w:szCs w:val="24"/>
          <w:u w:val="single"/>
        </w:rPr>
        <w:t>Date writ of summons filed</w:t>
      </w:r>
      <w:r w:rsidRPr="0056338F">
        <w:rPr>
          <w:rFonts w:cs="Arial"/>
          <w:szCs w:val="24"/>
        </w:rPr>
        <w:t>:</w:t>
      </w:r>
      <w:r w:rsidRPr="003A0044">
        <w:rPr>
          <w:rFonts w:cs="Arial"/>
          <w:szCs w:val="24"/>
        </w:rPr>
        <w:t xml:space="preserve"> </w:t>
      </w:r>
      <w:r w:rsidRPr="003A0044">
        <w:rPr>
          <w:rFonts w:cs="Arial"/>
          <w:szCs w:val="24"/>
        </w:rPr>
        <w:tab/>
      </w:r>
      <w:r w:rsidRPr="003A0044">
        <w:rPr>
          <w:rFonts w:cs="Arial"/>
          <w:szCs w:val="24"/>
        </w:rPr>
        <w:tab/>
      </w:r>
      <w:r>
        <w:rPr>
          <w:rFonts w:cs="Arial"/>
          <w:szCs w:val="24"/>
        </w:rPr>
        <w:tab/>
        <w:t>22 February 2024</w:t>
      </w:r>
    </w:p>
    <w:p w14:paraId="2D19D10D" w14:textId="77777777" w:rsidR="0066696E" w:rsidRDefault="0066696E" w:rsidP="0066696E">
      <w:pPr>
        <w:ind w:left="3600" w:hanging="3600"/>
        <w:rPr>
          <w:rFonts w:cs="Arial"/>
          <w:szCs w:val="24"/>
          <w:u w:val="single"/>
        </w:rPr>
      </w:pPr>
    </w:p>
    <w:p w14:paraId="5275A661" w14:textId="49DFB8C8" w:rsidR="0066696E" w:rsidRDefault="0066696E" w:rsidP="0066696E">
      <w:pPr>
        <w:ind w:left="3600" w:hanging="3600"/>
        <w:rPr>
          <w:rFonts w:cs="Arial"/>
          <w:szCs w:val="24"/>
        </w:rPr>
      </w:pPr>
      <w:r>
        <w:rPr>
          <w:rFonts w:cs="Arial"/>
          <w:szCs w:val="24"/>
          <w:u w:val="single"/>
        </w:rPr>
        <w:t>Date Special Case referred to Full Court</w:t>
      </w:r>
      <w:r>
        <w:rPr>
          <w:rFonts w:cs="Arial"/>
          <w:szCs w:val="24"/>
        </w:rPr>
        <w:t xml:space="preserve">: </w:t>
      </w:r>
      <w:r>
        <w:rPr>
          <w:rFonts w:cs="Arial"/>
          <w:szCs w:val="24"/>
        </w:rPr>
        <w:tab/>
      </w:r>
      <w:r>
        <w:rPr>
          <w:rFonts w:cs="Arial"/>
          <w:szCs w:val="24"/>
        </w:rPr>
        <w:tab/>
      </w:r>
      <w:r>
        <w:rPr>
          <w:rFonts w:cs="Arial"/>
          <w:szCs w:val="24"/>
        </w:rPr>
        <w:t>22 May 2024</w:t>
      </w:r>
    </w:p>
    <w:p w14:paraId="067CBC18" w14:textId="77777777" w:rsidR="0066696E" w:rsidRDefault="0066696E" w:rsidP="0066696E">
      <w:pPr>
        <w:tabs>
          <w:tab w:val="left" w:pos="0"/>
        </w:tabs>
        <w:rPr>
          <w:rFonts w:cs="Arial"/>
          <w:szCs w:val="24"/>
        </w:rPr>
      </w:pPr>
    </w:p>
    <w:p w14:paraId="7A48AAEC" w14:textId="053D3838" w:rsidR="0066696E" w:rsidRDefault="0066696E" w:rsidP="0066696E">
      <w:pPr>
        <w:tabs>
          <w:tab w:val="left" w:pos="0"/>
        </w:tabs>
        <w:jc w:val="both"/>
        <w:rPr>
          <w:rFonts w:cs="Arial"/>
          <w:szCs w:val="24"/>
        </w:rPr>
      </w:pPr>
      <w:r>
        <w:rPr>
          <w:rFonts w:cs="Arial"/>
          <w:szCs w:val="24"/>
        </w:rPr>
        <w:t xml:space="preserve">This proceeding concerns the constitutional validity of certain Ministerial </w:t>
      </w:r>
      <w:r w:rsidR="00D8585E">
        <w:rPr>
          <w:rFonts w:cs="Arial"/>
          <w:szCs w:val="24"/>
        </w:rPr>
        <w:br/>
      </w:r>
      <w:r>
        <w:rPr>
          <w:rFonts w:cs="Arial"/>
          <w:szCs w:val="24"/>
        </w:rPr>
        <w:t xml:space="preserve">powers provided for in the </w:t>
      </w:r>
      <w:r>
        <w:rPr>
          <w:rFonts w:cs="Arial"/>
          <w:i/>
          <w:iCs/>
          <w:szCs w:val="24"/>
        </w:rPr>
        <w:t>Migration Act 1958</w:t>
      </w:r>
      <w:r>
        <w:rPr>
          <w:rFonts w:cs="Arial"/>
          <w:szCs w:val="24"/>
        </w:rPr>
        <w:t xml:space="preserve"> (Cth) (“the Act”) and the </w:t>
      </w:r>
      <w:r w:rsidR="00D8585E">
        <w:rPr>
          <w:rFonts w:cs="Arial"/>
          <w:szCs w:val="24"/>
        </w:rPr>
        <w:br/>
      </w:r>
      <w:r>
        <w:rPr>
          <w:rFonts w:cs="Arial"/>
          <w:i/>
          <w:iCs/>
          <w:szCs w:val="24"/>
        </w:rPr>
        <w:t>Migration Regulations 1994</w:t>
      </w:r>
      <w:r>
        <w:rPr>
          <w:rFonts w:cs="Arial"/>
          <w:szCs w:val="24"/>
        </w:rPr>
        <w:t xml:space="preserve"> (Cth) as amended (“the Amended Regulations”).  Clause 070.612A(1) of Schedule 2 to the Regulations is part of a suite of provisions that were introduced into the Act and the Amended Regulations in response to this Court’s decision in </w:t>
      </w:r>
      <w:r>
        <w:rPr>
          <w:rFonts w:cs="Arial"/>
          <w:i/>
          <w:iCs/>
          <w:szCs w:val="24"/>
        </w:rPr>
        <w:t>NZYQ v Minister for Immigration, Citizenship and Multicultural Affairs &amp; Anor</w:t>
      </w:r>
      <w:r>
        <w:rPr>
          <w:rFonts w:cs="Arial"/>
          <w:szCs w:val="24"/>
        </w:rPr>
        <w:t xml:space="preserve"> (“NZYQ”).  Under that clause, the Minister is empowered to impose two conditions on a Bridging R Visa granted to a non-citizen:</w:t>
      </w:r>
    </w:p>
    <w:p w14:paraId="50D22781" w14:textId="77777777" w:rsidR="0066696E" w:rsidRDefault="0066696E" w:rsidP="0066696E">
      <w:pPr>
        <w:tabs>
          <w:tab w:val="left" w:pos="0"/>
        </w:tabs>
        <w:jc w:val="both"/>
        <w:rPr>
          <w:rFonts w:cs="Arial"/>
          <w:szCs w:val="24"/>
        </w:rPr>
      </w:pPr>
    </w:p>
    <w:p w14:paraId="29425ECD" w14:textId="18A27BBC" w:rsidR="0066696E" w:rsidRDefault="0066696E" w:rsidP="0066696E">
      <w:pPr>
        <w:pStyle w:val="ListParagraph"/>
        <w:numPr>
          <w:ilvl w:val="0"/>
          <w:numId w:val="11"/>
        </w:numPr>
        <w:tabs>
          <w:tab w:val="left" w:pos="0"/>
        </w:tabs>
        <w:ind w:left="426" w:hanging="426"/>
        <w:rPr>
          <w:rFonts w:cs="Arial"/>
          <w:szCs w:val="24"/>
        </w:rPr>
      </w:pPr>
      <w:r>
        <w:rPr>
          <w:rFonts w:cs="Arial"/>
          <w:szCs w:val="24"/>
        </w:rPr>
        <w:t>C</w:t>
      </w:r>
      <w:r w:rsidRPr="003C03A4">
        <w:rPr>
          <w:rFonts w:cs="Arial"/>
          <w:szCs w:val="24"/>
        </w:rPr>
        <w:t xml:space="preserve">ondition 8620 (“the Curfew Condition”) </w:t>
      </w:r>
      <w:r>
        <w:rPr>
          <w:rFonts w:cs="Arial"/>
          <w:szCs w:val="24"/>
        </w:rPr>
        <w:t xml:space="preserve">– under which that person must remain at a notified address between the hours of 10:00pm on one day and 6:00am on the next day (or between such other times, not more than eight hours apart, </w:t>
      </w:r>
      <w:r w:rsidR="00D8585E">
        <w:rPr>
          <w:rFonts w:cs="Arial"/>
          <w:szCs w:val="24"/>
        </w:rPr>
        <w:br/>
      </w:r>
      <w:r>
        <w:rPr>
          <w:rFonts w:cs="Arial"/>
          <w:szCs w:val="24"/>
        </w:rPr>
        <w:t>as are specified in writing by the Minister); and</w:t>
      </w:r>
    </w:p>
    <w:p w14:paraId="723B9744" w14:textId="77777777" w:rsidR="0066696E" w:rsidRDefault="0066696E" w:rsidP="0066696E">
      <w:pPr>
        <w:pStyle w:val="ListParagraph"/>
        <w:tabs>
          <w:tab w:val="left" w:pos="0"/>
        </w:tabs>
        <w:ind w:left="426" w:hanging="426"/>
        <w:rPr>
          <w:rFonts w:cs="Arial"/>
          <w:szCs w:val="24"/>
        </w:rPr>
      </w:pPr>
    </w:p>
    <w:p w14:paraId="7326FFC4" w14:textId="77777777" w:rsidR="0066696E" w:rsidRDefault="0066696E" w:rsidP="0066696E">
      <w:pPr>
        <w:pStyle w:val="ListParagraph"/>
        <w:numPr>
          <w:ilvl w:val="0"/>
          <w:numId w:val="11"/>
        </w:numPr>
        <w:tabs>
          <w:tab w:val="left" w:pos="0"/>
        </w:tabs>
        <w:ind w:left="426" w:hanging="426"/>
        <w:rPr>
          <w:rFonts w:cs="Arial"/>
          <w:szCs w:val="24"/>
        </w:rPr>
      </w:pPr>
      <w:r>
        <w:rPr>
          <w:rFonts w:cs="Arial"/>
          <w:szCs w:val="24"/>
        </w:rPr>
        <w:t>C</w:t>
      </w:r>
      <w:r w:rsidRPr="003C03A4">
        <w:rPr>
          <w:rFonts w:cs="Arial"/>
          <w:szCs w:val="24"/>
        </w:rPr>
        <w:t>ondition 8621 (“the Monitoring Condition”)</w:t>
      </w:r>
      <w:r>
        <w:rPr>
          <w:rFonts w:cs="Arial"/>
          <w:szCs w:val="24"/>
        </w:rPr>
        <w:t xml:space="preserve"> – under which that person must </w:t>
      </w:r>
      <w:proofErr w:type="gramStart"/>
      <w:r>
        <w:rPr>
          <w:rFonts w:cs="Arial"/>
          <w:szCs w:val="24"/>
        </w:rPr>
        <w:t>wear a monitoring device at all times</w:t>
      </w:r>
      <w:proofErr w:type="gramEnd"/>
      <w:r>
        <w:rPr>
          <w:rFonts w:cs="Arial"/>
          <w:szCs w:val="24"/>
        </w:rPr>
        <w:t>.</w:t>
      </w:r>
      <w:r w:rsidRPr="003C03A4">
        <w:rPr>
          <w:rFonts w:cs="Arial"/>
          <w:szCs w:val="24"/>
        </w:rPr>
        <w:t xml:space="preserve"> </w:t>
      </w:r>
    </w:p>
    <w:p w14:paraId="3A2EE9FB" w14:textId="77777777" w:rsidR="0066696E" w:rsidRDefault="0066696E" w:rsidP="0066696E">
      <w:pPr>
        <w:tabs>
          <w:tab w:val="left" w:pos="0"/>
        </w:tabs>
        <w:jc w:val="both"/>
        <w:rPr>
          <w:rFonts w:cs="Arial"/>
          <w:szCs w:val="24"/>
        </w:rPr>
      </w:pPr>
    </w:p>
    <w:p w14:paraId="34D30BB0" w14:textId="77777777" w:rsidR="0066696E" w:rsidRPr="003C03A4" w:rsidRDefault="0066696E" w:rsidP="0066696E">
      <w:pPr>
        <w:tabs>
          <w:tab w:val="left" w:pos="0"/>
        </w:tabs>
        <w:jc w:val="both"/>
        <w:rPr>
          <w:rFonts w:cs="Arial"/>
          <w:szCs w:val="24"/>
        </w:rPr>
      </w:pPr>
      <w:r>
        <w:rPr>
          <w:rFonts w:cs="Arial"/>
          <w:szCs w:val="24"/>
        </w:rPr>
        <w:t>When considering whether to impose the above conditions, the Minister must consider whether it is reasonably necessary to impose each condition for the protection of any part of the Australian community.  Failure to comply with either condition without a reasonable excuse is an offence requiring imprisonment.</w:t>
      </w:r>
    </w:p>
    <w:p w14:paraId="1F74400C" w14:textId="77777777" w:rsidR="0066696E" w:rsidRDefault="0066696E" w:rsidP="0066696E">
      <w:pPr>
        <w:tabs>
          <w:tab w:val="left" w:pos="0"/>
        </w:tabs>
        <w:jc w:val="both"/>
        <w:rPr>
          <w:rFonts w:cs="Arial"/>
          <w:szCs w:val="24"/>
        </w:rPr>
      </w:pPr>
    </w:p>
    <w:p w14:paraId="49C9CF6C" w14:textId="77777777" w:rsidR="0066696E" w:rsidRDefault="0066696E" w:rsidP="0066696E">
      <w:pPr>
        <w:tabs>
          <w:tab w:val="left" w:pos="0"/>
        </w:tabs>
        <w:jc w:val="both"/>
        <w:rPr>
          <w:rFonts w:cs="Arial"/>
          <w:szCs w:val="24"/>
        </w:rPr>
      </w:pPr>
      <w:r>
        <w:rPr>
          <w:rFonts w:cs="Arial"/>
          <w:szCs w:val="24"/>
        </w:rPr>
        <w:t xml:space="preserve">The plaintiff contends that the powers to impose the Curfew Condition and the Monitoring Condition, together or alone, are punitive and therefore contrary to Chapter III of the </w:t>
      </w:r>
      <w:r w:rsidRPr="0006388A">
        <w:rPr>
          <w:rFonts w:cs="Arial"/>
          <w:i/>
          <w:iCs/>
          <w:szCs w:val="24"/>
        </w:rPr>
        <w:t>Constitution</w:t>
      </w:r>
      <w:r>
        <w:rPr>
          <w:rFonts w:cs="Arial"/>
          <w:szCs w:val="24"/>
        </w:rPr>
        <w:t xml:space="preserve"> and the doctrine of the separation of judicial from executive and legislative powers.  The plaintiff submits that the severity of the Curfew and Monitoring Conditions has a substantial interference with a person’s bodily integrity and privacy.  The defendants (being the Minister and the Commonwealth, respectively) reject those contentions. </w:t>
      </w:r>
    </w:p>
    <w:p w14:paraId="5E272B83" w14:textId="77777777" w:rsidR="0066696E" w:rsidRDefault="0066696E" w:rsidP="0066696E">
      <w:pPr>
        <w:tabs>
          <w:tab w:val="left" w:pos="0"/>
        </w:tabs>
        <w:jc w:val="both"/>
        <w:rPr>
          <w:rFonts w:cs="Arial"/>
          <w:szCs w:val="24"/>
        </w:rPr>
      </w:pPr>
    </w:p>
    <w:p w14:paraId="1FBD3328" w14:textId="2C71A866" w:rsidR="0066696E" w:rsidRDefault="0066696E" w:rsidP="0066696E">
      <w:pPr>
        <w:tabs>
          <w:tab w:val="left" w:pos="0"/>
        </w:tabs>
        <w:jc w:val="both"/>
        <w:rPr>
          <w:rFonts w:cs="Arial"/>
          <w:szCs w:val="24"/>
        </w:rPr>
      </w:pPr>
      <w:r>
        <w:rPr>
          <w:rFonts w:cs="Arial"/>
          <w:szCs w:val="24"/>
        </w:rPr>
        <w:t xml:space="preserve">In this case, the plaintiff was born in Eritrea but became stateless in 1994 when his citizenship was revoked because his family were Jehovah’s Witnesses.  </w:t>
      </w:r>
      <w:r w:rsidR="00D8585E">
        <w:rPr>
          <w:rFonts w:cs="Arial"/>
          <w:szCs w:val="24"/>
        </w:rPr>
        <w:br/>
      </w:r>
      <w:r>
        <w:rPr>
          <w:rFonts w:cs="Arial"/>
          <w:szCs w:val="24"/>
        </w:rPr>
        <w:t xml:space="preserve">The plaintiff arrived in Australia as a child in 2002 as a stateless refugee and became the holder of a permanent refugee visa.  The plaintiff’s parents and siblings are Australian citizens, </w:t>
      </w:r>
      <w:proofErr w:type="gramStart"/>
      <w:r>
        <w:rPr>
          <w:rFonts w:cs="Arial"/>
          <w:szCs w:val="24"/>
        </w:rPr>
        <w:t>with the exception of</w:t>
      </w:r>
      <w:proofErr w:type="gramEnd"/>
      <w:r>
        <w:rPr>
          <w:rFonts w:cs="Arial"/>
          <w:szCs w:val="24"/>
        </w:rPr>
        <w:t xml:space="preserve"> one brother who is a permanent resident.  In 2014, the plaintiff was diagnosed with schizophrenia.  The plaintiff is illiterate.</w:t>
      </w:r>
    </w:p>
    <w:p w14:paraId="386054F5" w14:textId="77777777" w:rsidR="0066696E" w:rsidRDefault="0066696E" w:rsidP="0066696E">
      <w:pPr>
        <w:tabs>
          <w:tab w:val="left" w:pos="0"/>
        </w:tabs>
        <w:jc w:val="both"/>
        <w:rPr>
          <w:rFonts w:cs="Arial"/>
          <w:szCs w:val="24"/>
        </w:rPr>
      </w:pPr>
    </w:p>
    <w:p w14:paraId="62A80328" w14:textId="401B408B" w:rsidR="0066696E" w:rsidRDefault="0066696E" w:rsidP="0066696E">
      <w:pPr>
        <w:tabs>
          <w:tab w:val="left" w:pos="0"/>
        </w:tabs>
        <w:jc w:val="both"/>
        <w:rPr>
          <w:rFonts w:cs="Arial"/>
          <w:szCs w:val="24"/>
        </w:rPr>
      </w:pPr>
      <w:r>
        <w:rPr>
          <w:rFonts w:cs="Arial"/>
          <w:szCs w:val="24"/>
        </w:rPr>
        <w:t xml:space="preserve">The plaintiff has a criminal record of offences between 2005 and 2017 and in December 2017, the plaintiff’s refugee visa was cancelled under section 501(3A) of the Act (that is, the Minister was satisfied that the plaintiff did not pass the character test).  In April 2018, the plaintiff was released from criminal custody and since then, was detained under s 189 of the Act at various immigration detention </w:t>
      </w:r>
      <w:proofErr w:type="spellStart"/>
      <w:r>
        <w:rPr>
          <w:rFonts w:cs="Arial"/>
          <w:szCs w:val="24"/>
        </w:rPr>
        <w:t>centres</w:t>
      </w:r>
      <w:proofErr w:type="spellEnd"/>
      <w:r>
        <w:rPr>
          <w:rFonts w:cs="Arial"/>
          <w:szCs w:val="24"/>
        </w:rPr>
        <w:t xml:space="preserve"> </w:t>
      </w:r>
      <w:r w:rsidR="00D8585E">
        <w:rPr>
          <w:rFonts w:cs="Arial"/>
          <w:szCs w:val="24"/>
        </w:rPr>
        <w:br/>
      </w:r>
      <w:r>
        <w:rPr>
          <w:rFonts w:cs="Arial"/>
          <w:szCs w:val="24"/>
        </w:rPr>
        <w:t xml:space="preserve">until November 2023, when this Court handed down its decision in </w:t>
      </w:r>
      <w:r>
        <w:rPr>
          <w:rFonts w:cs="Arial"/>
          <w:i/>
          <w:iCs/>
          <w:szCs w:val="24"/>
        </w:rPr>
        <w:t>NZYQ</w:t>
      </w:r>
      <w:r>
        <w:rPr>
          <w:rFonts w:cs="Arial"/>
          <w:szCs w:val="24"/>
        </w:rPr>
        <w:t xml:space="preserve">.  </w:t>
      </w:r>
      <w:r w:rsidR="00D8585E">
        <w:rPr>
          <w:rFonts w:cs="Arial"/>
          <w:szCs w:val="24"/>
        </w:rPr>
        <w:br/>
      </w:r>
      <w:r>
        <w:rPr>
          <w:rFonts w:cs="Arial"/>
          <w:szCs w:val="24"/>
        </w:rPr>
        <w:t xml:space="preserve">In December 2019, the plaintiff applied for a protection visa which has been refused, the refusal of which is the subject of a separate ongoing review by the Administrative Appeals Tribunal.  Since November 2023, the plaintiff has </w:t>
      </w:r>
      <w:r>
        <w:rPr>
          <w:rFonts w:cs="Arial"/>
          <w:szCs w:val="24"/>
        </w:rPr>
        <w:lastRenderedPageBreak/>
        <w:t>purportedly been granted multiple Bridging R visas imposing a variety of conditions.  The most current Bridging R visa was granted on 2 April 2024 imposing twenty conditions, including Curfew and Monitoring Conditions.</w:t>
      </w:r>
    </w:p>
    <w:p w14:paraId="628E12A9" w14:textId="77777777" w:rsidR="0066696E" w:rsidRDefault="0066696E" w:rsidP="0066696E">
      <w:pPr>
        <w:tabs>
          <w:tab w:val="left" w:pos="0"/>
        </w:tabs>
        <w:jc w:val="both"/>
        <w:rPr>
          <w:rFonts w:cs="Arial"/>
          <w:szCs w:val="24"/>
        </w:rPr>
      </w:pPr>
    </w:p>
    <w:p w14:paraId="7F6EC444" w14:textId="77777777" w:rsidR="0066696E" w:rsidRDefault="0066696E" w:rsidP="0066696E">
      <w:pPr>
        <w:tabs>
          <w:tab w:val="left" w:pos="0"/>
        </w:tabs>
        <w:jc w:val="both"/>
        <w:rPr>
          <w:rFonts w:cs="Arial"/>
          <w:szCs w:val="24"/>
        </w:rPr>
      </w:pPr>
      <w:r>
        <w:rPr>
          <w:rFonts w:cs="Arial"/>
          <w:szCs w:val="24"/>
        </w:rPr>
        <w:t xml:space="preserve">This case raises the issue of whether, to the extent to which clause 070.612A(1) </w:t>
      </w:r>
      <w:proofErr w:type="spellStart"/>
      <w:r>
        <w:rPr>
          <w:rFonts w:cs="Arial"/>
          <w:szCs w:val="24"/>
        </w:rPr>
        <w:t>authorises</w:t>
      </w:r>
      <w:proofErr w:type="spellEnd"/>
      <w:r>
        <w:rPr>
          <w:rFonts w:cs="Arial"/>
          <w:szCs w:val="24"/>
        </w:rPr>
        <w:t xml:space="preserve"> the Minister to impose the Curfew Condition and the Monitoring Condition on a Bridging R visa, that clause purports to </w:t>
      </w:r>
      <w:proofErr w:type="spellStart"/>
      <w:r>
        <w:rPr>
          <w:rFonts w:cs="Arial"/>
          <w:szCs w:val="24"/>
        </w:rPr>
        <w:t>authorise</w:t>
      </w:r>
      <w:proofErr w:type="spellEnd"/>
      <w:r>
        <w:rPr>
          <w:rFonts w:cs="Arial"/>
          <w:szCs w:val="24"/>
        </w:rPr>
        <w:t xml:space="preserve"> the Minister to exercise a power that is properly </w:t>
      </w:r>
      <w:proofErr w:type="spellStart"/>
      <w:r>
        <w:rPr>
          <w:rFonts w:cs="Arial"/>
          <w:szCs w:val="24"/>
        </w:rPr>
        <w:t>characterised</w:t>
      </w:r>
      <w:proofErr w:type="spellEnd"/>
      <w:r>
        <w:rPr>
          <w:rFonts w:cs="Arial"/>
          <w:szCs w:val="24"/>
        </w:rPr>
        <w:t xml:space="preserve"> as punitive, and therefore as exclusively judicial.</w:t>
      </w:r>
    </w:p>
    <w:p w14:paraId="576C73F7" w14:textId="77777777" w:rsidR="0066696E" w:rsidRDefault="0066696E" w:rsidP="0066696E">
      <w:pPr>
        <w:tabs>
          <w:tab w:val="left" w:pos="0"/>
        </w:tabs>
        <w:jc w:val="both"/>
        <w:rPr>
          <w:rFonts w:cs="Arial"/>
          <w:szCs w:val="24"/>
        </w:rPr>
      </w:pPr>
    </w:p>
    <w:p w14:paraId="76A9AFF5" w14:textId="77777777" w:rsidR="0066696E" w:rsidRDefault="0066696E" w:rsidP="0066696E">
      <w:pPr>
        <w:tabs>
          <w:tab w:val="left" w:pos="0"/>
        </w:tabs>
        <w:jc w:val="both"/>
        <w:rPr>
          <w:rFonts w:cs="Arial"/>
          <w:szCs w:val="24"/>
        </w:rPr>
      </w:pPr>
      <w:r>
        <w:rPr>
          <w:rFonts w:cs="Arial"/>
          <w:szCs w:val="24"/>
        </w:rPr>
        <w:t>The plaintiff has filed a notice of a constitutional matter.  The Attorney-General for the State of South Australia is intervening in support of the defendants.</w:t>
      </w:r>
    </w:p>
    <w:p w14:paraId="66D0330D" w14:textId="77777777" w:rsidR="0066696E" w:rsidRDefault="0066696E" w:rsidP="0066696E">
      <w:pPr>
        <w:tabs>
          <w:tab w:val="left" w:pos="0"/>
        </w:tabs>
        <w:jc w:val="both"/>
        <w:rPr>
          <w:rFonts w:cs="Arial"/>
          <w:szCs w:val="24"/>
        </w:rPr>
      </w:pPr>
    </w:p>
    <w:p w14:paraId="5C436D09" w14:textId="77777777" w:rsidR="0066696E" w:rsidRDefault="0066696E" w:rsidP="0066696E">
      <w:pPr>
        <w:tabs>
          <w:tab w:val="left" w:pos="0"/>
        </w:tabs>
        <w:jc w:val="both"/>
        <w:rPr>
          <w:rFonts w:cs="Arial"/>
          <w:szCs w:val="24"/>
        </w:rPr>
      </w:pPr>
      <w:r>
        <w:rPr>
          <w:rFonts w:cs="Arial"/>
          <w:szCs w:val="24"/>
        </w:rPr>
        <w:t>Justice Beech-Jones ordered that the following questions of law in the form of a Special Case be referred for consideration by a Full Court:</w:t>
      </w:r>
    </w:p>
    <w:p w14:paraId="21BAE104" w14:textId="77777777" w:rsidR="0066696E" w:rsidRPr="00872ECB" w:rsidRDefault="0066696E" w:rsidP="0066696E">
      <w:pPr>
        <w:tabs>
          <w:tab w:val="left" w:pos="0"/>
        </w:tabs>
        <w:jc w:val="both"/>
        <w:rPr>
          <w:rFonts w:cs="Arial"/>
          <w:szCs w:val="24"/>
        </w:rPr>
      </w:pPr>
    </w:p>
    <w:p w14:paraId="19571BC4" w14:textId="77777777" w:rsidR="0066696E" w:rsidRDefault="0066696E" w:rsidP="0066696E">
      <w:pPr>
        <w:pStyle w:val="ListParagraph"/>
        <w:numPr>
          <w:ilvl w:val="0"/>
          <w:numId w:val="10"/>
        </w:numPr>
        <w:tabs>
          <w:tab w:val="left" w:pos="0"/>
        </w:tabs>
        <w:ind w:left="426" w:hanging="426"/>
        <w:rPr>
          <w:rFonts w:cs="Arial"/>
          <w:szCs w:val="24"/>
        </w:rPr>
      </w:pPr>
      <w:r>
        <w:rPr>
          <w:rFonts w:cs="Arial"/>
          <w:szCs w:val="24"/>
        </w:rPr>
        <w:t xml:space="preserve">Is clause 070.612A(1)(a) of Schedule 2 to the Amended Regulations invalid because it infringes Chapter III of the </w:t>
      </w:r>
      <w:r w:rsidRPr="0006388A">
        <w:rPr>
          <w:rFonts w:cs="Arial"/>
          <w:i/>
          <w:iCs/>
          <w:szCs w:val="24"/>
        </w:rPr>
        <w:t>Constitution</w:t>
      </w:r>
      <w:r>
        <w:rPr>
          <w:rFonts w:cs="Arial"/>
          <w:szCs w:val="24"/>
        </w:rPr>
        <w:t>, either alone or in its operation with clause 070.612A(1)(d)?</w:t>
      </w:r>
    </w:p>
    <w:p w14:paraId="3DD0E25B" w14:textId="77777777" w:rsidR="0066696E" w:rsidRDefault="0066696E" w:rsidP="0066696E">
      <w:pPr>
        <w:pStyle w:val="ListParagraph"/>
        <w:tabs>
          <w:tab w:val="left" w:pos="0"/>
        </w:tabs>
        <w:ind w:left="426" w:hanging="426"/>
        <w:rPr>
          <w:rFonts w:cs="Arial"/>
          <w:szCs w:val="24"/>
        </w:rPr>
      </w:pPr>
    </w:p>
    <w:p w14:paraId="118880B9" w14:textId="77777777" w:rsidR="0066696E" w:rsidRDefault="0066696E" w:rsidP="0066696E">
      <w:pPr>
        <w:pStyle w:val="ListParagraph"/>
        <w:numPr>
          <w:ilvl w:val="0"/>
          <w:numId w:val="10"/>
        </w:numPr>
        <w:tabs>
          <w:tab w:val="left" w:pos="0"/>
        </w:tabs>
        <w:ind w:left="426" w:hanging="426"/>
        <w:rPr>
          <w:rFonts w:cs="Arial"/>
          <w:szCs w:val="24"/>
        </w:rPr>
      </w:pPr>
      <w:r>
        <w:rPr>
          <w:rFonts w:cs="Arial"/>
          <w:szCs w:val="24"/>
        </w:rPr>
        <w:t xml:space="preserve">Is clause 070.612A(1)(d) of Schedule 2 to the Amended Regulations invalid because it infringes Chapter III of the </w:t>
      </w:r>
      <w:r w:rsidRPr="0006388A">
        <w:rPr>
          <w:rFonts w:cs="Arial"/>
          <w:i/>
          <w:iCs/>
          <w:szCs w:val="24"/>
        </w:rPr>
        <w:t>Constitution</w:t>
      </w:r>
      <w:r>
        <w:rPr>
          <w:rFonts w:cs="Arial"/>
          <w:szCs w:val="24"/>
        </w:rPr>
        <w:t>, either alone or in its operation with clause 070.612A(1)(a)?</w:t>
      </w:r>
    </w:p>
    <w:p w14:paraId="3CBEED82" w14:textId="77777777" w:rsidR="0066696E" w:rsidRPr="00D54DC7" w:rsidRDefault="0066696E" w:rsidP="0066696E">
      <w:pPr>
        <w:pStyle w:val="ListParagraph"/>
        <w:ind w:left="426" w:hanging="426"/>
        <w:rPr>
          <w:rFonts w:cs="Arial"/>
          <w:szCs w:val="24"/>
        </w:rPr>
      </w:pPr>
    </w:p>
    <w:p w14:paraId="03AA65D4" w14:textId="77777777" w:rsidR="0066696E" w:rsidRDefault="0066696E" w:rsidP="0066696E">
      <w:pPr>
        <w:pStyle w:val="ListParagraph"/>
        <w:numPr>
          <w:ilvl w:val="0"/>
          <w:numId w:val="10"/>
        </w:numPr>
        <w:tabs>
          <w:tab w:val="left" w:pos="0"/>
        </w:tabs>
        <w:ind w:left="426" w:hanging="426"/>
        <w:rPr>
          <w:rFonts w:cs="Arial"/>
          <w:szCs w:val="24"/>
        </w:rPr>
      </w:pPr>
      <w:r>
        <w:rPr>
          <w:rFonts w:cs="Arial"/>
          <w:szCs w:val="24"/>
        </w:rPr>
        <w:t>What, if any, relief should be granted to the plaintiff?</w:t>
      </w:r>
    </w:p>
    <w:p w14:paraId="3B112213" w14:textId="77777777" w:rsidR="0066696E" w:rsidRPr="00D54DC7" w:rsidRDefault="0066696E" w:rsidP="0066696E">
      <w:pPr>
        <w:pStyle w:val="ListParagraph"/>
        <w:ind w:left="426" w:hanging="426"/>
        <w:rPr>
          <w:rFonts w:cs="Arial"/>
          <w:szCs w:val="24"/>
        </w:rPr>
      </w:pPr>
    </w:p>
    <w:p w14:paraId="1B550540" w14:textId="77777777" w:rsidR="0066696E" w:rsidRDefault="0066696E" w:rsidP="0066696E">
      <w:pPr>
        <w:pStyle w:val="ListParagraph"/>
        <w:numPr>
          <w:ilvl w:val="0"/>
          <w:numId w:val="10"/>
        </w:numPr>
        <w:tabs>
          <w:tab w:val="left" w:pos="0"/>
        </w:tabs>
        <w:ind w:left="426" w:hanging="426"/>
        <w:rPr>
          <w:rFonts w:cs="Arial"/>
          <w:szCs w:val="24"/>
        </w:rPr>
      </w:pPr>
      <w:r>
        <w:rPr>
          <w:rFonts w:cs="Arial"/>
          <w:szCs w:val="24"/>
        </w:rPr>
        <w:t>Who should pay the costs of the Special Case?</w:t>
      </w:r>
    </w:p>
    <w:p w14:paraId="67865E08" w14:textId="77777777" w:rsidR="0066696E" w:rsidRPr="0066696E" w:rsidRDefault="0066696E" w:rsidP="0066696E">
      <w:pPr>
        <w:pStyle w:val="ListParagraph"/>
        <w:rPr>
          <w:rFonts w:cs="Arial"/>
          <w:szCs w:val="24"/>
        </w:rPr>
      </w:pPr>
    </w:p>
    <w:p w14:paraId="5D17723C" w14:textId="1A063C07" w:rsidR="0066696E" w:rsidRDefault="0066696E">
      <w:pPr>
        <w:rPr>
          <w:rFonts w:cs="Arial"/>
          <w:szCs w:val="24"/>
        </w:rPr>
      </w:pPr>
      <w:r>
        <w:rPr>
          <w:rFonts w:cs="Arial"/>
          <w:szCs w:val="24"/>
        </w:rPr>
        <w:br w:type="page"/>
      </w:r>
    </w:p>
    <w:p w14:paraId="7E6FC0A4" w14:textId="77777777" w:rsidR="00405ADF" w:rsidRPr="00405ADF" w:rsidRDefault="00405ADF" w:rsidP="00405ADF">
      <w:pPr>
        <w:pStyle w:val="Heading1"/>
        <w:rPr>
          <w:b/>
          <w:bCs/>
          <w:sz w:val="28"/>
          <w:szCs w:val="28"/>
        </w:rPr>
      </w:pPr>
      <w:r w:rsidRPr="00405ADF">
        <w:rPr>
          <w:b/>
          <w:bCs/>
          <w:sz w:val="28"/>
          <w:szCs w:val="28"/>
        </w:rPr>
        <w:lastRenderedPageBreak/>
        <w:t>COMMONWEALTH OF AUSTRALIA v YUNUPINGU (ON BEHALF OF THE GUMATJ CLAN OR ESTATE GROUP) &amp; ORS</w:t>
      </w:r>
      <w:r w:rsidRPr="00405ADF">
        <w:rPr>
          <w:b/>
          <w:bCs/>
          <w:sz w:val="28"/>
          <w:szCs w:val="28"/>
          <w:u w:val="none"/>
        </w:rPr>
        <w:t xml:space="preserve"> (D5/2023)</w:t>
      </w:r>
    </w:p>
    <w:p w14:paraId="203E3CDB" w14:textId="77777777" w:rsidR="00405ADF" w:rsidRPr="00A729C0" w:rsidRDefault="00405ADF" w:rsidP="00405ADF">
      <w:pPr>
        <w:tabs>
          <w:tab w:val="left" w:pos="0"/>
        </w:tabs>
        <w:ind w:left="3600" w:hanging="3600"/>
        <w:rPr>
          <w:rFonts w:cs="Arial"/>
          <w:szCs w:val="24"/>
        </w:rPr>
      </w:pPr>
    </w:p>
    <w:p w14:paraId="0EB158FB" w14:textId="77777777" w:rsidR="00405ADF" w:rsidRDefault="00405ADF" w:rsidP="00405ADF">
      <w:pPr>
        <w:ind w:left="3600" w:hanging="3600"/>
        <w:rPr>
          <w:rFonts w:cs="Arial"/>
          <w:szCs w:val="24"/>
        </w:rPr>
      </w:pPr>
      <w:r w:rsidRPr="004B2258">
        <w:rPr>
          <w:rFonts w:cs="Arial"/>
          <w:szCs w:val="24"/>
          <w:u w:val="single"/>
        </w:rPr>
        <w:t>Court appealed from</w:t>
      </w:r>
      <w:r w:rsidRPr="004B2258">
        <w:rPr>
          <w:rFonts w:cs="Arial"/>
          <w:szCs w:val="24"/>
        </w:rPr>
        <w:t>:</w:t>
      </w:r>
      <w:r w:rsidRPr="004B2258">
        <w:rPr>
          <w:rFonts w:cs="Arial"/>
          <w:szCs w:val="24"/>
        </w:rPr>
        <w:tab/>
      </w:r>
      <w:r>
        <w:rPr>
          <w:rFonts w:cs="Arial"/>
          <w:szCs w:val="24"/>
        </w:rPr>
        <w:t>Full Court of the Federal Court of Australia</w:t>
      </w:r>
    </w:p>
    <w:p w14:paraId="44AF4A3C" w14:textId="77777777" w:rsidR="00405ADF" w:rsidRDefault="00405ADF" w:rsidP="00405ADF">
      <w:pPr>
        <w:ind w:left="3600" w:hanging="3600"/>
        <w:rPr>
          <w:rFonts w:cs="Arial"/>
          <w:szCs w:val="24"/>
        </w:rPr>
      </w:pPr>
      <w:r w:rsidRPr="00EE4673">
        <w:rPr>
          <w:rFonts w:cs="Arial"/>
          <w:szCs w:val="24"/>
        </w:rPr>
        <w:tab/>
      </w:r>
      <w:r>
        <w:rPr>
          <w:rFonts w:cs="Arial"/>
          <w:szCs w:val="24"/>
        </w:rPr>
        <w:t>[2023] FCAFC 75</w:t>
      </w:r>
    </w:p>
    <w:p w14:paraId="13BFAA5B" w14:textId="77777777" w:rsidR="00405ADF" w:rsidRPr="004B2258" w:rsidRDefault="00405ADF" w:rsidP="00405ADF">
      <w:pPr>
        <w:ind w:left="3600" w:hanging="3600"/>
        <w:rPr>
          <w:rFonts w:cs="Arial"/>
          <w:szCs w:val="24"/>
        </w:rPr>
      </w:pPr>
    </w:p>
    <w:p w14:paraId="3AF70E45" w14:textId="77777777" w:rsidR="00405ADF" w:rsidRDefault="00405ADF" w:rsidP="00405ADF">
      <w:pPr>
        <w:ind w:left="3600" w:hanging="3600"/>
        <w:rPr>
          <w:rFonts w:cs="Arial"/>
          <w:szCs w:val="24"/>
        </w:rPr>
      </w:pPr>
      <w:r w:rsidRPr="004B2258">
        <w:rPr>
          <w:rFonts w:cs="Arial"/>
          <w:szCs w:val="24"/>
          <w:u w:val="single"/>
        </w:rPr>
        <w:t>Date of judgment</w:t>
      </w:r>
      <w:r w:rsidRPr="004B2258">
        <w:rPr>
          <w:rFonts w:cs="Arial"/>
          <w:szCs w:val="24"/>
        </w:rPr>
        <w:t>:</w:t>
      </w:r>
      <w:r w:rsidRPr="004B2258">
        <w:rPr>
          <w:rFonts w:cs="Arial"/>
          <w:szCs w:val="24"/>
        </w:rPr>
        <w:tab/>
      </w:r>
      <w:r>
        <w:rPr>
          <w:rFonts w:cs="Arial"/>
          <w:szCs w:val="24"/>
        </w:rPr>
        <w:t>22 May 2023</w:t>
      </w:r>
    </w:p>
    <w:p w14:paraId="32EB4329" w14:textId="77777777" w:rsidR="00405ADF" w:rsidRDefault="00405ADF" w:rsidP="00405ADF">
      <w:pPr>
        <w:ind w:left="3600" w:hanging="3600"/>
        <w:rPr>
          <w:rFonts w:cs="Arial"/>
          <w:szCs w:val="24"/>
        </w:rPr>
      </w:pPr>
    </w:p>
    <w:p w14:paraId="067C4A6C" w14:textId="77777777" w:rsidR="00405ADF" w:rsidRDefault="00405ADF" w:rsidP="00405ADF">
      <w:pPr>
        <w:ind w:left="3600" w:hanging="3600"/>
        <w:rPr>
          <w:rFonts w:cs="Arial"/>
          <w:szCs w:val="24"/>
        </w:rPr>
      </w:pPr>
      <w:r>
        <w:rPr>
          <w:rFonts w:cs="Arial"/>
          <w:szCs w:val="24"/>
          <w:u w:val="single"/>
        </w:rPr>
        <w:t>Special leave granted</w:t>
      </w:r>
      <w:r>
        <w:rPr>
          <w:rFonts w:cs="Arial"/>
          <w:szCs w:val="24"/>
        </w:rPr>
        <w:t xml:space="preserve">: </w:t>
      </w:r>
      <w:r>
        <w:rPr>
          <w:rFonts w:cs="Arial"/>
          <w:szCs w:val="24"/>
        </w:rPr>
        <w:tab/>
        <w:t>19 October 2023</w:t>
      </w:r>
    </w:p>
    <w:p w14:paraId="693FD27F" w14:textId="77777777" w:rsidR="00405ADF" w:rsidRDefault="00405ADF" w:rsidP="00405ADF">
      <w:pPr>
        <w:tabs>
          <w:tab w:val="left" w:pos="0"/>
        </w:tabs>
        <w:rPr>
          <w:rFonts w:cs="Arial"/>
          <w:szCs w:val="24"/>
        </w:rPr>
      </w:pPr>
      <w:bookmarkStart w:id="0" w:name="para28"/>
      <w:bookmarkStart w:id="1" w:name="para4"/>
      <w:bookmarkStart w:id="2" w:name="Heading109"/>
      <w:bookmarkEnd w:id="0"/>
      <w:bookmarkEnd w:id="1"/>
      <w:bookmarkEnd w:id="2"/>
    </w:p>
    <w:p w14:paraId="507B33FE" w14:textId="304B241D" w:rsidR="00405ADF" w:rsidRPr="00F10B5E" w:rsidRDefault="00405ADF" w:rsidP="00405ADF">
      <w:pPr>
        <w:autoSpaceDE w:val="0"/>
        <w:autoSpaceDN w:val="0"/>
        <w:adjustRightInd w:val="0"/>
        <w:jc w:val="both"/>
        <w:rPr>
          <w:rFonts w:cs="Arial"/>
          <w:szCs w:val="24"/>
          <w:lang w:val="en-AU"/>
        </w:rPr>
      </w:pPr>
      <w:r w:rsidRPr="00F10B5E">
        <w:rPr>
          <w:rFonts w:cs="Arial"/>
          <w:szCs w:val="24"/>
          <w:lang w:val="en-AU"/>
        </w:rPr>
        <w:t>The first respondent,</w:t>
      </w:r>
      <w:r>
        <w:rPr>
          <w:rFonts w:cs="Arial"/>
          <w:szCs w:val="24"/>
          <w:lang w:val="en-AU"/>
        </w:rPr>
        <w:t xml:space="preserve"> </w:t>
      </w:r>
      <w:r w:rsidRPr="00F10B5E">
        <w:rPr>
          <w:rFonts w:cs="Arial"/>
          <w:szCs w:val="24"/>
          <w:lang w:val="en-AU"/>
        </w:rPr>
        <w:t>Yunupingu on behalf of the Gumatj Clan or Estate Group of the Yolngu People</w:t>
      </w:r>
      <w:r>
        <w:rPr>
          <w:rFonts w:cs="Arial"/>
          <w:szCs w:val="24"/>
          <w:lang w:val="en-AU"/>
        </w:rPr>
        <w:t xml:space="preserve"> (“the Gumatj respondent”)</w:t>
      </w:r>
      <w:r w:rsidRPr="00F10B5E">
        <w:rPr>
          <w:rFonts w:cs="Arial"/>
          <w:szCs w:val="24"/>
          <w:lang w:val="en-AU"/>
        </w:rPr>
        <w:t>, brought two applications in the Federal Court</w:t>
      </w:r>
      <w:r>
        <w:rPr>
          <w:rFonts w:cs="Arial"/>
          <w:szCs w:val="24"/>
          <w:lang w:val="en-AU"/>
        </w:rPr>
        <w:t xml:space="preserve"> of Australia</w:t>
      </w:r>
      <w:r w:rsidRPr="00F10B5E">
        <w:rPr>
          <w:rFonts w:cs="Arial"/>
          <w:szCs w:val="24"/>
          <w:lang w:val="en-AU"/>
        </w:rPr>
        <w:t xml:space="preserve"> in November 2019 under s</w:t>
      </w:r>
      <w:r>
        <w:rPr>
          <w:rFonts w:cs="Arial"/>
          <w:szCs w:val="24"/>
          <w:lang w:val="en-AU"/>
        </w:rPr>
        <w:t>ection</w:t>
      </w:r>
      <w:r w:rsidRPr="00F10B5E">
        <w:rPr>
          <w:rFonts w:cs="Arial"/>
          <w:szCs w:val="24"/>
          <w:lang w:val="en-AU"/>
        </w:rPr>
        <w:t xml:space="preserve"> 61 of the</w:t>
      </w:r>
      <w:r w:rsidRPr="00EB6CD1">
        <w:rPr>
          <w:rFonts w:cs="Arial"/>
          <w:szCs w:val="24"/>
          <w:lang w:val="en-AU"/>
        </w:rPr>
        <w:t xml:space="preserve"> </w:t>
      </w:r>
      <w:r w:rsidRPr="00EB6CD1">
        <w:rPr>
          <w:rFonts w:cs="Arial"/>
          <w:i/>
          <w:iCs/>
          <w:szCs w:val="24"/>
          <w:lang w:val="en-AU"/>
        </w:rPr>
        <w:t>Native</w:t>
      </w:r>
      <w:r w:rsidRPr="00F10B5E">
        <w:rPr>
          <w:rFonts w:cs="Arial"/>
          <w:i/>
          <w:iCs/>
          <w:szCs w:val="24"/>
          <w:lang w:val="en-AU"/>
        </w:rPr>
        <w:t xml:space="preserve"> Title Act 1993 </w:t>
      </w:r>
      <w:r w:rsidRPr="00F10B5E">
        <w:rPr>
          <w:rFonts w:cs="Arial"/>
          <w:szCs w:val="24"/>
          <w:lang w:val="en-AU"/>
        </w:rPr>
        <w:t>(Cth) (</w:t>
      </w:r>
      <w:r>
        <w:rPr>
          <w:rFonts w:cs="Arial"/>
          <w:szCs w:val="24"/>
          <w:lang w:val="en-AU"/>
        </w:rPr>
        <w:t xml:space="preserve">“the </w:t>
      </w:r>
      <w:r w:rsidRPr="00F10B5E">
        <w:rPr>
          <w:rFonts w:cs="Arial"/>
          <w:szCs w:val="24"/>
          <w:lang w:val="en-AU"/>
        </w:rPr>
        <w:t>NTA</w:t>
      </w:r>
      <w:r>
        <w:rPr>
          <w:rFonts w:cs="Arial"/>
          <w:szCs w:val="24"/>
          <w:lang w:val="en-AU"/>
        </w:rPr>
        <w:t>”</w:t>
      </w:r>
      <w:r w:rsidRPr="00F10B5E">
        <w:rPr>
          <w:rFonts w:cs="Arial"/>
          <w:szCs w:val="24"/>
          <w:lang w:val="en-AU"/>
        </w:rPr>
        <w:t xml:space="preserve">). </w:t>
      </w:r>
      <w:r>
        <w:rPr>
          <w:rFonts w:cs="Arial"/>
          <w:szCs w:val="24"/>
          <w:lang w:val="en-AU"/>
        </w:rPr>
        <w:t xml:space="preserve"> </w:t>
      </w:r>
      <w:r w:rsidRPr="00F10B5E">
        <w:rPr>
          <w:rFonts w:cs="Arial"/>
          <w:szCs w:val="24"/>
          <w:lang w:val="en-AU"/>
        </w:rPr>
        <w:t xml:space="preserve">One was a claimant application, seeking a determination of native title in favour of the </w:t>
      </w:r>
      <w:r>
        <w:rPr>
          <w:rFonts w:cs="Arial"/>
          <w:szCs w:val="24"/>
          <w:lang w:val="en-AU"/>
        </w:rPr>
        <w:t xml:space="preserve">Gumatj </w:t>
      </w:r>
      <w:r w:rsidRPr="00F10B5E">
        <w:rPr>
          <w:rFonts w:cs="Arial"/>
          <w:szCs w:val="24"/>
          <w:lang w:val="en-AU"/>
        </w:rPr>
        <w:t xml:space="preserve">Clan or Estate Group. </w:t>
      </w:r>
      <w:r>
        <w:rPr>
          <w:rFonts w:cs="Arial"/>
          <w:szCs w:val="24"/>
          <w:lang w:val="en-AU"/>
        </w:rPr>
        <w:t xml:space="preserve"> </w:t>
      </w:r>
      <w:r w:rsidR="008A7CC6">
        <w:rPr>
          <w:rFonts w:cs="Arial"/>
          <w:szCs w:val="24"/>
          <w:lang w:val="en-AU"/>
        </w:rPr>
        <w:br/>
      </w:r>
      <w:r w:rsidRPr="00F10B5E">
        <w:rPr>
          <w:rFonts w:cs="Arial"/>
          <w:szCs w:val="24"/>
          <w:lang w:val="en-AU"/>
        </w:rPr>
        <w:t xml:space="preserve">The second was a compensation application, seeking the payment of compensation for the alleged effects on native title of certain executive and legislative acts done after the Northern Territory became a territory of the Commonwealth in 1911, </w:t>
      </w:r>
      <w:r w:rsidR="008A7CC6">
        <w:rPr>
          <w:rFonts w:cs="Arial"/>
          <w:szCs w:val="24"/>
          <w:lang w:val="en-AU"/>
        </w:rPr>
        <w:br/>
      </w:r>
      <w:r w:rsidRPr="00F10B5E">
        <w:rPr>
          <w:rFonts w:cs="Arial"/>
          <w:szCs w:val="24"/>
          <w:lang w:val="en-AU"/>
        </w:rPr>
        <w:t xml:space="preserve">but prior to the coming into force of the </w:t>
      </w:r>
      <w:r w:rsidRPr="00F10B5E">
        <w:rPr>
          <w:rFonts w:cs="Arial"/>
          <w:i/>
          <w:iCs/>
          <w:szCs w:val="24"/>
          <w:lang w:val="en-AU"/>
        </w:rPr>
        <w:t>Northern Territory Self-Government Act</w:t>
      </w:r>
      <w:r w:rsidRPr="00F10B5E">
        <w:rPr>
          <w:rFonts w:cs="Arial"/>
          <w:b/>
          <w:bCs/>
          <w:i/>
          <w:iCs/>
          <w:szCs w:val="24"/>
          <w:lang w:val="en-AU"/>
        </w:rPr>
        <w:t xml:space="preserve"> </w:t>
      </w:r>
      <w:r w:rsidRPr="00F10B5E">
        <w:rPr>
          <w:rFonts w:cs="Arial"/>
          <w:i/>
          <w:iCs/>
          <w:szCs w:val="24"/>
          <w:lang w:val="en-AU"/>
        </w:rPr>
        <w:t xml:space="preserve">1978 </w:t>
      </w:r>
      <w:r w:rsidRPr="00F10B5E">
        <w:rPr>
          <w:rFonts w:cs="Arial"/>
          <w:szCs w:val="24"/>
          <w:lang w:val="en-AU"/>
        </w:rPr>
        <w:t xml:space="preserve">(Cth). </w:t>
      </w:r>
      <w:r>
        <w:rPr>
          <w:rFonts w:cs="Arial"/>
          <w:szCs w:val="24"/>
          <w:lang w:val="en-AU"/>
        </w:rPr>
        <w:t xml:space="preserve"> </w:t>
      </w:r>
      <w:r w:rsidRPr="00F10B5E">
        <w:rPr>
          <w:rFonts w:cs="Arial"/>
          <w:szCs w:val="24"/>
          <w:lang w:val="en-AU"/>
        </w:rPr>
        <w:t xml:space="preserve">The claim area </w:t>
      </w:r>
      <w:proofErr w:type="gramStart"/>
      <w:r w:rsidRPr="00F10B5E">
        <w:rPr>
          <w:rFonts w:cs="Arial"/>
          <w:szCs w:val="24"/>
          <w:lang w:val="en-AU"/>
        </w:rPr>
        <w:t>is located in</w:t>
      </w:r>
      <w:proofErr w:type="gramEnd"/>
      <w:r w:rsidRPr="00F10B5E">
        <w:rPr>
          <w:rFonts w:cs="Arial"/>
          <w:szCs w:val="24"/>
          <w:lang w:val="en-AU"/>
        </w:rPr>
        <w:t xml:space="preserve"> the Gove Peninsula, in north-eastern Arnhem Land in the Northern Territory.</w:t>
      </w:r>
    </w:p>
    <w:p w14:paraId="218679A8" w14:textId="77777777" w:rsidR="00405ADF" w:rsidRDefault="00405ADF" w:rsidP="00405ADF">
      <w:pPr>
        <w:tabs>
          <w:tab w:val="left" w:pos="0"/>
        </w:tabs>
        <w:jc w:val="both"/>
        <w:rPr>
          <w:rFonts w:cs="Arial"/>
          <w:szCs w:val="24"/>
        </w:rPr>
      </w:pPr>
    </w:p>
    <w:p w14:paraId="3EF5E877" w14:textId="07C4C6AD" w:rsidR="00405ADF" w:rsidRDefault="00405ADF" w:rsidP="00405ADF">
      <w:pPr>
        <w:autoSpaceDE w:val="0"/>
        <w:autoSpaceDN w:val="0"/>
        <w:adjustRightInd w:val="0"/>
        <w:jc w:val="both"/>
        <w:rPr>
          <w:rFonts w:cs="Arial"/>
          <w:szCs w:val="24"/>
          <w:lang w:val="en-AU"/>
        </w:rPr>
      </w:pPr>
      <w:r>
        <w:rPr>
          <w:rFonts w:cs="Arial"/>
          <w:szCs w:val="24"/>
          <w:lang w:val="en-AU"/>
        </w:rPr>
        <w:t>The Gumatj respondent</w:t>
      </w:r>
      <w:r w:rsidRPr="00F10B5E">
        <w:rPr>
          <w:rFonts w:cs="Arial"/>
          <w:szCs w:val="24"/>
          <w:lang w:val="en-AU"/>
        </w:rPr>
        <w:t xml:space="preserve"> broadly accepted that, by reason of the grant of a pastoral lease in respect of the claim area in 1886 (and three further pastoral leases in respect of the claim area in the years up to 1903), the claimants’ </w:t>
      </w:r>
      <w:r w:rsidRPr="00F10B5E">
        <w:rPr>
          <w:rFonts w:cs="Arial"/>
          <w:i/>
          <w:iCs/>
          <w:szCs w:val="24"/>
          <w:lang w:val="en-AU"/>
        </w:rPr>
        <w:t xml:space="preserve">exclusive </w:t>
      </w:r>
      <w:r w:rsidRPr="00F10B5E">
        <w:rPr>
          <w:rFonts w:cs="Arial"/>
          <w:szCs w:val="24"/>
          <w:lang w:val="en-AU"/>
        </w:rPr>
        <w:t xml:space="preserve">native title rights in respect of the claim area were extinguished. </w:t>
      </w:r>
      <w:r>
        <w:rPr>
          <w:rFonts w:cs="Arial"/>
          <w:szCs w:val="24"/>
          <w:lang w:val="en-AU"/>
        </w:rPr>
        <w:t xml:space="preserve"> </w:t>
      </w:r>
      <w:r w:rsidRPr="00F10B5E">
        <w:rPr>
          <w:rFonts w:cs="Arial"/>
          <w:szCs w:val="24"/>
          <w:lang w:val="en-AU"/>
        </w:rPr>
        <w:t xml:space="preserve">However, </w:t>
      </w:r>
      <w:r>
        <w:rPr>
          <w:rFonts w:cs="Arial"/>
          <w:szCs w:val="24"/>
          <w:lang w:val="en-AU"/>
        </w:rPr>
        <w:t>the Gumatj respondent</w:t>
      </w:r>
      <w:r w:rsidRPr="00F10B5E">
        <w:rPr>
          <w:rFonts w:cs="Arial"/>
          <w:szCs w:val="24"/>
          <w:lang w:val="en-AU"/>
        </w:rPr>
        <w:t xml:space="preserve"> contended that the claimants continued to hold </w:t>
      </w:r>
      <w:r w:rsidRPr="00F10B5E">
        <w:rPr>
          <w:rFonts w:cs="Arial"/>
          <w:i/>
          <w:iCs/>
          <w:szCs w:val="24"/>
          <w:lang w:val="en-AU"/>
        </w:rPr>
        <w:t xml:space="preserve">non-exclusive </w:t>
      </w:r>
      <w:r w:rsidRPr="00F10B5E">
        <w:rPr>
          <w:rFonts w:cs="Arial"/>
          <w:szCs w:val="24"/>
          <w:lang w:val="en-AU"/>
        </w:rPr>
        <w:t xml:space="preserve">native title rights in respect of the claim area, including the right to access, take and use for any purpose the resources of the claim area. </w:t>
      </w:r>
      <w:r>
        <w:rPr>
          <w:rFonts w:cs="Arial"/>
          <w:szCs w:val="24"/>
          <w:lang w:val="en-AU"/>
        </w:rPr>
        <w:t xml:space="preserve"> </w:t>
      </w:r>
      <w:r w:rsidRPr="00F10B5E">
        <w:rPr>
          <w:rFonts w:cs="Arial"/>
          <w:szCs w:val="24"/>
          <w:lang w:val="en-AU"/>
        </w:rPr>
        <w:t xml:space="preserve">This was said to include resources below, on or above the surface of the claim area, such as minerals on or below the surface. </w:t>
      </w:r>
      <w:r>
        <w:rPr>
          <w:rFonts w:cs="Arial"/>
          <w:szCs w:val="24"/>
          <w:lang w:val="en-AU"/>
        </w:rPr>
        <w:t xml:space="preserve"> The Gumatj respondent</w:t>
      </w:r>
      <w:r w:rsidRPr="00F10B5E">
        <w:rPr>
          <w:rFonts w:cs="Arial"/>
          <w:szCs w:val="24"/>
          <w:lang w:val="en-AU"/>
        </w:rPr>
        <w:t xml:space="preserve"> then contended that, in the period from 1911 to 1978, a number of grants or legislative acts took place which, if valid: (a) may have been inconsistent with the continued existence of the claimants’ non-exclusive native title rights (either generally or in relation to minerals, depending on the particular grant or act); and (b) may have extinguished or impaired those </w:t>
      </w:r>
      <w:r w:rsidR="008A7CC6">
        <w:rPr>
          <w:rFonts w:cs="Arial"/>
          <w:szCs w:val="24"/>
          <w:lang w:val="en-AU"/>
        </w:rPr>
        <w:br/>
      </w:r>
      <w:r w:rsidRPr="00F10B5E">
        <w:rPr>
          <w:rFonts w:cs="Arial"/>
          <w:szCs w:val="24"/>
          <w:lang w:val="en-AU"/>
        </w:rPr>
        <w:t>non-exclusive native title rights at common law.</w:t>
      </w:r>
      <w:r>
        <w:rPr>
          <w:rFonts w:cs="Arial"/>
          <w:szCs w:val="24"/>
          <w:lang w:val="en-AU"/>
        </w:rPr>
        <w:t xml:space="preserve"> </w:t>
      </w:r>
      <w:r w:rsidRPr="00F10B5E">
        <w:rPr>
          <w:rFonts w:cs="Arial"/>
          <w:szCs w:val="24"/>
          <w:lang w:val="en-AU"/>
        </w:rPr>
        <w:t xml:space="preserve"> </w:t>
      </w:r>
      <w:r>
        <w:rPr>
          <w:rFonts w:cs="Arial"/>
          <w:szCs w:val="24"/>
          <w:lang w:val="en-AU"/>
        </w:rPr>
        <w:t>The Gumatj respondent</w:t>
      </w:r>
      <w:r w:rsidRPr="00F10B5E">
        <w:rPr>
          <w:rFonts w:cs="Arial"/>
          <w:szCs w:val="24"/>
          <w:lang w:val="en-AU"/>
        </w:rPr>
        <w:t xml:space="preserve"> contended that if the grants or acts had any extinguishing effect, then, the NTA apart, the grants or acts were invalid by reason of the failure to provide just terms as required by </w:t>
      </w:r>
      <w:r w:rsidR="008A7CC6">
        <w:rPr>
          <w:rFonts w:cs="Arial"/>
          <w:szCs w:val="24"/>
          <w:lang w:val="en-AU"/>
        </w:rPr>
        <w:br/>
      </w:r>
      <w:r w:rsidRPr="00F10B5E">
        <w:rPr>
          <w:rFonts w:cs="Arial"/>
          <w:szCs w:val="24"/>
          <w:lang w:val="en-AU"/>
        </w:rPr>
        <w:t xml:space="preserve">s 51(xxxi) of the </w:t>
      </w:r>
      <w:r w:rsidRPr="009B34D9">
        <w:rPr>
          <w:rFonts w:cs="Arial"/>
          <w:i/>
          <w:iCs/>
          <w:szCs w:val="24"/>
          <w:lang w:val="en-AU"/>
        </w:rPr>
        <w:t>Constitution</w:t>
      </w:r>
      <w:r w:rsidRPr="00F10B5E">
        <w:rPr>
          <w:rFonts w:cs="Arial"/>
          <w:szCs w:val="24"/>
          <w:lang w:val="en-AU"/>
        </w:rPr>
        <w:t xml:space="preserve">. </w:t>
      </w:r>
      <w:r>
        <w:rPr>
          <w:rFonts w:cs="Arial"/>
          <w:szCs w:val="24"/>
          <w:lang w:val="en-AU"/>
        </w:rPr>
        <w:t xml:space="preserve"> </w:t>
      </w:r>
      <w:r w:rsidRPr="00F10B5E">
        <w:rPr>
          <w:rFonts w:cs="Arial"/>
          <w:szCs w:val="24"/>
          <w:lang w:val="en-AU"/>
        </w:rPr>
        <w:t xml:space="preserve">On this basis, </w:t>
      </w:r>
      <w:r>
        <w:rPr>
          <w:rFonts w:cs="Arial"/>
          <w:szCs w:val="24"/>
          <w:lang w:val="en-AU"/>
        </w:rPr>
        <w:t>the Gumatj respondent</w:t>
      </w:r>
      <w:r w:rsidRPr="00F10B5E">
        <w:rPr>
          <w:rFonts w:cs="Arial"/>
          <w:szCs w:val="24"/>
          <w:lang w:val="en-AU"/>
        </w:rPr>
        <w:t xml:space="preserve"> contended that each of the grants and acts fell within the definition of a “past act” in the NTA. </w:t>
      </w:r>
      <w:r>
        <w:rPr>
          <w:rFonts w:cs="Arial"/>
          <w:szCs w:val="24"/>
          <w:lang w:val="en-AU"/>
        </w:rPr>
        <w:t xml:space="preserve"> </w:t>
      </w:r>
      <w:r w:rsidR="008A7CC6">
        <w:rPr>
          <w:rFonts w:cs="Arial"/>
          <w:szCs w:val="24"/>
          <w:lang w:val="en-AU"/>
        </w:rPr>
        <w:br/>
      </w:r>
      <w:r>
        <w:rPr>
          <w:rFonts w:cs="Arial"/>
          <w:szCs w:val="24"/>
          <w:lang w:val="en-AU"/>
        </w:rPr>
        <w:t xml:space="preserve">It was then </w:t>
      </w:r>
      <w:r w:rsidRPr="00F10B5E">
        <w:rPr>
          <w:rFonts w:cs="Arial"/>
          <w:szCs w:val="24"/>
          <w:lang w:val="en-AU"/>
        </w:rPr>
        <w:t xml:space="preserve">contended that, by operation of the NTA, the grant or act was effective to grant or vest the rights that it purported to grant or vest, and the claimants were entitled to compensation under the NTA in respect of the acquisition of property.  </w:t>
      </w:r>
    </w:p>
    <w:p w14:paraId="7AE3ED2D" w14:textId="77777777" w:rsidR="00405ADF" w:rsidRDefault="00405ADF" w:rsidP="00405ADF">
      <w:pPr>
        <w:autoSpaceDE w:val="0"/>
        <w:autoSpaceDN w:val="0"/>
        <w:adjustRightInd w:val="0"/>
        <w:jc w:val="both"/>
        <w:rPr>
          <w:rFonts w:cs="Arial"/>
          <w:szCs w:val="24"/>
          <w:lang w:val="en-AU"/>
        </w:rPr>
      </w:pPr>
    </w:p>
    <w:p w14:paraId="150ED049" w14:textId="324ECE7D" w:rsidR="00405ADF" w:rsidRDefault="00405ADF" w:rsidP="00405ADF">
      <w:pPr>
        <w:autoSpaceDE w:val="0"/>
        <w:autoSpaceDN w:val="0"/>
        <w:adjustRightInd w:val="0"/>
        <w:jc w:val="both"/>
        <w:rPr>
          <w:rFonts w:cs="Arial"/>
          <w:szCs w:val="24"/>
          <w:lang w:val="en-AU"/>
        </w:rPr>
      </w:pPr>
      <w:proofErr w:type="gramStart"/>
      <w:r>
        <w:rPr>
          <w:rFonts w:cs="Arial"/>
          <w:szCs w:val="24"/>
          <w:lang w:val="en-AU"/>
        </w:rPr>
        <w:t>I</w:t>
      </w:r>
      <w:r w:rsidRPr="00F10B5E">
        <w:rPr>
          <w:rFonts w:cs="Arial"/>
          <w:szCs w:val="24"/>
          <w:lang w:val="en-AU"/>
        </w:rPr>
        <w:t>n order to</w:t>
      </w:r>
      <w:proofErr w:type="gramEnd"/>
      <w:r w:rsidRPr="00F10B5E">
        <w:rPr>
          <w:rFonts w:cs="Arial"/>
          <w:szCs w:val="24"/>
          <w:lang w:val="en-AU"/>
        </w:rPr>
        <w:t xml:space="preserve"> progress the matters</w:t>
      </w:r>
      <w:r>
        <w:rPr>
          <w:rFonts w:cs="Arial"/>
          <w:szCs w:val="24"/>
          <w:lang w:val="en-AU"/>
        </w:rPr>
        <w:t xml:space="preserve"> in the Federal Court, i</w:t>
      </w:r>
      <w:r w:rsidRPr="00F10B5E">
        <w:rPr>
          <w:rFonts w:cs="Arial"/>
          <w:szCs w:val="24"/>
          <w:lang w:val="en-AU"/>
        </w:rPr>
        <w:t xml:space="preserve">t was agreed that </w:t>
      </w:r>
      <w:r>
        <w:rPr>
          <w:rFonts w:cs="Arial"/>
          <w:szCs w:val="24"/>
          <w:lang w:val="en-AU"/>
        </w:rPr>
        <w:t xml:space="preserve">the </w:t>
      </w:r>
      <w:r w:rsidR="00B62EA5">
        <w:rPr>
          <w:rFonts w:cs="Arial"/>
          <w:szCs w:val="24"/>
          <w:lang w:val="en-AU"/>
        </w:rPr>
        <w:br/>
      </w:r>
      <w:r>
        <w:rPr>
          <w:rFonts w:cs="Arial"/>
          <w:szCs w:val="24"/>
          <w:lang w:val="en-AU"/>
        </w:rPr>
        <w:t xml:space="preserve">Gumatj respondent </w:t>
      </w:r>
      <w:r w:rsidRPr="00F10B5E">
        <w:rPr>
          <w:rFonts w:cs="Arial"/>
          <w:szCs w:val="24"/>
          <w:lang w:val="en-AU"/>
        </w:rPr>
        <w:t>would file a statement of claim in both proceedings</w:t>
      </w:r>
      <w:r>
        <w:rPr>
          <w:rFonts w:cs="Arial"/>
          <w:szCs w:val="24"/>
          <w:lang w:val="en-AU"/>
        </w:rPr>
        <w:t>,</w:t>
      </w:r>
      <w:r w:rsidRPr="00F10B5E">
        <w:rPr>
          <w:rFonts w:cs="Arial"/>
          <w:szCs w:val="24"/>
          <w:lang w:val="en-AU"/>
        </w:rPr>
        <w:t xml:space="preserve"> and </w:t>
      </w:r>
      <w:r>
        <w:rPr>
          <w:rFonts w:cs="Arial"/>
          <w:szCs w:val="24"/>
          <w:lang w:val="en-AU"/>
        </w:rPr>
        <w:t xml:space="preserve">that </w:t>
      </w:r>
      <w:r w:rsidRPr="00F10B5E">
        <w:rPr>
          <w:rFonts w:cs="Arial"/>
          <w:szCs w:val="24"/>
          <w:lang w:val="en-AU"/>
        </w:rPr>
        <w:t>the Commonwealth would file an interlocutory application in the compensation proceeding seeking orders to facilitate a hearing before a Full Court</w:t>
      </w:r>
      <w:r>
        <w:rPr>
          <w:rFonts w:cs="Arial"/>
          <w:szCs w:val="24"/>
          <w:lang w:val="en-AU"/>
        </w:rPr>
        <w:t xml:space="preserve"> </w:t>
      </w:r>
      <w:r w:rsidRPr="006437A4">
        <w:rPr>
          <w:rFonts w:cs="Arial"/>
          <w:szCs w:val="24"/>
          <w:lang w:val="en-AU"/>
        </w:rPr>
        <w:t xml:space="preserve">of the </w:t>
      </w:r>
      <w:r w:rsidR="008A7CC6">
        <w:rPr>
          <w:rFonts w:cs="Arial"/>
          <w:szCs w:val="24"/>
          <w:lang w:val="en-AU"/>
        </w:rPr>
        <w:br/>
      </w:r>
      <w:r w:rsidRPr="006437A4">
        <w:rPr>
          <w:rFonts w:cs="Arial"/>
          <w:szCs w:val="24"/>
          <w:lang w:val="en-AU"/>
        </w:rPr>
        <w:t xml:space="preserve">Federal Court </w:t>
      </w:r>
      <w:r w:rsidRPr="00F10B5E">
        <w:rPr>
          <w:rFonts w:cs="Arial"/>
          <w:szCs w:val="24"/>
          <w:lang w:val="en-AU"/>
        </w:rPr>
        <w:t xml:space="preserve">of a demurrer against the claims for compensation.  </w:t>
      </w:r>
      <w:r>
        <w:rPr>
          <w:rFonts w:cs="Arial"/>
          <w:szCs w:val="24"/>
          <w:lang w:val="en-AU"/>
        </w:rPr>
        <w:t>O</w:t>
      </w:r>
      <w:r w:rsidRPr="00F10B5E">
        <w:rPr>
          <w:rFonts w:cs="Arial"/>
          <w:szCs w:val="24"/>
          <w:lang w:val="en-AU"/>
        </w:rPr>
        <w:t xml:space="preserve">rders </w:t>
      </w:r>
      <w:r>
        <w:rPr>
          <w:rFonts w:cs="Arial"/>
          <w:szCs w:val="24"/>
          <w:lang w:val="en-AU"/>
        </w:rPr>
        <w:t xml:space="preserve">were </w:t>
      </w:r>
      <w:r w:rsidRPr="00F10B5E">
        <w:rPr>
          <w:rFonts w:cs="Arial"/>
          <w:szCs w:val="24"/>
          <w:lang w:val="en-AU"/>
        </w:rPr>
        <w:t>made for separate questions to be determined.  At the commencement of the hearing</w:t>
      </w:r>
      <w:r>
        <w:rPr>
          <w:rFonts w:cs="Arial"/>
          <w:szCs w:val="24"/>
          <w:lang w:val="en-AU"/>
        </w:rPr>
        <w:t>,</w:t>
      </w:r>
      <w:r w:rsidRPr="00F10B5E">
        <w:rPr>
          <w:rFonts w:cs="Arial"/>
          <w:szCs w:val="24"/>
          <w:lang w:val="en-AU"/>
        </w:rPr>
        <w:t xml:space="preserve"> the Full Court considered it appropriate to restate the separate questions. </w:t>
      </w:r>
    </w:p>
    <w:p w14:paraId="503706BF" w14:textId="77777777" w:rsidR="007F19C3" w:rsidRPr="00F10B5E" w:rsidRDefault="007F19C3" w:rsidP="00405ADF">
      <w:pPr>
        <w:autoSpaceDE w:val="0"/>
        <w:autoSpaceDN w:val="0"/>
        <w:adjustRightInd w:val="0"/>
        <w:jc w:val="both"/>
        <w:rPr>
          <w:rFonts w:cs="Arial"/>
          <w:szCs w:val="24"/>
          <w:lang w:val="en-AU"/>
        </w:rPr>
      </w:pPr>
    </w:p>
    <w:p w14:paraId="74593A96" w14:textId="77777777" w:rsidR="00405ADF" w:rsidRDefault="00405ADF" w:rsidP="00405ADF">
      <w:pPr>
        <w:pStyle w:val="Default"/>
        <w:jc w:val="both"/>
      </w:pPr>
    </w:p>
    <w:p w14:paraId="39B7099E" w14:textId="1B6CD6F2" w:rsidR="00405ADF" w:rsidRDefault="00405ADF" w:rsidP="00405ADF">
      <w:pPr>
        <w:pStyle w:val="Default"/>
        <w:jc w:val="both"/>
      </w:pPr>
      <w:r>
        <w:t xml:space="preserve">Before </w:t>
      </w:r>
      <w:r w:rsidRPr="00F10B5E">
        <w:t xml:space="preserve">the Full Court, the </w:t>
      </w:r>
      <w:r>
        <w:t>Commonwealth</w:t>
      </w:r>
      <w:r w:rsidRPr="00F10B5E">
        <w:t xml:space="preserve"> contended that the acts were not invalid when done, because (relevantly):</w:t>
      </w:r>
    </w:p>
    <w:p w14:paraId="37399CAC" w14:textId="77777777" w:rsidR="007F19C3" w:rsidRDefault="007F19C3" w:rsidP="00405ADF">
      <w:pPr>
        <w:pStyle w:val="Default"/>
        <w:jc w:val="both"/>
      </w:pPr>
    </w:p>
    <w:p w14:paraId="3DF8C92A" w14:textId="77777777" w:rsidR="00405ADF" w:rsidRDefault="00405ADF" w:rsidP="00405ADF">
      <w:pPr>
        <w:pStyle w:val="Default"/>
        <w:numPr>
          <w:ilvl w:val="0"/>
          <w:numId w:val="14"/>
        </w:numPr>
        <w:ind w:left="426" w:hanging="426"/>
        <w:jc w:val="both"/>
      </w:pPr>
      <w:r>
        <w:lastRenderedPageBreak/>
        <w:t>T</w:t>
      </w:r>
      <w:r w:rsidRPr="00F10B5E">
        <w:t xml:space="preserve">he just terms requirement contained in s 51(xxxi) of the </w:t>
      </w:r>
      <w:r w:rsidRPr="009B34D9">
        <w:rPr>
          <w:i/>
          <w:iCs/>
          <w:color w:val="auto"/>
        </w:rPr>
        <w:t>Constitution</w:t>
      </w:r>
      <w:r w:rsidRPr="009B34D9">
        <w:rPr>
          <w:color w:val="auto"/>
        </w:rPr>
        <w:t xml:space="preserve"> </w:t>
      </w:r>
      <w:r w:rsidRPr="00F10B5E">
        <w:t xml:space="preserve">does not apply to laws enacted pursuant to s 122 of the </w:t>
      </w:r>
      <w:r w:rsidRPr="000B223A">
        <w:rPr>
          <w:i/>
          <w:iCs/>
        </w:rPr>
        <w:t>Constitution</w:t>
      </w:r>
      <w:r w:rsidRPr="00F10B5E">
        <w:t xml:space="preserve">, including the </w:t>
      </w:r>
      <w:r w:rsidRPr="00F10B5E">
        <w:rPr>
          <w:i/>
          <w:iCs/>
        </w:rPr>
        <w:t xml:space="preserve">Northern Territory (Administration) Act 1910 </w:t>
      </w:r>
      <w:r w:rsidRPr="00F10B5E">
        <w:t xml:space="preserve">(Cth) (and </w:t>
      </w:r>
      <w:r>
        <w:t>O</w:t>
      </w:r>
      <w:r w:rsidRPr="00F10B5E">
        <w:t xml:space="preserve">rdinances made thereunder), as determined in </w:t>
      </w:r>
      <w:proofErr w:type="spellStart"/>
      <w:r w:rsidRPr="00F10B5E">
        <w:rPr>
          <w:i/>
          <w:iCs/>
        </w:rPr>
        <w:t>Teori</w:t>
      </w:r>
      <w:proofErr w:type="spellEnd"/>
      <w:r w:rsidRPr="00F10B5E">
        <w:rPr>
          <w:i/>
          <w:iCs/>
        </w:rPr>
        <w:t xml:space="preserve"> Tau v Commonwealth </w:t>
      </w:r>
      <w:r w:rsidRPr="00F10B5E">
        <w:t xml:space="preserve">(1969) 119 CLR 564 and the High Court in </w:t>
      </w:r>
      <w:proofErr w:type="spellStart"/>
      <w:r w:rsidRPr="00F10B5E">
        <w:rPr>
          <w:i/>
          <w:iCs/>
        </w:rPr>
        <w:t>Wurridjal</w:t>
      </w:r>
      <w:proofErr w:type="spellEnd"/>
      <w:r w:rsidRPr="00F10B5E">
        <w:rPr>
          <w:b/>
          <w:bCs/>
          <w:i/>
          <w:iCs/>
        </w:rPr>
        <w:t xml:space="preserve"> </w:t>
      </w:r>
      <w:r w:rsidRPr="00F10B5E">
        <w:rPr>
          <w:i/>
          <w:iCs/>
        </w:rPr>
        <w:t xml:space="preserve">v Commonwealth </w:t>
      </w:r>
      <w:r w:rsidRPr="00F10B5E">
        <w:t xml:space="preserve">(2009) 237 CLR 309 did not hold otherwise or, in the alternative, that </w:t>
      </w:r>
      <w:proofErr w:type="spellStart"/>
      <w:r w:rsidRPr="00F10B5E">
        <w:rPr>
          <w:i/>
          <w:iCs/>
        </w:rPr>
        <w:t>Wurridjal</w:t>
      </w:r>
      <w:proofErr w:type="spellEnd"/>
      <w:r w:rsidRPr="00F10B5E">
        <w:rPr>
          <w:i/>
          <w:iCs/>
        </w:rPr>
        <w:t xml:space="preserve"> </w:t>
      </w:r>
      <w:r w:rsidRPr="00F10B5E">
        <w:t xml:space="preserve">is wrong and should be overruled; and, in any event, </w:t>
      </w:r>
    </w:p>
    <w:p w14:paraId="0C4A3723" w14:textId="77777777" w:rsidR="00405ADF" w:rsidRDefault="00405ADF" w:rsidP="00405ADF">
      <w:pPr>
        <w:pStyle w:val="Default"/>
        <w:ind w:left="426" w:hanging="426"/>
        <w:jc w:val="both"/>
      </w:pPr>
    </w:p>
    <w:p w14:paraId="1631FC41" w14:textId="77777777" w:rsidR="00405ADF" w:rsidRPr="00F10B5E" w:rsidRDefault="00405ADF" w:rsidP="00405ADF">
      <w:pPr>
        <w:pStyle w:val="Default"/>
        <w:numPr>
          <w:ilvl w:val="0"/>
          <w:numId w:val="14"/>
        </w:numPr>
        <w:ind w:left="426" w:hanging="426"/>
        <w:jc w:val="both"/>
      </w:pPr>
      <w:r>
        <w:t>T</w:t>
      </w:r>
      <w:r w:rsidRPr="00F10B5E">
        <w:t xml:space="preserve">he acts referred to were not capable of amounting to </w:t>
      </w:r>
      <w:r>
        <w:t>“</w:t>
      </w:r>
      <w:r w:rsidRPr="00F10B5E">
        <w:t>acquisitions of property</w:t>
      </w:r>
      <w:r>
        <w:t>”</w:t>
      </w:r>
      <w:r w:rsidRPr="00F10B5E">
        <w:t xml:space="preserve"> within the meaning of those words</w:t>
      </w:r>
      <w:r w:rsidRPr="00F10B5E">
        <w:rPr>
          <w:rFonts w:ascii="Times New Roman" w:hAnsi="Times New Roman" w:cs="Times New Roman"/>
        </w:rPr>
        <w:t xml:space="preserve"> </w:t>
      </w:r>
      <w:r w:rsidRPr="00F10B5E">
        <w:t xml:space="preserve">in s 51(xxxi) </w:t>
      </w:r>
      <w:r>
        <w:t xml:space="preserve">of the </w:t>
      </w:r>
      <w:r>
        <w:rPr>
          <w:i/>
          <w:iCs/>
        </w:rPr>
        <w:t xml:space="preserve">Constitution </w:t>
      </w:r>
      <w:r w:rsidRPr="00F10B5E">
        <w:t xml:space="preserve">because native title was inherently susceptible to a valid exercise of the Crown’s sovereign power – derived from its radical title – to grant interests in land and to appropriate to itself unalienated land. </w:t>
      </w:r>
      <w:r>
        <w:t xml:space="preserve"> </w:t>
      </w:r>
      <w:r w:rsidRPr="00F10B5E">
        <w:t>The Full Court rejected these contentions.</w:t>
      </w:r>
    </w:p>
    <w:p w14:paraId="16A7087B" w14:textId="77777777" w:rsidR="00405ADF" w:rsidRPr="00A1563B" w:rsidRDefault="00405ADF" w:rsidP="00405ADF">
      <w:pPr>
        <w:pStyle w:val="Default"/>
        <w:jc w:val="both"/>
      </w:pPr>
    </w:p>
    <w:p w14:paraId="20FD195F" w14:textId="77777777" w:rsidR="00405ADF" w:rsidRDefault="00405ADF" w:rsidP="00405ADF">
      <w:pPr>
        <w:pStyle w:val="Default"/>
        <w:jc w:val="both"/>
      </w:pPr>
      <w:r>
        <w:t>In addition to the submissions filed by the appellant and the Gumatj respondent, submissions have been filed by:</w:t>
      </w:r>
    </w:p>
    <w:p w14:paraId="28C31E51" w14:textId="77777777" w:rsidR="00405ADF" w:rsidRDefault="00405ADF" w:rsidP="00405ADF">
      <w:pPr>
        <w:pStyle w:val="Default"/>
        <w:jc w:val="both"/>
      </w:pPr>
    </w:p>
    <w:p w14:paraId="606EC3DE" w14:textId="77777777" w:rsidR="00405ADF" w:rsidRDefault="00405ADF" w:rsidP="00405ADF">
      <w:pPr>
        <w:pStyle w:val="Default"/>
        <w:numPr>
          <w:ilvl w:val="0"/>
          <w:numId w:val="13"/>
        </w:numPr>
        <w:jc w:val="both"/>
      </w:pPr>
      <w:r>
        <w:t>The 2</w:t>
      </w:r>
      <w:r w:rsidRPr="00A1563B">
        <w:rPr>
          <w:vertAlign w:val="superscript"/>
        </w:rPr>
        <w:t>nd</w:t>
      </w:r>
      <w:r>
        <w:t xml:space="preserve"> respondent (“Northern Territory”), which makes submissions in relation only to the first and third grounds of appeal set out below.</w:t>
      </w:r>
    </w:p>
    <w:p w14:paraId="145D0F91" w14:textId="77777777" w:rsidR="00405ADF" w:rsidRDefault="00405ADF" w:rsidP="00405ADF">
      <w:pPr>
        <w:pStyle w:val="Default"/>
        <w:ind w:left="360"/>
        <w:jc w:val="both"/>
      </w:pPr>
    </w:p>
    <w:p w14:paraId="512AE113" w14:textId="77777777" w:rsidR="00405ADF" w:rsidRDefault="00405ADF" w:rsidP="00405ADF">
      <w:pPr>
        <w:pStyle w:val="Default"/>
        <w:numPr>
          <w:ilvl w:val="0"/>
          <w:numId w:val="13"/>
        </w:numPr>
        <w:jc w:val="both"/>
      </w:pPr>
      <w:r>
        <w:t>T</w:t>
      </w:r>
      <w:r w:rsidRPr="00A1563B">
        <w:t>he 25</w:t>
      </w:r>
      <w:r w:rsidRPr="00A1563B">
        <w:rPr>
          <w:vertAlign w:val="superscript"/>
        </w:rPr>
        <w:t>th</w:t>
      </w:r>
      <w:r w:rsidRPr="00A1563B">
        <w:t xml:space="preserve"> to 28</w:t>
      </w:r>
      <w:r w:rsidRPr="00A1563B">
        <w:rPr>
          <w:vertAlign w:val="superscript"/>
        </w:rPr>
        <w:t>th</w:t>
      </w:r>
      <w:r w:rsidRPr="00A1563B">
        <w:t xml:space="preserve"> </w:t>
      </w:r>
      <w:r>
        <w:t>r</w:t>
      </w:r>
      <w:r w:rsidRPr="00A1563B">
        <w:t>espondents (</w:t>
      </w:r>
      <w:r>
        <w:t>“</w:t>
      </w:r>
      <w:r w:rsidRPr="00A1563B">
        <w:t xml:space="preserve">the </w:t>
      </w:r>
      <w:proofErr w:type="spellStart"/>
      <w:r w:rsidRPr="00A1563B">
        <w:t>Rirratjingu</w:t>
      </w:r>
      <w:proofErr w:type="spellEnd"/>
      <w:r>
        <w:t xml:space="preserve"> respondents”</w:t>
      </w:r>
      <w:r w:rsidRPr="00A1563B">
        <w:t>)</w:t>
      </w:r>
      <w:r>
        <w:t xml:space="preserve">.  They </w:t>
      </w:r>
      <w:r w:rsidRPr="00A1563B">
        <w:t>make their own claims to native title over parts of the area, but on the separate questions they support the position of</w:t>
      </w:r>
      <w:r w:rsidRPr="00A30C2D">
        <w:t xml:space="preserve"> </w:t>
      </w:r>
      <w:r>
        <w:t>the Gumatj respondent.</w:t>
      </w:r>
    </w:p>
    <w:p w14:paraId="750986F7" w14:textId="77777777" w:rsidR="00405ADF" w:rsidRDefault="00405ADF" w:rsidP="00405ADF">
      <w:pPr>
        <w:pStyle w:val="Default"/>
        <w:jc w:val="both"/>
      </w:pPr>
    </w:p>
    <w:p w14:paraId="098BB59C" w14:textId="77777777" w:rsidR="00405ADF" w:rsidRPr="00A1563B" w:rsidRDefault="00405ADF" w:rsidP="00405ADF">
      <w:pPr>
        <w:pStyle w:val="Default"/>
        <w:numPr>
          <w:ilvl w:val="0"/>
          <w:numId w:val="13"/>
        </w:numPr>
        <w:jc w:val="both"/>
      </w:pPr>
      <w:r>
        <w:t xml:space="preserve">The </w:t>
      </w:r>
      <w:r w:rsidRPr="00A1563B">
        <w:t>29</w:t>
      </w:r>
      <w:r w:rsidRPr="00A1563B">
        <w:rPr>
          <w:vertAlign w:val="superscript"/>
        </w:rPr>
        <w:t>th</w:t>
      </w:r>
      <w:r w:rsidRPr="00A1563B">
        <w:t xml:space="preserve"> and 32</w:t>
      </w:r>
      <w:r w:rsidRPr="00A1563B">
        <w:rPr>
          <w:vertAlign w:val="superscript"/>
        </w:rPr>
        <w:t>nd</w:t>
      </w:r>
      <w:r w:rsidRPr="00A1563B">
        <w:t xml:space="preserve"> </w:t>
      </w:r>
      <w:r>
        <w:t>r</w:t>
      </w:r>
      <w:r w:rsidRPr="00A1563B">
        <w:t>espondents (together</w:t>
      </w:r>
      <w:r>
        <w:t>,</w:t>
      </w:r>
      <w:r w:rsidRPr="00A1563B">
        <w:t xml:space="preserve"> </w:t>
      </w:r>
      <w:r>
        <w:t>“</w:t>
      </w:r>
      <w:r w:rsidRPr="00A1563B">
        <w:t xml:space="preserve">the NLC </w:t>
      </w:r>
      <w:r>
        <w:t>respondents”</w:t>
      </w:r>
      <w:r w:rsidRPr="00A1563B">
        <w:t>)</w:t>
      </w:r>
      <w:r>
        <w:t>,</w:t>
      </w:r>
      <w:r w:rsidRPr="00A1563B">
        <w:t xml:space="preserve"> </w:t>
      </w:r>
      <w:r>
        <w:t>who are also seeking leave to file a notice of contention out of time.</w:t>
      </w:r>
    </w:p>
    <w:p w14:paraId="4FC2C929" w14:textId="77777777" w:rsidR="00405ADF" w:rsidRDefault="00405ADF" w:rsidP="00405ADF">
      <w:pPr>
        <w:pStyle w:val="Default"/>
        <w:jc w:val="both"/>
      </w:pPr>
    </w:p>
    <w:p w14:paraId="7EABF92A" w14:textId="14546DCD" w:rsidR="00405ADF" w:rsidRPr="00A1563B" w:rsidRDefault="00405ADF" w:rsidP="00405ADF">
      <w:pPr>
        <w:pStyle w:val="Default"/>
        <w:jc w:val="both"/>
      </w:pPr>
      <w:proofErr w:type="gramStart"/>
      <w:r w:rsidRPr="00A1563B">
        <w:t>A number of</w:t>
      </w:r>
      <w:proofErr w:type="gramEnd"/>
      <w:r w:rsidRPr="00A1563B">
        <w:t xml:space="preserve"> </w:t>
      </w:r>
      <w:r>
        <w:t>n</w:t>
      </w:r>
      <w:r w:rsidRPr="00A1563B">
        <w:t xml:space="preserve">otices of </w:t>
      </w:r>
      <w:r>
        <w:t>a c</w:t>
      </w:r>
      <w:r w:rsidRPr="000B223A">
        <w:t xml:space="preserve">onstitutional </w:t>
      </w:r>
      <w:r>
        <w:t>m</w:t>
      </w:r>
      <w:r w:rsidRPr="00A1563B">
        <w:t xml:space="preserve">atter have been filed. </w:t>
      </w:r>
      <w:r>
        <w:t xml:space="preserve"> </w:t>
      </w:r>
      <w:r w:rsidR="00B62EA5">
        <w:br/>
      </w:r>
      <w:r w:rsidRPr="00A1563B">
        <w:t>The Attorney</w:t>
      </w:r>
      <w:r>
        <w:noBreakHyphen/>
      </w:r>
      <w:r w:rsidRPr="00A1563B">
        <w:t xml:space="preserve">General </w:t>
      </w:r>
      <w:r>
        <w:t>of</w:t>
      </w:r>
      <w:r w:rsidRPr="00A1563B">
        <w:t xml:space="preserve"> </w:t>
      </w:r>
      <w:r>
        <w:t xml:space="preserve">the State of </w:t>
      </w:r>
      <w:r w:rsidRPr="00A1563B">
        <w:t xml:space="preserve">Queensland had intervened in the </w:t>
      </w:r>
      <w:r>
        <w:t xml:space="preserve">proceedings in the </w:t>
      </w:r>
      <w:r w:rsidRPr="00A1563B">
        <w:t xml:space="preserve">Federal Court and is </w:t>
      </w:r>
      <w:r>
        <w:t xml:space="preserve">a party to the appeal </w:t>
      </w:r>
      <w:r w:rsidRPr="00A1563B">
        <w:t>in this Court</w:t>
      </w:r>
      <w:r>
        <w:t xml:space="preserve"> as the 34</w:t>
      </w:r>
      <w:r w:rsidRPr="00A1563B">
        <w:rPr>
          <w:vertAlign w:val="superscript"/>
        </w:rPr>
        <w:t>th</w:t>
      </w:r>
      <w:r>
        <w:t xml:space="preserve"> respondent.  </w:t>
      </w:r>
      <w:r w:rsidRPr="00A1563B">
        <w:t xml:space="preserve">The Attorneys-General for </w:t>
      </w:r>
      <w:r>
        <w:t xml:space="preserve">the State of </w:t>
      </w:r>
      <w:r w:rsidRPr="00A1563B">
        <w:t>Western Australia</w:t>
      </w:r>
      <w:r>
        <w:t xml:space="preserve"> and</w:t>
      </w:r>
      <w:r w:rsidRPr="00A1563B">
        <w:t xml:space="preserve"> the Australian Capital Territory</w:t>
      </w:r>
      <w:r>
        <w:t xml:space="preserve"> have also intervened in the appeal</w:t>
      </w:r>
      <w:r w:rsidRPr="00A1563B">
        <w:t xml:space="preserve">.  </w:t>
      </w:r>
    </w:p>
    <w:p w14:paraId="2682C735" w14:textId="77777777" w:rsidR="00405ADF" w:rsidRPr="00A1563B" w:rsidRDefault="00405ADF" w:rsidP="00405ADF">
      <w:pPr>
        <w:pStyle w:val="Default"/>
        <w:jc w:val="both"/>
      </w:pPr>
    </w:p>
    <w:p w14:paraId="0220F4FB" w14:textId="77777777" w:rsidR="00405ADF" w:rsidRDefault="00405ADF" w:rsidP="00405ADF">
      <w:pPr>
        <w:tabs>
          <w:tab w:val="left" w:pos="0"/>
        </w:tabs>
        <w:jc w:val="both"/>
        <w:rPr>
          <w:rFonts w:cs="Arial"/>
          <w:szCs w:val="24"/>
        </w:rPr>
      </w:pPr>
      <w:r w:rsidRPr="00872ECB">
        <w:rPr>
          <w:rFonts w:cs="Arial"/>
          <w:szCs w:val="24"/>
        </w:rPr>
        <w:t xml:space="preserve">The </w:t>
      </w:r>
      <w:r>
        <w:rPr>
          <w:rFonts w:cs="Arial"/>
          <w:szCs w:val="24"/>
        </w:rPr>
        <w:t>grounds of appeal are</w:t>
      </w:r>
      <w:r w:rsidRPr="00872ECB">
        <w:rPr>
          <w:rFonts w:cs="Arial"/>
          <w:szCs w:val="24"/>
        </w:rPr>
        <w:t>:</w:t>
      </w:r>
    </w:p>
    <w:p w14:paraId="4562E18D" w14:textId="77777777" w:rsidR="00405ADF" w:rsidRPr="00872ECB" w:rsidRDefault="00405ADF" w:rsidP="00405ADF">
      <w:pPr>
        <w:tabs>
          <w:tab w:val="left" w:pos="0"/>
        </w:tabs>
        <w:jc w:val="both"/>
        <w:rPr>
          <w:rFonts w:cs="Arial"/>
          <w:szCs w:val="24"/>
        </w:rPr>
      </w:pPr>
    </w:p>
    <w:p w14:paraId="7D73CA0B" w14:textId="397EB311" w:rsidR="00405ADF" w:rsidRDefault="00405ADF" w:rsidP="00405ADF">
      <w:pPr>
        <w:pStyle w:val="ListParagraph"/>
        <w:numPr>
          <w:ilvl w:val="0"/>
          <w:numId w:val="12"/>
        </w:numPr>
        <w:autoSpaceDE w:val="0"/>
        <w:autoSpaceDN w:val="0"/>
        <w:adjustRightInd w:val="0"/>
        <w:ind w:left="426" w:hanging="426"/>
        <w:rPr>
          <w:rFonts w:cs="Arial"/>
          <w:szCs w:val="24"/>
          <w:lang w:val="en-AU"/>
        </w:rPr>
      </w:pPr>
      <w:r w:rsidRPr="003F37D9">
        <w:rPr>
          <w:rFonts w:cs="Arial"/>
          <w:szCs w:val="24"/>
          <w:lang w:val="en-AU"/>
        </w:rPr>
        <w:t>The Full Court erred by failing to find that the just terms requirement contained in s</w:t>
      </w:r>
      <w:r>
        <w:rPr>
          <w:rFonts w:cs="Arial"/>
          <w:szCs w:val="24"/>
          <w:lang w:val="en-AU"/>
        </w:rPr>
        <w:t xml:space="preserve"> </w:t>
      </w:r>
      <w:r w:rsidRPr="003F37D9">
        <w:rPr>
          <w:rFonts w:cs="Arial"/>
          <w:szCs w:val="24"/>
          <w:lang w:val="en-AU"/>
        </w:rPr>
        <w:t xml:space="preserve">51(xxxi) of the </w:t>
      </w:r>
      <w:r w:rsidRPr="000B223A">
        <w:rPr>
          <w:rFonts w:cs="Arial"/>
          <w:i/>
          <w:iCs/>
          <w:szCs w:val="24"/>
          <w:lang w:val="en-AU"/>
        </w:rPr>
        <w:t>Constitution</w:t>
      </w:r>
      <w:r w:rsidRPr="003F37D9">
        <w:rPr>
          <w:rFonts w:cs="Arial"/>
          <w:szCs w:val="24"/>
          <w:lang w:val="en-AU"/>
        </w:rPr>
        <w:t xml:space="preserve"> does not apply to laws enacted pursuant to </w:t>
      </w:r>
      <w:r>
        <w:rPr>
          <w:rFonts w:cs="Arial"/>
          <w:szCs w:val="24"/>
          <w:lang w:val="en-AU"/>
        </w:rPr>
        <w:br/>
      </w:r>
      <w:r w:rsidRPr="003F37D9">
        <w:rPr>
          <w:rFonts w:cs="Arial"/>
          <w:szCs w:val="24"/>
          <w:lang w:val="en-AU"/>
        </w:rPr>
        <w:t xml:space="preserve">s 122 of the </w:t>
      </w:r>
      <w:r w:rsidRPr="000B223A">
        <w:rPr>
          <w:rFonts w:cs="Arial"/>
          <w:i/>
          <w:iCs/>
          <w:szCs w:val="24"/>
          <w:lang w:val="en-AU"/>
        </w:rPr>
        <w:t>Constitution</w:t>
      </w:r>
      <w:r w:rsidRPr="003F37D9">
        <w:rPr>
          <w:rFonts w:cs="Arial"/>
          <w:szCs w:val="24"/>
          <w:lang w:val="en-AU"/>
        </w:rPr>
        <w:t xml:space="preserve">, including the </w:t>
      </w:r>
      <w:r w:rsidRPr="00F10B5E">
        <w:rPr>
          <w:rFonts w:cs="Arial"/>
          <w:i/>
          <w:iCs/>
          <w:szCs w:val="24"/>
          <w:lang w:val="en-AU"/>
        </w:rPr>
        <w:t>Northern Territory (Administration) Act 1910</w:t>
      </w:r>
      <w:r w:rsidRPr="003F37D9">
        <w:rPr>
          <w:rFonts w:cs="Arial"/>
          <w:szCs w:val="24"/>
          <w:lang w:val="en-AU"/>
        </w:rPr>
        <w:t xml:space="preserve"> (Cth) and </w:t>
      </w:r>
      <w:r>
        <w:rPr>
          <w:rFonts w:cs="Arial"/>
          <w:szCs w:val="24"/>
          <w:lang w:val="en-AU"/>
        </w:rPr>
        <w:t>O</w:t>
      </w:r>
      <w:r w:rsidRPr="003F37D9">
        <w:rPr>
          <w:rFonts w:cs="Arial"/>
          <w:szCs w:val="24"/>
          <w:lang w:val="en-AU"/>
        </w:rPr>
        <w:t>rdinances made thereunder.</w:t>
      </w:r>
    </w:p>
    <w:p w14:paraId="5E1B0773" w14:textId="77777777" w:rsidR="00405ADF" w:rsidRPr="000B223A" w:rsidRDefault="00405ADF" w:rsidP="00405ADF">
      <w:pPr>
        <w:pStyle w:val="ListParagraph"/>
        <w:autoSpaceDE w:val="0"/>
        <w:autoSpaceDN w:val="0"/>
        <w:adjustRightInd w:val="0"/>
        <w:ind w:left="426"/>
        <w:rPr>
          <w:rFonts w:cs="Arial"/>
          <w:szCs w:val="24"/>
          <w:lang w:val="en-AU"/>
        </w:rPr>
      </w:pPr>
    </w:p>
    <w:p w14:paraId="4DF99F91" w14:textId="5635334E" w:rsidR="00405ADF" w:rsidRDefault="00405ADF" w:rsidP="00405ADF">
      <w:pPr>
        <w:pStyle w:val="ListParagraph"/>
        <w:numPr>
          <w:ilvl w:val="0"/>
          <w:numId w:val="12"/>
        </w:numPr>
        <w:autoSpaceDE w:val="0"/>
        <w:autoSpaceDN w:val="0"/>
        <w:adjustRightInd w:val="0"/>
        <w:ind w:left="426" w:hanging="426"/>
        <w:rPr>
          <w:rFonts w:cs="Arial"/>
          <w:szCs w:val="24"/>
          <w:lang w:val="en-AU"/>
        </w:rPr>
      </w:pPr>
      <w:r w:rsidRPr="003F37D9">
        <w:rPr>
          <w:rFonts w:cs="Arial"/>
          <w:szCs w:val="24"/>
          <w:lang w:val="en-AU"/>
        </w:rPr>
        <w:t>The Full Court erred in failing to find that, on the facts set out in the applicant’s</w:t>
      </w:r>
      <w:r>
        <w:rPr>
          <w:rFonts w:cs="Arial"/>
          <w:szCs w:val="24"/>
          <w:lang w:val="en-AU"/>
        </w:rPr>
        <w:t xml:space="preserve"> </w:t>
      </w:r>
      <w:r w:rsidRPr="003F37D9">
        <w:rPr>
          <w:rFonts w:cs="Arial"/>
          <w:szCs w:val="24"/>
          <w:lang w:val="en-AU"/>
        </w:rPr>
        <w:t>statement claim, neither the vesting property in all minerals on or below the surface of</w:t>
      </w:r>
      <w:r>
        <w:rPr>
          <w:rFonts w:cs="Arial"/>
          <w:szCs w:val="24"/>
          <w:lang w:val="en-AU"/>
        </w:rPr>
        <w:t xml:space="preserve"> </w:t>
      </w:r>
      <w:r w:rsidRPr="003F37D9">
        <w:rPr>
          <w:rFonts w:cs="Arial"/>
          <w:szCs w:val="24"/>
          <w:lang w:val="en-AU"/>
        </w:rPr>
        <w:t xml:space="preserve">land in the claim area in the Crown by the enactment of s 107 of the </w:t>
      </w:r>
      <w:r w:rsidRPr="00F10B5E">
        <w:rPr>
          <w:rFonts w:cs="Arial"/>
          <w:i/>
          <w:iCs/>
          <w:szCs w:val="24"/>
          <w:lang w:val="en-AU"/>
        </w:rPr>
        <w:t>Mining Ordinance</w:t>
      </w:r>
      <w:r>
        <w:rPr>
          <w:rFonts w:cs="Arial"/>
          <w:i/>
          <w:iCs/>
          <w:szCs w:val="24"/>
          <w:lang w:val="en-AU"/>
        </w:rPr>
        <w:t xml:space="preserve"> </w:t>
      </w:r>
      <w:r w:rsidRPr="00F10B5E">
        <w:rPr>
          <w:rFonts w:cs="Arial"/>
          <w:i/>
          <w:iCs/>
          <w:szCs w:val="24"/>
          <w:lang w:val="en-AU"/>
        </w:rPr>
        <w:t>1939</w:t>
      </w:r>
      <w:r w:rsidRPr="003F37D9">
        <w:rPr>
          <w:rFonts w:cs="Arial"/>
          <w:szCs w:val="24"/>
          <w:lang w:val="en-AU"/>
        </w:rPr>
        <w:t xml:space="preserve"> (NT), nor the grants of special mineral leases identified in paragraphs [232], [255]</w:t>
      </w:r>
      <w:r>
        <w:rPr>
          <w:rFonts w:cs="Arial"/>
          <w:szCs w:val="24"/>
          <w:lang w:val="en-AU"/>
        </w:rPr>
        <w:t xml:space="preserve"> </w:t>
      </w:r>
      <w:r w:rsidRPr="003F37D9">
        <w:rPr>
          <w:rFonts w:cs="Arial"/>
          <w:szCs w:val="24"/>
          <w:lang w:val="en-AU"/>
        </w:rPr>
        <w:t>and [293] the statement claim, were capable amounting to acquisitions of property</w:t>
      </w:r>
      <w:r>
        <w:rPr>
          <w:rFonts w:cs="Arial"/>
          <w:szCs w:val="24"/>
          <w:lang w:val="en-AU"/>
        </w:rPr>
        <w:t xml:space="preserve"> </w:t>
      </w:r>
      <w:r w:rsidRPr="003F37D9">
        <w:rPr>
          <w:rFonts w:cs="Arial"/>
          <w:szCs w:val="24"/>
          <w:lang w:val="en-AU"/>
        </w:rPr>
        <w:t xml:space="preserve">within the meaning </w:t>
      </w:r>
      <w:r>
        <w:rPr>
          <w:rFonts w:cs="Arial"/>
          <w:szCs w:val="24"/>
          <w:lang w:val="en-AU"/>
        </w:rPr>
        <w:t xml:space="preserve">of </w:t>
      </w:r>
      <w:r w:rsidRPr="003F37D9">
        <w:rPr>
          <w:rFonts w:cs="Arial"/>
          <w:szCs w:val="24"/>
          <w:lang w:val="en-AU"/>
        </w:rPr>
        <w:t xml:space="preserve">s 51(xxxi) of the </w:t>
      </w:r>
      <w:r w:rsidRPr="000B223A">
        <w:rPr>
          <w:rFonts w:cs="Arial"/>
          <w:i/>
          <w:iCs/>
          <w:szCs w:val="24"/>
          <w:lang w:val="en-AU"/>
        </w:rPr>
        <w:t>Constitution</w:t>
      </w:r>
      <w:r w:rsidRPr="003F37D9">
        <w:rPr>
          <w:rFonts w:cs="Arial"/>
          <w:szCs w:val="24"/>
          <w:lang w:val="en-AU"/>
        </w:rPr>
        <w:t xml:space="preserve"> because native title was inherently</w:t>
      </w:r>
      <w:r>
        <w:rPr>
          <w:rFonts w:cs="Arial"/>
          <w:szCs w:val="24"/>
          <w:lang w:val="en-AU"/>
        </w:rPr>
        <w:t xml:space="preserve"> </w:t>
      </w:r>
      <w:r w:rsidRPr="003F37D9">
        <w:rPr>
          <w:rFonts w:cs="Arial"/>
          <w:szCs w:val="24"/>
          <w:lang w:val="en-AU"/>
        </w:rPr>
        <w:t>susceptible to a valid exercise of the Crown’s sovereign power, derived from its radical</w:t>
      </w:r>
      <w:r>
        <w:rPr>
          <w:rFonts w:cs="Arial"/>
          <w:szCs w:val="24"/>
          <w:lang w:val="en-AU"/>
        </w:rPr>
        <w:t xml:space="preserve"> </w:t>
      </w:r>
      <w:r w:rsidRPr="003F37D9">
        <w:rPr>
          <w:rFonts w:cs="Arial"/>
          <w:szCs w:val="24"/>
          <w:lang w:val="en-AU"/>
        </w:rPr>
        <w:t>title, to grant interests in land and to appropriate to itself unalienated land for Crown</w:t>
      </w:r>
      <w:r>
        <w:rPr>
          <w:rFonts w:cs="Arial"/>
          <w:szCs w:val="24"/>
          <w:lang w:val="en-AU"/>
        </w:rPr>
        <w:t xml:space="preserve"> </w:t>
      </w:r>
      <w:r w:rsidRPr="003F37D9">
        <w:rPr>
          <w:rFonts w:cs="Arial"/>
          <w:szCs w:val="24"/>
          <w:lang w:val="en-AU"/>
        </w:rPr>
        <w:t>purposes.</w:t>
      </w:r>
    </w:p>
    <w:p w14:paraId="7C6B60E1" w14:textId="77777777" w:rsidR="00405ADF" w:rsidRPr="000B223A" w:rsidRDefault="00405ADF" w:rsidP="00405ADF">
      <w:pPr>
        <w:pStyle w:val="ListParagraph"/>
        <w:rPr>
          <w:rFonts w:cs="Arial"/>
          <w:szCs w:val="24"/>
          <w:lang w:val="en-AU"/>
        </w:rPr>
      </w:pPr>
    </w:p>
    <w:p w14:paraId="3E708476" w14:textId="51FE14B2" w:rsidR="00405ADF" w:rsidRPr="003F37D9" w:rsidRDefault="00405ADF" w:rsidP="00405ADF">
      <w:pPr>
        <w:pStyle w:val="ListParagraph"/>
        <w:numPr>
          <w:ilvl w:val="0"/>
          <w:numId w:val="12"/>
        </w:numPr>
        <w:autoSpaceDE w:val="0"/>
        <w:autoSpaceDN w:val="0"/>
        <w:adjustRightInd w:val="0"/>
        <w:ind w:left="426" w:hanging="426"/>
        <w:rPr>
          <w:rFonts w:cs="Arial"/>
          <w:szCs w:val="24"/>
          <w:lang w:val="en-AU"/>
        </w:rPr>
      </w:pPr>
      <w:r w:rsidRPr="003F37D9">
        <w:rPr>
          <w:rFonts w:cs="Arial"/>
          <w:szCs w:val="24"/>
          <w:lang w:val="en-AU"/>
        </w:rPr>
        <w:t>The Full Court erred in failing to find that the reservation of “all minerals” from the grant</w:t>
      </w:r>
      <w:r>
        <w:rPr>
          <w:rFonts w:cs="Arial"/>
          <w:szCs w:val="24"/>
          <w:lang w:val="en-AU"/>
        </w:rPr>
        <w:t xml:space="preserve"> </w:t>
      </w:r>
      <w:r w:rsidRPr="003F37D9">
        <w:rPr>
          <w:rFonts w:cs="Arial"/>
          <w:szCs w:val="24"/>
          <w:lang w:val="en-AU"/>
        </w:rPr>
        <w:t>the pastoral lease “had the consequence creating rights ownership” in respect the</w:t>
      </w:r>
      <w:r>
        <w:rPr>
          <w:rFonts w:cs="Arial"/>
          <w:szCs w:val="24"/>
          <w:lang w:val="en-AU"/>
        </w:rPr>
        <w:t xml:space="preserve"> </w:t>
      </w:r>
      <w:r w:rsidRPr="003F37D9">
        <w:rPr>
          <w:rFonts w:cs="Arial"/>
          <w:szCs w:val="24"/>
          <w:lang w:val="en-AU"/>
        </w:rPr>
        <w:t xml:space="preserve">minerals in the Crown, such that the Crown henceforth had a right </w:t>
      </w:r>
      <w:r w:rsidRPr="003F37D9">
        <w:rPr>
          <w:rFonts w:cs="Arial"/>
          <w:szCs w:val="24"/>
          <w:lang w:val="en-AU"/>
        </w:rPr>
        <w:lastRenderedPageBreak/>
        <w:t>of exclusive</w:t>
      </w:r>
      <w:r>
        <w:rPr>
          <w:rFonts w:cs="Arial"/>
          <w:szCs w:val="24"/>
          <w:lang w:val="en-AU"/>
        </w:rPr>
        <w:t xml:space="preserve"> </w:t>
      </w:r>
      <w:r w:rsidRPr="003F37D9">
        <w:rPr>
          <w:rFonts w:cs="Arial"/>
          <w:szCs w:val="24"/>
          <w:lang w:val="en-AU"/>
        </w:rPr>
        <w:t xml:space="preserve">possession of the minerals and could bring an action for intrusion: contrary to </w:t>
      </w:r>
      <w:r w:rsidRPr="00F10B5E">
        <w:rPr>
          <w:rFonts w:cs="Arial"/>
          <w:i/>
          <w:iCs/>
          <w:szCs w:val="24"/>
          <w:lang w:val="en-AU"/>
        </w:rPr>
        <w:t>New South Wales Aboriginal Land Council v Minister Administering the Crown Lands Act</w:t>
      </w:r>
      <w:r>
        <w:rPr>
          <w:rFonts w:cs="Arial"/>
          <w:szCs w:val="24"/>
          <w:lang w:val="en-AU"/>
        </w:rPr>
        <w:t xml:space="preserve"> </w:t>
      </w:r>
      <w:r w:rsidRPr="003F37D9">
        <w:rPr>
          <w:rFonts w:cs="Arial"/>
          <w:szCs w:val="24"/>
          <w:lang w:val="en-AU"/>
        </w:rPr>
        <w:t>(2016) 260 CLR 232 at [112].</w:t>
      </w:r>
    </w:p>
    <w:p w14:paraId="7C399801" w14:textId="77777777" w:rsidR="0066696E" w:rsidRPr="0066696E" w:rsidRDefault="0066696E" w:rsidP="0066696E">
      <w:pPr>
        <w:tabs>
          <w:tab w:val="left" w:pos="0"/>
        </w:tabs>
        <w:rPr>
          <w:rFonts w:cs="Arial"/>
          <w:szCs w:val="24"/>
        </w:rPr>
      </w:pPr>
    </w:p>
    <w:p w14:paraId="0570CAED" w14:textId="77777777" w:rsidR="003C59A4" w:rsidRPr="00913869" w:rsidRDefault="003C59A4" w:rsidP="00913869"/>
    <w:sectPr w:rsidR="003C59A4" w:rsidRPr="00913869" w:rsidSect="00E442CA">
      <w:headerReference w:type="default" r:id="rId8"/>
      <w:headerReference w:type="first" r:id="rId9"/>
      <w:footerReference w:type="first" r:id="rId10"/>
      <w:pgSz w:w="11907" w:h="16840" w:code="9"/>
      <w:pgMar w:top="851" w:right="1467" w:bottom="851" w:left="1701" w:header="244" w:footer="833" w:gutter="0"/>
      <w:paperSrc w:first="15" w:other="15"/>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17645" w14:textId="77777777" w:rsidR="006235D8" w:rsidRDefault="006235D8">
      <w:r>
        <w:separator/>
      </w:r>
    </w:p>
  </w:endnote>
  <w:endnote w:type="continuationSeparator" w:id="0">
    <w:p w14:paraId="4E1855F8" w14:textId="77777777" w:rsidR="006235D8" w:rsidRDefault="0062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601A" w14:textId="77777777" w:rsidR="004B7828" w:rsidRDefault="004B7828">
    <w:pPr>
      <w:tabs>
        <w:tab w:val="left" w:pos="851"/>
        <w:tab w:val="right" w:pos="8505"/>
      </w:tabs>
      <w:jc w:val="cen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1015" w14:textId="77777777" w:rsidR="006235D8" w:rsidRDefault="006235D8">
      <w:r>
        <w:separator/>
      </w:r>
    </w:p>
  </w:footnote>
  <w:footnote w:type="continuationSeparator" w:id="0">
    <w:p w14:paraId="1DD47662" w14:textId="77777777" w:rsidR="006235D8" w:rsidRDefault="00623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089B" w14:textId="77777777" w:rsidR="004B7828" w:rsidRDefault="004B7828">
    <w:pPr>
      <w:pStyle w:val="Header"/>
      <w:pBdr>
        <w:bottom w:val="single" w:sz="4" w:space="1" w:color="auto"/>
      </w:pBdr>
      <w:jc w:val="right"/>
    </w:pPr>
    <w:r>
      <w:rPr>
        <w:rStyle w:val="PageNumber"/>
      </w:rPr>
      <w:fldChar w:fldCharType="begin"/>
    </w:r>
    <w:r>
      <w:rPr>
        <w:rStyle w:val="PageNumber"/>
      </w:rPr>
      <w:instrText xml:space="preserve"> PAGE </w:instrText>
    </w:r>
    <w:r>
      <w:rPr>
        <w:rStyle w:val="PageNumber"/>
      </w:rPr>
      <w:fldChar w:fldCharType="separate"/>
    </w:r>
    <w:r w:rsidR="003C2828">
      <w:rPr>
        <w:rStyle w:val="PageNumber"/>
        <w:noProof/>
      </w:rPr>
      <w:t>0</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8FE2" w14:textId="77777777" w:rsidR="004B7828" w:rsidRDefault="004B7828">
    <w:pPr>
      <w:pStyle w:val="Title"/>
    </w:pPr>
  </w:p>
  <w:p w14:paraId="221B972A" w14:textId="77777777" w:rsidR="004B7828" w:rsidRDefault="004B7828">
    <w:pPr>
      <w:pStyle w:val="Title"/>
    </w:pPr>
    <w:r>
      <w:t>SHORT PARTICULARS OF CASES</w:t>
    </w:r>
  </w:p>
  <w:p w14:paraId="1782DED5" w14:textId="77777777" w:rsidR="004B7828" w:rsidRDefault="004B7828">
    <w:pPr>
      <w:pStyle w:val="Title"/>
    </w:pPr>
    <w:r>
      <w:t>APPEALS</w:t>
    </w:r>
  </w:p>
  <w:p w14:paraId="12AB4A2D" w14:textId="77777777" w:rsidR="004B7828" w:rsidRDefault="004B7828">
    <w:pPr>
      <w:tabs>
        <w:tab w:val="left" w:pos="851"/>
        <w:tab w:val="right" w:pos="8505"/>
      </w:tabs>
      <w:jc w:val="center"/>
      <w:rPr>
        <w:b/>
        <w:u w:val="single"/>
      </w:rPr>
    </w:pPr>
  </w:p>
  <w:p w14:paraId="3740D324" w14:textId="7B5AF5E8" w:rsidR="009C44F6" w:rsidRDefault="009C44F6">
    <w:pPr>
      <w:tabs>
        <w:tab w:val="left" w:pos="851"/>
        <w:tab w:val="right" w:pos="8505"/>
      </w:tabs>
      <w:jc w:val="center"/>
      <w:rPr>
        <w:b/>
        <w:u w:val="single"/>
      </w:rPr>
    </w:pPr>
    <w:r>
      <w:rPr>
        <w:b/>
        <w:u w:val="single"/>
      </w:rPr>
      <w:t>DARWIN</w:t>
    </w:r>
  </w:p>
  <w:p w14:paraId="50496E0C" w14:textId="5F00A82E" w:rsidR="004B7828" w:rsidRDefault="003C59A4">
    <w:pPr>
      <w:tabs>
        <w:tab w:val="left" w:pos="851"/>
        <w:tab w:val="right" w:pos="8505"/>
      </w:tabs>
      <w:jc w:val="center"/>
      <w:rPr>
        <w:b/>
        <w:u w:val="single"/>
      </w:rPr>
    </w:pPr>
    <w:r>
      <w:rPr>
        <w:b/>
        <w:u w:val="single"/>
      </w:rPr>
      <w:t>AUGUST 2024</w:t>
    </w:r>
  </w:p>
  <w:p w14:paraId="2C0FAA10" w14:textId="77777777" w:rsidR="004B7828" w:rsidRDefault="004B7828">
    <w:pPr>
      <w:tabs>
        <w:tab w:val="left" w:pos="851"/>
        <w:tab w:val="right" w:pos="8505"/>
      </w:tabs>
    </w:pPr>
  </w:p>
  <w:p w14:paraId="6FFBEA45" w14:textId="77777777" w:rsidR="004B7828" w:rsidRDefault="004B7828">
    <w:pPr>
      <w:tabs>
        <w:tab w:val="left" w:pos="851"/>
        <w:tab w:val="right" w:pos="8505"/>
      </w:tabs>
      <w:jc w:val="both"/>
    </w:pPr>
    <w:r>
      <w:t>_______________________________________________________________</w:t>
    </w:r>
    <w:r w:rsidR="00E442CA">
      <w:t>_</w:t>
    </w:r>
  </w:p>
  <w:p w14:paraId="2E575DB1" w14:textId="77777777" w:rsidR="004B7828" w:rsidRDefault="004B7828">
    <w:pPr>
      <w:tabs>
        <w:tab w:val="left" w:pos="851"/>
        <w:tab w:val="right" w:pos="8505"/>
      </w:tabs>
      <w:jc w:val="both"/>
    </w:pPr>
  </w:p>
  <w:p w14:paraId="68B21641" w14:textId="77777777" w:rsidR="004B7828" w:rsidRDefault="004B7828">
    <w:pPr>
      <w:tabs>
        <w:tab w:val="left" w:pos="851"/>
        <w:tab w:val="right" w:pos="8505"/>
      </w:tabs>
      <w:jc w:val="both"/>
    </w:pPr>
    <w:r>
      <w:t>No.</w:t>
    </w:r>
    <w:r>
      <w:tab/>
      <w:t>Name of Matter</w:t>
    </w:r>
    <w:r>
      <w:tab/>
      <w:t>Page No</w:t>
    </w:r>
  </w:p>
  <w:p w14:paraId="130CBC58" w14:textId="77777777" w:rsidR="004B7828" w:rsidRDefault="004B7828" w:rsidP="00E442CA">
    <w:pPr>
      <w:tabs>
        <w:tab w:val="left" w:pos="851"/>
        <w:tab w:val="right" w:pos="8505"/>
      </w:tabs>
      <w:jc w:val="both"/>
    </w:pPr>
    <w:r>
      <w:t>_______________________________________________________________</w:t>
    </w:r>
    <w:r w:rsidR="00E442CA">
      <w:t>_</w:t>
    </w:r>
  </w:p>
  <w:p w14:paraId="6AA231B1" w14:textId="77777777" w:rsidR="004B7828" w:rsidRDefault="004B7828">
    <w:pPr>
      <w:tabs>
        <w:tab w:val="left" w:pos="851"/>
        <w:tab w:val="right" w:pos="8505"/>
      </w:tabs>
      <w:jc w:val="both"/>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6C5D"/>
    <w:multiLevelType w:val="hybridMultilevel"/>
    <w:tmpl w:val="F7AE74E0"/>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62C633D"/>
    <w:multiLevelType w:val="hybridMultilevel"/>
    <w:tmpl w:val="79784E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255C35"/>
    <w:multiLevelType w:val="hybridMultilevel"/>
    <w:tmpl w:val="36E2DC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965103"/>
    <w:multiLevelType w:val="hybridMultilevel"/>
    <w:tmpl w:val="420408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E4A40B1"/>
    <w:multiLevelType w:val="hybridMultilevel"/>
    <w:tmpl w:val="F8F0D9B0"/>
    <w:lvl w:ilvl="0" w:tplc="1298B1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E15D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43301A"/>
    <w:multiLevelType w:val="hybridMultilevel"/>
    <w:tmpl w:val="2984F73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8384E9D"/>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521F2EAF"/>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5D3864D5"/>
    <w:multiLevelType w:val="hybridMultilevel"/>
    <w:tmpl w:val="EFCE3B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6FD3E57"/>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6F6E23DC"/>
    <w:multiLevelType w:val="hybridMultilevel"/>
    <w:tmpl w:val="82EAB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9806D6"/>
    <w:multiLevelType w:val="singleLevel"/>
    <w:tmpl w:val="E58EFF88"/>
    <w:lvl w:ilvl="0">
      <w:start w:val="6"/>
      <w:numFmt w:val="decimal"/>
      <w:lvlText w:val="%1."/>
      <w:lvlJc w:val="left"/>
      <w:pPr>
        <w:tabs>
          <w:tab w:val="num" w:pos="852"/>
        </w:tabs>
        <w:ind w:left="852" w:hanging="852"/>
      </w:pPr>
      <w:rPr>
        <w:rFonts w:hint="default"/>
      </w:rPr>
    </w:lvl>
  </w:abstractNum>
  <w:abstractNum w:abstractNumId="13" w15:restartNumberingAfterBreak="0">
    <w:nsid w:val="77721F51"/>
    <w:multiLevelType w:val="singleLevel"/>
    <w:tmpl w:val="1A407722"/>
    <w:lvl w:ilvl="0">
      <w:start w:val="4"/>
      <w:numFmt w:val="decimal"/>
      <w:lvlText w:val="%1."/>
      <w:lvlJc w:val="left"/>
      <w:pPr>
        <w:tabs>
          <w:tab w:val="num" w:pos="852"/>
        </w:tabs>
        <w:ind w:left="852" w:hanging="852"/>
      </w:pPr>
      <w:rPr>
        <w:rFonts w:hint="default"/>
      </w:rPr>
    </w:lvl>
  </w:abstractNum>
  <w:num w:numId="1" w16cid:durableId="1223448536">
    <w:abstractNumId w:val="13"/>
  </w:num>
  <w:num w:numId="2" w16cid:durableId="1864131533">
    <w:abstractNumId w:val="7"/>
  </w:num>
  <w:num w:numId="3" w16cid:durableId="2140566895">
    <w:abstractNumId w:val="5"/>
  </w:num>
  <w:num w:numId="4" w16cid:durableId="945429455">
    <w:abstractNumId w:val="8"/>
  </w:num>
  <w:num w:numId="5" w16cid:durableId="1537503138">
    <w:abstractNumId w:val="12"/>
  </w:num>
  <w:num w:numId="6" w16cid:durableId="1067920724">
    <w:abstractNumId w:val="10"/>
  </w:num>
  <w:num w:numId="7" w16cid:durableId="1613588479">
    <w:abstractNumId w:val="1"/>
  </w:num>
  <w:num w:numId="8" w16cid:durableId="673264733">
    <w:abstractNumId w:val="0"/>
  </w:num>
  <w:num w:numId="9" w16cid:durableId="1925802925">
    <w:abstractNumId w:val="2"/>
  </w:num>
  <w:num w:numId="10" w16cid:durableId="991720430">
    <w:abstractNumId w:val="6"/>
  </w:num>
  <w:num w:numId="11" w16cid:durableId="525405384">
    <w:abstractNumId w:val="9"/>
  </w:num>
  <w:num w:numId="12" w16cid:durableId="1179855887">
    <w:abstractNumId w:val="11"/>
  </w:num>
  <w:num w:numId="13" w16cid:durableId="1755972784">
    <w:abstractNumId w:val="3"/>
  </w:num>
  <w:num w:numId="14" w16cid:durableId="12281083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CA"/>
    <w:rsid w:val="00007C4E"/>
    <w:rsid w:val="000145E7"/>
    <w:rsid w:val="000B7BD8"/>
    <w:rsid w:val="0017627F"/>
    <w:rsid w:val="001A29AE"/>
    <w:rsid w:val="002E45D0"/>
    <w:rsid w:val="003C2828"/>
    <w:rsid w:val="003C59A4"/>
    <w:rsid w:val="003D1679"/>
    <w:rsid w:val="00405ADF"/>
    <w:rsid w:val="004B7828"/>
    <w:rsid w:val="00570096"/>
    <w:rsid w:val="006025D8"/>
    <w:rsid w:val="006235D8"/>
    <w:rsid w:val="00652D06"/>
    <w:rsid w:val="00657BA4"/>
    <w:rsid w:val="0066696E"/>
    <w:rsid w:val="00737693"/>
    <w:rsid w:val="007F19C3"/>
    <w:rsid w:val="00811E2E"/>
    <w:rsid w:val="00876107"/>
    <w:rsid w:val="008A7CC6"/>
    <w:rsid w:val="00913869"/>
    <w:rsid w:val="009C44F6"/>
    <w:rsid w:val="00A316AD"/>
    <w:rsid w:val="00A414D3"/>
    <w:rsid w:val="00AF68B2"/>
    <w:rsid w:val="00B522EE"/>
    <w:rsid w:val="00B62EA5"/>
    <w:rsid w:val="00BA02B7"/>
    <w:rsid w:val="00C65A07"/>
    <w:rsid w:val="00D7300E"/>
    <w:rsid w:val="00D8585E"/>
    <w:rsid w:val="00E20190"/>
    <w:rsid w:val="00E442CA"/>
    <w:rsid w:val="00F031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0DEF5"/>
  <w15:chartTrackingRefBased/>
  <w15:docId w15:val="{19AB1777-7B0E-4DA8-AF62-169DFECC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E2E"/>
    <w:rPr>
      <w:rFonts w:ascii="Arial" w:hAnsi="Arial"/>
      <w:sz w:val="24"/>
      <w:lang w:val="en-US"/>
    </w:rPr>
  </w:style>
  <w:style w:type="paragraph" w:styleId="Heading1">
    <w:name w:val="heading 1"/>
    <w:basedOn w:val="Normal"/>
    <w:next w:val="Normal"/>
    <w:qFormat/>
    <w:pPr>
      <w:keepNext/>
      <w:tabs>
        <w:tab w:val="left" w:pos="851"/>
        <w:tab w:val="right" w:pos="8505"/>
      </w:tabs>
      <w:outlineLvl w:val="0"/>
    </w:pPr>
    <w:rPr>
      <w:u w:val="single"/>
    </w:rPr>
  </w:style>
  <w:style w:type="paragraph" w:styleId="Heading2">
    <w:name w:val="heading 2"/>
    <w:basedOn w:val="Normal"/>
    <w:next w:val="Normal"/>
    <w:qFormat/>
    <w:pPr>
      <w:keepNext/>
      <w:tabs>
        <w:tab w:val="left" w:pos="851"/>
        <w:tab w:val="right" w:pos="8505"/>
      </w:tabs>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851"/>
        <w:tab w:val="right" w:pos="8505"/>
      </w:tabs>
      <w:jc w:val="center"/>
    </w:pPr>
    <w:rPr>
      <w:b/>
      <w:u w:val="single"/>
    </w:rPr>
  </w:style>
  <w:style w:type="paragraph" w:styleId="BodyText">
    <w:name w:val="Body Text"/>
    <w:basedOn w:val="Normal"/>
    <w:pPr>
      <w:tabs>
        <w:tab w:val="left" w:pos="851"/>
        <w:tab w:val="right" w:pos="8505"/>
      </w:tabs>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rsid w:val="00F03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696E"/>
    <w:pPr>
      <w:ind w:left="720"/>
      <w:jc w:val="both"/>
    </w:pPr>
  </w:style>
  <w:style w:type="paragraph" w:customStyle="1" w:styleId="Default">
    <w:name w:val="Default"/>
    <w:rsid w:val="00405AD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DF76E-953C-4FA3-9043-B5CBB0C20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1898</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SP Appeals</vt:lpstr>
    </vt:vector>
  </TitlesOfParts>
  <Company>High Court of Australia</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Appeals</dc:title>
  <dc:subject/>
  <dc:creator>Personal Assistant to Senior Registrar</dc:creator>
  <cp:keywords/>
  <cp:lastModifiedBy>Thomas Woodbridge</cp:lastModifiedBy>
  <cp:revision>18</cp:revision>
  <cp:lastPrinted>1999-08-03T02:31:00Z</cp:lastPrinted>
  <dcterms:created xsi:type="dcterms:W3CDTF">2022-03-29T00:10:00Z</dcterms:created>
  <dcterms:modified xsi:type="dcterms:W3CDTF">2024-08-02T03:26:00Z</dcterms:modified>
</cp:coreProperties>
</file>