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08A9" w14:textId="77777777" w:rsidR="004B7828" w:rsidRDefault="004B7828" w:rsidP="00913869"/>
    <w:tbl>
      <w:tblPr>
        <w:tblW w:w="0" w:type="auto"/>
        <w:tblLook w:val="04A0" w:firstRow="1" w:lastRow="0" w:firstColumn="1" w:lastColumn="0" w:noHBand="0" w:noVBand="1"/>
      </w:tblPr>
      <w:tblGrid>
        <w:gridCol w:w="7890"/>
        <w:gridCol w:w="849"/>
      </w:tblGrid>
      <w:tr w:rsidR="003C59A4" w:rsidRPr="00007C4E" w14:paraId="467D658C" w14:textId="77777777" w:rsidTr="00353FD1">
        <w:tc>
          <w:tcPr>
            <w:tcW w:w="8755" w:type="dxa"/>
            <w:gridSpan w:val="2"/>
            <w:shd w:val="clear" w:color="auto" w:fill="auto"/>
          </w:tcPr>
          <w:p w14:paraId="44D9161F" w14:textId="6DE00C06" w:rsidR="003C59A4" w:rsidRPr="00007C4E" w:rsidRDefault="00652D06" w:rsidP="00353FD1">
            <w:pPr>
              <w:tabs>
                <w:tab w:val="left" w:pos="851"/>
                <w:tab w:val="right" w:pos="8505"/>
              </w:tabs>
              <w:jc w:val="both"/>
              <w:rPr>
                <w:u w:val="single"/>
              </w:rPr>
            </w:pPr>
            <w:r>
              <w:rPr>
                <w:u w:val="single"/>
              </w:rPr>
              <w:t>Tuesday, 13 August 2024</w:t>
            </w:r>
            <w:r w:rsidR="003C59A4">
              <w:rPr>
                <w:u w:val="single"/>
              </w:rPr>
              <w:t xml:space="preserve"> </w:t>
            </w:r>
          </w:p>
          <w:p w14:paraId="573279F4" w14:textId="77777777" w:rsidR="003C59A4" w:rsidRDefault="003C59A4" w:rsidP="00353FD1">
            <w:pPr>
              <w:pStyle w:val="Title"/>
              <w:jc w:val="left"/>
            </w:pPr>
          </w:p>
        </w:tc>
      </w:tr>
      <w:tr w:rsidR="003C59A4" w14:paraId="2ABE916E" w14:textId="77777777" w:rsidTr="00353FD1">
        <w:tc>
          <w:tcPr>
            <w:tcW w:w="7905" w:type="dxa"/>
            <w:shd w:val="clear" w:color="auto" w:fill="auto"/>
          </w:tcPr>
          <w:p w14:paraId="53AD98E1" w14:textId="044DBFB8" w:rsidR="003C59A4" w:rsidRPr="00913869" w:rsidRDefault="00E20190" w:rsidP="00353FD1">
            <w:pPr>
              <w:numPr>
                <w:ilvl w:val="0"/>
                <w:numId w:val="9"/>
              </w:numPr>
              <w:ind w:hanging="720"/>
            </w:pPr>
            <w:r>
              <w:t xml:space="preserve">Minister for Immigration, Citizenship and Multicultural Affairs </w:t>
            </w:r>
            <w:r>
              <w:br/>
              <w:t xml:space="preserve">&amp; </w:t>
            </w:r>
            <w:proofErr w:type="spellStart"/>
            <w:proofErr w:type="gramStart"/>
            <w:r>
              <w:t>Ors</w:t>
            </w:r>
            <w:proofErr w:type="spellEnd"/>
            <w:r>
              <w:t xml:space="preserve"> </w:t>
            </w:r>
            <w:r w:rsidR="003C59A4" w:rsidRPr="00007C4E">
              <w:t xml:space="preserve"> v</w:t>
            </w:r>
            <w:proofErr w:type="gramEnd"/>
            <w:r w:rsidR="003C59A4" w:rsidRPr="00007C4E">
              <w:t xml:space="preserve">  </w:t>
            </w:r>
            <w:r>
              <w:t>MZAPC</w:t>
            </w:r>
          </w:p>
        </w:tc>
        <w:tc>
          <w:tcPr>
            <w:tcW w:w="850" w:type="dxa"/>
            <w:shd w:val="clear" w:color="auto" w:fill="auto"/>
          </w:tcPr>
          <w:p w14:paraId="45CED497" w14:textId="2FADA763" w:rsidR="003C59A4" w:rsidRPr="00C65A07" w:rsidRDefault="00F05128" w:rsidP="00353FD1">
            <w:pPr>
              <w:pStyle w:val="Title"/>
              <w:rPr>
                <w:u w:val="none"/>
              </w:rPr>
            </w:pPr>
            <w:r>
              <w:rPr>
                <w:u w:val="none"/>
              </w:rPr>
              <w:t>1</w:t>
            </w:r>
          </w:p>
        </w:tc>
      </w:tr>
    </w:tbl>
    <w:p w14:paraId="57C1E773" w14:textId="77777777" w:rsidR="003C59A4" w:rsidRDefault="003C59A4" w:rsidP="00913869"/>
    <w:tbl>
      <w:tblPr>
        <w:tblW w:w="0" w:type="auto"/>
        <w:tblLook w:val="04A0" w:firstRow="1" w:lastRow="0" w:firstColumn="1" w:lastColumn="0" w:noHBand="0" w:noVBand="1"/>
      </w:tblPr>
      <w:tblGrid>
        <w:gridCol w:w="7890"/>
        <w:gridCol w:w="849"/>
      </w:tblGrid>
      <w:tr w:rsidR="003C59A4" w:rsidRPr="00007C4E" w14:paraId="45E1B872" w14:textId="77777777" w:rsidTr="00353FD1">
        <w:tc>
          <w:tcPr>
            <w:tcW w:w="8755" w:type="dxa"/>
            <w:gridSpan w:val="2"/>
            <w:shd w:val="clear" w:color="auto" w:fill="auto"/>
          </w:tcPr>
          <w:p w14:paraId="7C1D17D7" w14:textId="5A7FB259" w:rsidR="003C59A4" w:rsidRPr="00007C4E" w:rsidRDefault="00652D06" w:rsidP="00353FD1">
            <w:pPr>
              <w:tabs>
                <w:tab w:val="left" w:pos="851"/>
                <w:tab w:val="right" w:pos="8505"/>
              </w:tabs>
              <w:jc w:val="both"/>
              <w:rPr>
                <w:u w:val="single"/>
              </w:rPr>
            </w:pPr>
            <w:r>
              <w:rPr>
                <w:u w:val="single"/>
              </w:rPr>
              <w:t>Wednesday, 14 August 2024 and Thursday, 15 August 2024</w:t>
            </w:r>
            <w:r w:rsidR="003C59A4">
              <w:rPr>
                <w:u w:val="single"/>
              </w:rPr>
              <w:t xml:space="preserve"> </w:t>
            </w:r>
          </w:p>
          <w:p w14:paraId="03288E24" w14:textId="77777777" w:rsidR="003C59A4" w:rsidRDefault="003C59A4" w:rsidP="00353FD1">
            <w:pPr>
              <w:pStyle w:val="Title"/>
              <w:jc w:val="left"/>
            </w:pPr>
          </w:p>
        </w:tc>
      </w:tr>
      <w:tr w:rsidR="003C59A4" w14:paraId="41CA6770" w14:textId="77777777" w:rsidTr="00353FD1">
        <w:tc>
          <w:tcPr>
            <w:tcW w:w="7905" w:type="dxa"/>
            <w:shd w:val="clear" w:color="auto" w:fill="auto"/>
          </w:tcPr>
          <w:p w14:paraId="3725C9B3" w14:textId="77777777" w:rsidR="003C59A4" w:rsidRDefault="00B522EE" w:rsidP="00353FD1">
            <w:pPr>
              <w:numPr>
                <w:ilvl w:val="0"/>
                <w:numId w:val="9"/>
              </w:numPr>
              <w:ind w:hanging="720"/>
            </w:pPr>
            <w:r>
              <w:t xml:space="preserve">State of </w:t>
            </w:r>
            <w:proofErr w:type="gramStart"/>
            <w:r>
              <w:t xml:space="preserve">Queensland </w:t>
            </w:r>
            <w:r w:rsidR="003C59A4" w:rsidRPr="00007C4E">
              <w:t xml:space="preserve"> v</w:t>
            </w:r>
            <w:proofErr w:type="gramEnd"/>
            <w:r w:rsidR="003C59A4" w:rsidRPr="00007C4E">
              <w:t xml:space="preserve">  </w:t>
            </w:r>
            <w:r>
              <w:t xml:space="preserve">Mr Stradford (a pseudonym) &amp; </w:t>
            </w:r>
            <w:proofErr w:type="spellStart"/>
            <w:r>
              <w:t>Ors</w:t>
            </w:r>
            <w:proofErr w:type="spellEnd"/>
            <w:r>
              <w:t>;</w:t>
            </w:r>
          </w:p>
          <w:p w14:paraId="32EAF468" w14:textId="77777777" w:rsidR="00B522EE" w:rsidRDefault="00B522EE" w:rsidP="00B522EE">
            <w:pPr>
              <w:ind w:left="720"/>
            </w:pPr>
            <w:r>
              <w:t xml:space="preserve">Commonwealth of </w:t>
            </w:r>
            <w:proofErr w:type="gramStart"/>
            <w:r>
              <w:t>Australia  v</w:t>
            </w:r>
            <w:proofErr w:type="gramEnd"/>
            <w:r>
              <w:t xml:space="preserve">  Mr Stradford (a pseudonym) </w:t>
            </w:r>
            <w:r>
              <w:br/>
              <w:t xml:space="preserve">&amp; </w:t>
            </w:r>
            <w:proofErr w:type="spellStart"/>
            <w:r>
              <w:t>Ors</w:t>
            </w:r>
            <w:proofErr w:type="spellEnd"/>
            <w:r>
              <w:t xml:space="preserve">; </w:t>
            </w:r>
          </w:p>
          <w:p w14:paraId="7F6DBE30" w14:textId="181FA1C1" w:rsidR="00B522EE" w:rsidRPr="00913869" w:rsidRDefault="00B522EE" w:rsidP="00B522EE">
            <w:pPr>
              <w:ind w:left="720"/>
            </w:pPr>
            <w:r>
              <w:t xml:space="preserve">His Honour Judge Salvatore Paul </w:t>
            </w:r>
            <w:proofErr w:type="gramStart"/>
            <w:r>
              <w:t>Vasta  v</w:t>
            </w:r>
            <w:proofErr w:type="gramEnd"/>
            <w:r>
              <w:t xml:space="preserve">  Mr Stradford </w:t>
            </w:r>
            <w:r>
              <w:br/>
              <w:t xml:space="preserve">(a pseudonym) &amp; </w:t>
            </w:r>
            <w:proofErr w:type="spellStart"/>
            <w:r>
              <w:t>Ors</w:t>
            </w:r>
            <w:proofErr w:type="spellEnd"/>
          </w:p>
        </w:tc>
        <w:tc>
          <w:tcPr>
            <w:tcW w:w="850" w:type="dxa"/>
            <w:shd w:val="clear" w:color="auto" w:fill="auto"/>
          </w:tcPr>
          <w:p w14:paraId="302620F0" w14:textId="0510CCA1" w:rsidR="003C59A4" w:rsidRPr="00C65A07" w:rsidRDefault="00735972" w:rsidP="00353FD1">
            <w:pPr>
              <w:pStyle w:val="Title"/>
              <w:rPr>
                <w:u w:val="none"/>
              </w:rPr>
            </w:pPr>
            <w:r>
              <w:rPr>
                <w:u w:val="none"/>
              </w:rPr>
              <w:t>3</w:t>
            </w:r>
          </w:p>
        </w:tc>
      </w:tr>
    </w:tbl>
    <w:p w14:paraId="3A80D94C" w14:textId="77777777" w:rsidR="003C59A4" w:rsidRDefault="003C59A4" w:rsidP="00913869"/>
    <w:tbl>
      <w:tblPr>
        <w:tblW w:w="0" w:type="auto"/>
        <w:tblLook w:val="04A0" w:firstRow="1" w:lastRow="0" w:firstColumn="1" w:lastColumn="0" w:noHBand="0" w:noVBand="1"/>
      </w:tblPr>
      <w:tblGrid>
        <w:gridCol w:w="7890"/>
        <w:gridCol w:w="849"/>
      </w:tblGrid>
      <w:tr w:rsidR="003C59A4" w:rsidRPr="00007C4E" w14:paraId="57684876" w14:textId="77777777" w:rsidTr="00353FD1">
        <w:tc>
          <w:tcPr>
            <w:tcW w:w="8755" w:type="dxa"/>
            <w:gridSpan w:val="2"/>
            <w:shd w:val="clear" w:color="auto" w:fill="auto"/>
          </w:tcPr>
          <w:p w14:paraId="1E0BCEC9" w14:textId="281B8481" w:rsidR="003C59A4" w:rsidRPr="00007C4E" w:rsidRDefault="00652D06" w:rsidP="00353FD1">
            <w:pPr>
              <w:tabs>
                <w:tab w:val="left" w:pos="851"/>
                <w:tab w:val="right" w:pos="8505"/>
              </w:tabs>
              <w:jc w:val="both"/>
              <w:rPr>
                <w:u w:val="single"/>
              </w:rPr>
            </w:pPr>
            <w:r>
              <w:rPr>
                <w:u w:val="single"/>
              </w:rPr>
              <w:t>Friday, 16 August 2024</w:t>
            </w:r>
          </w:p>
          <w:p w14:paraId="4608B72E" w14:textId="77777777" w:rsidR="003C59A4" w:rsidRDefault="003C59A4" w:rsidP="00353FD1">
            <w:pPr>
              <w:pStyle w:val="Title"/>
              <w:jc w:val="left"/>
            </w:pPr>
          </w:p>
        </w:tc>
      </w:tr>
      <w:tr w:rsidR="003C59A4" w14:paraId="13B5DBB5" w14:textId="77777777" w:rsidTr="00353FD1">
        <w:tc>
          <w:tcPr>
            <w:tcW w:w="7905" w:type="dxa"/>
            <w:shd w:val="clear" w:color="auto" w:fill="auto"/>
          </w:tcPr>
          <w:p w14:paraId="56B0AE28" w14:textId="3A0F5CB7" w:rsidR="003C59A4" w:rsidRPr="00913869" w:rsidRDefault="00E20190" w:rsidP="00353FD1">
            <w:pPr>
              <w:numPr>
                <w:ilvl w:val="0"/>
                <w:numId w:val="9"/>
              </w:numPr>
              <w:ind w:hanging="720"/>
            </w:pPr>
            <w:proofErr w:type="spellStart"/>
            <w:r>
              <w:t>Bogan</w:t>
            </w:r>
            <w:proofErr w:type="spellEnd"/>
            <w:r>
              <w:t xml:space="preserve"> &amp; </w:t>
            </w:r>
            <w:proofErr w:type="gramStart"/>
            <w:r>
              <w:t xml:space="preserve">Anor </w:t>
            </w:r>
            <w:r w:rsidR="003C59A4" w:rsidRPr="00007C4E">
              <w:t xml:space="preserve"> v</w:t>
            </w:r>
            <w:proofErr w:type="gramEnd"/>
            <w:r w:rsidR="003C59A4" w:rsidRPr="00007C4E">
              <w:t xml:space="preserve">  </w:t>
            </w:r>
            <w:r>
              <w:t xml:space="preserve">The Estate of Peter John Smedley (Deceased) &amp; </w:t>
            </w:r>
            <w:proofErr w:type="spellStart"/>
            <w:r>
              <w:t>Ors</w:t>
            </w:r>
            <w:proofErr w:type="spellEnd"/>
          </w:p>
        </w:tc>
        <w:tc>
          <w:tcPr>
            <w:tcW w:w="850" w:type="dxa"/>
            <w:shd w:val="clear" w:color="auto" w:fill="auto"/>
          </w:tcPr>
          <w:p w14:paraId="531625D2" w14:textId="5A74843E" w:rsidR="003C59A4" w:rsidRPr="00C65A07" w:rsidRDefault="00885AE3" w:rsidP="00353FD1">
            <w:pPr>
              <w:pStyle w:val="Title"/>
              <w:rPr>
                <w:u w:val="none"/>
              </w:rPr>
            </w:pPr>
            <w:r>
              <w:rPr>
                <w:u w:val="none"/>
              </w:rPr>
              <w:t>6</w:t>
            </w:r>
          </w:p>
        </w:tc>
      </w:tr>
    </w:tbl>
    <w:p w14:paraId="473D845D" w14:textId="77777777" w:rsidR="003C59A4" w:rsidRDefault="003C59A4" w:rsidP="00913869"/>
    <w:p w14:paraId="0570CAED" w14:textId="66CA81EC" w:rsidR="00AD704B" w:rsidRDefault="00AD704B">
      <w:r>
        <w:br w:type="page"/>
      </w:r>
    </w:p>
    <w:p w14:paraId="0E55FBFA" w14:textId="77777777" w:rsidR="00AD704B" w:rsidRPr="00AD704B" w:rsidRDefault="00AD704B" w:rsidP="00AD704B">
      <w:pPr>
        <w:pStyle w:val="Heading1"/>
        <w:rPr>
          <w:b/>
          <w:bCs/>
          <w:sz w:val="28"/>
          <w:szCs w:val="28"/>
        </w:rPr>
      </w:pPr>
      <w:r w:rsidRPr="00AD704B">
        <w:rPr>
          <w:b/>
          <w:bCs/>
          <w:sz w:val="28"/>
          <w:szCs w:val="28"/>
        </w:rPr>
        <w:lastRenderedPageBreak/>
        <w:t>MINISTER FOR IMMIGRATION, CITIZENSHIP AND MULTICULTURAL AFFAIRS &amp; ORS v MZAPC</w:t>
      </w:r>
      <w:r w:rsidRPr="00AD704B">
        <w:rPr>
          <w:b/>
          <w:bCs/>
          <w:sz w:val="28"/>
          <w:szCs w:val="28"/>
          <w:u w:val="none"/>
        </w:rPr>
        <w:t xml:space="preserve"> (P21/2024)</w:t>
      </w:r>
    </w:p>
    <w:p w14:paraId="13B057CD" w14:textId="77777777" w:rsidR="00AD704B" w:rsidRPr="00A729C0" w:rsidRDefault="00AD704B" w:rsidP="00AD704B">
      <w:pPr>
        <w:tabs>
          <w:tab w:val="left" w:pos="0"/>
        </w:tabs>
        <w:ind w:left="3600" w:hanging="3600"/>
        <w:rPr>
          <w:rFonts w:cs="Arial"/>
          <w:szCs w:val="24"/>
        </w:rPr>
      </w:pPr>
    </w:p>
    <w:p w14:paraId="6F250CDD" w14:textId="77777777" w:rsidR="00AD704B" w:rsidRDefault="00AD704B" w:rsidP="00AD704B">
      <w:pPr>
        <w:ind w:left="3600" w:hanging="3600"/>
        <w:rPr>
          <w:rFonts w:cs="Arial"/>
          <w:szCs w:val="24"/>
        </w:rPr>
      </w:pPr>
      <w:r w:rsidRPr="004B2258">
        <w:rPr>
          <w:rFonts w:cs="Arial"/>
          <w:szCs w:val="24"/>
          <w:u w:val="single"/>
        </w:rPr>
        <w:t>Court appealed from</w:t>
      </w:r>
      <w:r w:rsidRPr="004B2258">
        <w:rPr>
          <w:rFonts w:cs="Arial"/>
          <w:szCs w:val="24"/>
        </w:rPr>
        <w:t>:</w:t>
      </w:r>
      <w:r w:rsidRPr="004B2258">
        <w:rPr>
          <w:rFonts w:cs="Arial"/>
          <w:szCs w:val="24"/>
        </w:rPr>
        <w:tab/>
      </w:r>
      <w:r>
        <w:rPr>
          <w:rFonts w:cs="Arial"/>
          <w:szCs w:val="24"/>
        </w:rPr>
        <w:t>Full Court of the Federal Court of Australia</w:t>
      </w:r>
    </w:p>
    <w:p w14:paraId="7B6B7FBB" w14:textId="77777777" w:rsidR="00AD704B" w:rsidRDefault="00AD704B" w:rsidP="00AD704B">
      <w:pPr>
        <w:ind w:left="3600" w:hanging="3600"/>
        <w:rPr>
          <w:rFonts w:cs="Arial"/>
          <w:szCs w:val="24"/>
        </w:rPr>
      </w:pPr>
      <w:r w:rsidRPr="00EE4673">
        <w:rPr>
          <w:rFonts w:cs="Arial"/>
          <w:szCs w:val="24"/>
        </w:rPr>
        <w:tab/>
      </w:r>
      <w:r>
        <w:rPr>
          <w:rFonts w:cs="Arial"/>
          <w:szCs w:val="24"/>
        </w:rPr>
        <w:t>[2024] FCAFC 34</w:t>
      </w:r>
    </w:p>
    <w:p w14:paraId="6610161A" w14:textId="77777777" w:rsidR="00AD704B" w:rsidRPr="004B2258" w:rsidRDefault="00AD704B" w:rsidP="00AD704B">
      <w:pPr>
        <w:ind w:left="3600" w:hanging="3600"/>
        <w:rPr>
          <w:rFonts w:cs="Arial"/>
          <w:szCs w:val="24"/>
        </w:rPr>
      </w:pPr>
    </w:p>
    <w:p w14:paraId="122CD650" w14:textId="77777777" w:rsidR="00AD704B" w:rsidRDefault="00AD704B" w:rsidP="00AD704B">
      <w:pPr>
        <w:ind w:left="3600" w:hanging="3600"/>
        <w:rPr>
          <w:rFonts w:cs="Arial"/>
          <w:szCs w:val="24"/>
        </w:rPr>
      </w:pPr>
      <w:r w:rsidRPr="004B2258">
        <w:rPr>
          <w:rFonts w:cs="Arial"/>
          <w:szCs w:val="24"/>
          <w:u w:val="single"/>
        </w:rPr>
        <w:t>Date of judgment</w:t>
      </w:r>
      <w:r w:rsidRPr="004B2258">
        <w:rPr>
          <w:rFonts w:cs="Arial"/>
          <w:szCs w:val="24"/>
        </w:rPr>
        <w:t>:</w:t>
      </w:r>
      <w:r w:rsidRPr="004B2258">
        <w:rPr>
          <w:rFonts w:cs="Arial"/>
          <w:szCs w:val="24"/>
        </w:rPr>
        <w:tab/>
      </w:r>
      <w:r>
        <w:rPr>
          <w:rFonts w:cs="Arial"/>
          <w:szCs w:val="24"/>
        </w:rPr>
        <w:t>18 March 2024</w:t>
      </w:r>
    </w:p>
    <w:p w14:paraId="5D267FFF" w14:textId="77777777" w:rsidR="00AD704B" w:rsidRDefault="00AD704B" w:rsidP="00AD704B">
      <w:pPr>
        <w:ind w:left="3600" w:hanging="3600"/>
        <w:rPr>
          <w:rFonts w:cs="Arial"/>
          <w:szCs w:val="24"/>
        </w:rPr>
      </w:pPr>
    </w:p>
    <w:p w14:paraId="290937AC" w14:textId="77777777" w:rsidR="00AD704B" w:rsidRDefault="00AD704B" w:rsidP="00AD704B">
      <w:pPr>
        <w:ind w:left="3600" w:hanging="3600"/>
        <w:rPr>
          <w:rFonts w:cs="Arial"/>
          <w:szCs w:val="24"/>
        </w:rPr>
      </w:pPr>
      <w:r>
        <w:rPr>
          <w:rFonts w:cs="Arial"/>
          <w:szCs w:val="24"/>
          <w:u w:val="single"/>
        </w:rPr>
        <w:t>Special leave granted</w:t>
      </w:r>
      <w:r>
        <w:rPr>
          <w:rFonts w:cs="Arial"/>
          <w:szCs w:val="24"/>
        </w:rPr>
        <w:t xml:space="preserve">: </w:t>
      </w:r>
      <w:r>
        <w:rPr>
          <w:rFonts w:cs="Arial"/>
          <w:szCs w:val="24"/>
        </w:rPr>
        <w:tab/>
        <w:t>9 May 2024</w:t>
      </w:r>
    </w:p>
    <w:p w14:paraId="61A999C0" w14:textId="77777777" w:rsidR="00AD704B" w:rsidRDefault="00AD704B" w:rsidP="00AD704B">
      <w:pPr>
        <w:tabs>
          <w:tab w:val="left" w:pos="0"/>
        </w:tabs>
        <w:rPr>
          <w:rFonts w:cs="Arial"/>
          <w:szCs w:val="24"/>
        </w:rPr>
      </w:pPr>
    </w:p>
    <w:p w14:paraId="427C338A" w14:textId="352BA675" w:rsidR="00AD704B" w:rsidRDefault="00AD704B" w:rsidP="007F669F">
      <w:pPr>
        <w:tabs>
          <w:tab w:val="left" w:pos="0"/>
        </w:tabs>
        <w:jc w:val="both"/>
        <w:rPr>
          <w:rFonts w:cs="Arial"/>
          <w:szCs w:val="24"/>
        </w:rPr>
      </w:pPr>
      <w:r>
        <w:rPr>
          <w:rFonts w:cs="Arial"/>
          <w:szCs w:val="24"/>
        </w:rPr>
        <w:t xml:space="preserve">The respondent entered Australia in 2006 on a student visa which expired in </w:t>
      </w:r>
      <w:r w:rsidR="00EC3128">
        <w:rPr>
          <w:rFonts w:cs="Arial"/>
          <w:szCs w:val="24"/>
        </w:rPr>
        <w:br/>
      </w:r>
      <w:r>
        <w:rPr>
          <w:rFonts w:cs="Arial"/>
          <w:szCs w:val="24"/>
        </w:rPr>
        <w:t xml:space="preserve">March 2008.  Before that expiry date, the respondent unsuccessfully applied for a Skilled Migration visa.  He later applied for a protection visa, which was refused.  His appeal to the High Court in respect of that refusal was dismissed in May 2021.  Since his first visa refusal the respondent had held a bridging visa.  That visa was cancelled in November 2015 following his conviction for drug-related charges.  </w:t>
      </w:r>
      <w:r w:rsidR="00EC3128">
        <w:rPr>
          <w:rFonts w:cs="Arial"/>
          <w:szCs w:val="24"/>
        </w:rPr>
        <w:br/>
      </w:r>
      <w:r>
        <w:rPr>
          <w:rFonts w:cs="Arial"/>
          <w:szCs w:val="24"/>
        </w:rPr>
        <w:t xml:space="preserve">The respondent unsuccessfully sought review of the decision to cancel his visa in the Administrative Appeals Tribunal.  His application to the Federal Circuit and Family Court of Australia was discontinued.  He has exhausted all rights of review and appeal in relation to his immigration status and has no extant visa application.  He has been in immigration detention since 2016, following his release from prison.  </w:t>
      </w:r>
    </w:p>
    <w:p w14:paraId="31D21857" w14:textId="77777777" w:rsidR="00AD704B" w:rsidRDefault="00AD704B" w:rsidP="007F669F">
      <w:pPr>
        <w:tabs>
          <w:tab w:val="left" w:pos="0"/>
        </w:tabs>
        <w:jc w:val="both"/>
        <w:rPr>
          <w:rFonts w:cs="Arial"/>
          <w:szCs w:val="24"/>
        </w:rPr>
      </w:pPr>
    </w:p>
    <w:p w14:paraId="63FC87F6" w14:textId="0D46CA01" w:rsidR="00AD704B" w:rsidRDefault="00AD704B" w:rsidP="007F669F">
      <w:pPr>
        <w:tabs>
          <w:tab w:val="left" w:pos="0"/>
        </w:tabs>
        <w:jc w:val="both"/>
        <w:rPr>
          <w:rFonts w:cs="Arial"/>
          <w:szCs w:val="24"/>
        </w:rPr>
      </w:pPr>
      <w:r>
        <w:rPr>
          <w:rFonts w:cs="Arial"/>
          <w:szCs w:val="24"/>
        </w:rPr>
        <w:t xml:space="preserve">In August 2023, the respondent filed an originating application in the Federal Court of Australia.  The asserted ground of review was that the second and third appellants had exceeded the executive power of the Commonwealth, in making a number of decisions in purported compliance with ministerial guidelines, in respect of requests the respondent made for the Minister to consider exercising powers under sections 195A and 417 of the </w:t>
      </w:r>
      <w:r w:rsidRPr="004A411B">
        <w:rPr>
          <w:rFonts w:cs="Arial"/>
          <w:i/>
          <w:iCs/>
          <w:szCs w:val="24"/>
        </w:rPr>
        <w:t>Migration Act 1958</w:t>
      </w:r>
      <w:r>
        <w:rPr>
          <w:rFonts w:cs="Arial"/>
          <w:szCs w:val="24"/>
        </w:rPr>
        <w:t xml:space="preserve"> (Cth) (“the Act”), and also under ss 48B and 351 of the Act, to grant him a visa.  The respondent also applied for an interlocutory injunction on the basis that he was liable to be removed from Australia at any time after 6 July 2023.  The primary judge found that there was a serious question to be tried in the substantive application and granted the interlocutory injunction. </w:t>
      </w:r>
    </w:p>
    <w:p w14:paraId="69F8D7B5" w14:textId="77777777" w:rsidR="00AD704B" w:rsidRDefault="00AD704B" w:rsidP="007F669F">
      <w:pPr>
        <w:tabs>
          <w:tab w:val="left" w:pos="0"/>
        </w:tabs>
        <w:jc w:val="both"/>
        <w:rPr>
          <w:rFonts w:cs="Arial"/>
          <w:szCs w:val="24"/>
        </w:rPr>
      </w:pPr>
    </w:p>
    <w:p w14:paraId="0A7837D0" w14:textId="669DB463" w:rsidR="00AD704B" w:rsidRDefault="00AD704B" w:rsidP="007F669F">
      <w:pPr>
        <w:tabs>
          <w:tab w:val="left" w:pos="0"/>
        </w:tabs>
        <w:jc w:val="both"/>
        <w:rPr>
          <w:rFonts w:cs="Arial"/>
          <w:szCs w:val="24"/>
        </w:rPr>
      </w:pPr>
      <w:r>
        <w:rPr>
          <w:rFonts w:cs="Arial"/>
          <w:szCs w:val="24"/>
        </w:rPr>
        <w:t xml:space="preserve">The appellants sought leave to appeal in the Full Court of the Federal Court.  It was not disputed that in the circumstances there was a duty imposed by s 198(6) of the Act to remove the respondent from Australia as soon as reasonably practicable.  The injunction granted by the primary judge restrained the performance of that duty.   The appellants submitted that the Court had no power to prevent the performance of the duty under s 198(6) in circumstances where the duty to remove was not being challenged by the respondent in his substantive application.  A majority of the </w:t>
      </w:r>
      <w:r w:rsidR="00EC3128">
        <w:rPr>
          <w:rFonts w:cs="Arial"/>
          <w:szCs w:val="24"/>
        </w:rPr>
        <w:br/>
      </w:r>
      <w:r>
        <w:rPr>
          <w:rFonts w:cs="Arial"/>
          <w:szCs w:val="24"/>
        </w:rPr>
        <w:t xml:space="preserve">Full Court (Colvin &amp; Jackson JJ; SC </w:t>
      </w:r>
      <w:proofErr w:type="spellStart"/>
      <w:r>
        <w:rPr>
          <w:rFonts w:cs="Arial"/>
          <w:szCs w:val="24"/>
        </w:rPr>
        <w:t>Derrington</w:t>
      </w:r>
      <w:proofErr w:type="spellEnd"/>
      <w:r>
        <w:rPr>
          <w:rFonts w:cs="Arial"/>
          <w:szCs w:val="24"/>
        </w:rPr>
        <w:t xml:space="preserve"> J dissenting) granted leave to appeal, but dismissed the appeal on the basis that the Court has the power to grant interlocutory relief to preserve the subject matter in dispute and to enable it to perform its function as a court.</w:t>
      </w:r>
    </w:p>
    <w:p w14:paraId="4101E01C" w14:textId="77777777" w:rsidR="00AD704B" w:rsidRPr="00A16824" w:rsidRDefault="00AD704B" w:rsidP="007F669F">
      <w:pPr>
        <w:tabs>
          <w:tab w:val="left" w:pos="0"/>
        </w:tabs>
        <w:jc w:val="both"/>
        <w:rPr>
          <w:rFonts w:cs="Arial"/>
          <w:szCs w:val="24"/>
        </w:rPr>
      </w:pPr>
    </w:p>
    <w:p w14:paraId="7FFF58D3" w14:textId="77777777" w:rsidR="00AD704B" w:rsidRDefault="00AD704B" w:rsidP="007F669F">
      <w:pPr>
        <w:tabs>
          <w:tab w:val="left" w:pos="0"/>
        </w:tabs>
        <w:jc w:val="both"/>
        <w:rPr>
          <w:rFonts w:cs="Arial"/>
          <w:szCs w:val="24"/>
        </w:rPr>
      </w:pPr>
      <w:bookmarkStart w:id="0" w:name="para28"/>
      <w:bookmarkStart w:id="1" w:name="para4"/>
      <w:bookmarkStart w:id="2" w:name="Heading109"/>
      <w:bookmarkEnd w:id="0"/>
      <w:bookmarkEnd w:id="1"/>
      <w:bookmarkEnd w:id="2"/>
      <w:r>
        <w:rPr>
          <w:rFonts w:cs="Arial"/>
          <w:szCs w:val="24"/>
        </w:rPr>
        <w:t xml:space="preserve">The respondent has filed a notice of a constitutional matter and a notice of contention.  The Attorney-General of the Commonwealth has intervened in the proceeding in support of the appellants.  </w:t>
      </w:r>
    </w:p>
    <w:p w14:paraId="5F575010" w14:textId="77777777" w:rsidR="00EC3128" w:rsidRDefault="00EC3128" w:rsidP="007F669F">
      <w:pPr>
        <w:tabs>
          <w:tab w:val="left" w:pos="0"/>
        </w:tabs>
        <w:jc w:val="both"/>
        <w:rPr>
          <w:rFonts w:cs="Arial"/>
          <w:szCs w:val="24"/>
        </w:rPr>
      </w:pPr>
    </w:p>
    <w:p w14:paraId="13B10B46" w14:textId="77777777" w:rsidR="00423244" w:rsidRDefault="00423244" w:rsidP="007F669F">
      <w:pPr>
        <w:tabs>
          <w:tab w:val="left" w:pos="0"/>
        </w:tabs>
        <w:jc w:val="both"/>
        <w:rPr>
          <w:rFonts w:cs="Arial"/>
          <w:szCs w:val="24"/>
        </w:rPr>
      </w:pPr>
    </w:p>
    <w:p w14:paraId="44DF5D50" w14:textId="77777777" w:rsidR="00423244" w:rsidRDefault="00423244" w:rsidP="007F669F">
      <w:pPr>
        <w:tabs>
          <w:tab w:val="left" w:pos="0"/>
        </w:tabs>
        <w:jc w:val="both"/>
        <w:rPr>
          <w:rFonts w:cs="Arial"/>
          <w:szCs w:val="24"/>
        </w:rPr>
      </w:pPr>
    </w:p>
    <w:p w14:paraId="02D99D62" w14:textId="77777777" w:rsidR="00423244" w:rsidRDefault="00423244" w:rsidP="007F669F">
      <w:pPr>
        <w:tabs>
          <w:tab w:val="left" w:pos="0"/>
        </w:tabs>
        <w:jc w:val="both"/>
        <w:rPr>
          <w:rFonts w:cs="Arial"/>
          <w:szCs w:val="24"/>
        </w:rPr>
      </w:pPr>
    </w:p>
    <w:p w14:paraId="0F9C345F" w14:textId="77777777" w:rsidR="00423244" w:rsidRDefault="00423244" w:rsidP="007F669F">
      <w:pPr>
        <w:tabs>
          <w:tab w:val="left" w:pos="0"/>
        </w:tabs>
        <w:jc w:val="both"/>
        <w:rPr>
          <w:rFonts w:cs="Arial"/>
          <w:szCs w:val="24"/>
        </w:rPr>
      </w:pPr>
    </w:p>
    <w:p w14:paraId="01FFA1E0" w14:textId="71777A50" w:rsidR="00AD704B" w:rsidRPr="00872ECB" w:rsidRDefault="00AD704B" w:rsidP="007F669F">
      <w:pPr>
        <w:tabs>
          <w:tab w:val="left" w:pos="0"/>
        </w:tabs>
        <w:jc w:val="both"/>
        <w:rPr>
          <w:rFonts w:cs="Arial"/>
          <w:szCs w:val="24"/>
        </w:rPr>
      </w:pPr>
      <w:r w:rsidRPr="00872ECB">
        <w:rPr>
          <w:rFonts w:cs="Arial"/>
          <w:szCs w:val="24"/>
        </w:rPr>
        <w:lastRenderedPageBreak/>
        <w:t xml:space="preserve">The </w:t>
      </w:r>
      <w:r>
        <w:rPr>
          <w:rFonts w:cs="Arial"/>
          <w:szCs w:val="24"/>
        </w:rPr>
        <w:t>sole ground of appeal is</w:t>
      </w:r>
      <w:r w:rsidRPr="00872ECB">
        <w:rPr>
          <w:rFonts w:cs="Arial"/>
          <w:szCs w:val="24"/>
        </w:rPr>
        <w:t>:</w:t>
      </w:r>
    </w:p>
    <w:p w14:paraId="46F1AE5F" w14:textId="77777777" w:rsidR="00AD704B" w:rsidRPr="00872ECB" w:rsidRDefault="00AD704B" w:rsidP="007F669F">
      <w:pPr>
        <w:tabs>
          <w:tab w:val="left" w:pos="0"/>
        </w:tabs>
        <w:jc w:val="both"/>
        <w:rPr>
          <w:rFonts w:cs="Arial"/>
          <w:szCs w:val="24"/>
        </w:rPr>
      </w:pPr>
    </w:p>
    <w:p w14:paraId="40BB3B7F" w14:textId="77777777" w:rsidR="00AD704B" w:rsidRPr="00EC439A" w:rsidRDefault="00AD704B" w:rsidP="007F669F">
      <w:pPr>
        <w:pStyle w:val="ListParagraph"/>
        <w:numPr>
          <w:ilvl w:val="0"/>
          <w:numId w:val="10"/>
        </w:numPr>
        <w:autoSpaceDE w:val="0"/>
        <w:autoSpaceDN w:val="0"/>
        <w:adjustRightInd w:val="0"/>
        <w:ind w:left="426" w:hanging="426"/>
        <w:rPr>
          <w:rFonts w:cs="Arial"/>
          <w:szCs w:val="24"/>
          <w:lang w:val="en-AU"/>
        </w:rPr>
      </w:pPr>
      <w:r w:rsidRPr="00EC439A">
        <w:rPr>
          <w:rFonts w:cs="Arial"/>
          <w:szCs w:val="24"/>
          <w:lang w:val="en-AU"/>
        </w:rPr>
        <w:t>The Full Court of the Federal Court of Australia erred in concluding that the</w:t>
      </w:r>
      <w:r>
        <w:rPr>
          <w:rFonts w:cs="Arial"/>
          <w:szCs w:val="24"/>
          <w:lang w:val="en-AU"/>
        </w:rPr>
        <w:t xml:space="preserve"> </w:t>
      </w:r>
      <w:r w:rsidRPr="00EC439A">
        <w:rPr>
          <w:rFonts w:cs="Arial"/>
          <w:szCs w:val="24"/>
          <w:lang w:val="en-AU"/>
        </w:rPr>
        <w:t>primary judge had power to grant an interlocutory injunction restraining the</w:t>
      </w:r>
      <w:r>
        <w:rPr>
          <w:rFonts w:cs="Arial"/>
          <w:szCs w:val="24"/>
          <w:lang w:val="en-AU"/>
        </w:rPr>
        <w:t xml:space="preserve"> </w:t>
      </w:r>
      <w:r w:rsidRPr="00EC439A">
        <w:rPr>
          <w:rFonts w:cs="Arial"/>
          <w:szCs w:val="24"/>
          <w:lang w:val="en-AU"/>
        </w:rPr>
        <w:t>respondent’s removal from Australia.</w:t>
      </w:r>
      <w:r>
        <w:rPr>
          <w:rFonts w:cs="Arial"/>
          <w:szCs w:val="24"/>
          <w:lang w:val="en-AU"/>
        </w:rPr>
        <w:t xml:space="preserve"> </w:t>
      </w:r>
    </w:p>
    <w:p w14:paraId="01E71CBF" w14:textId="77777777" w:rsidR="003C59A4" w:rsidRDefault="003C59A4" w:rsidP="00913869"/>
    <w:p w14:paraId="340E5A70" w14:textId="25B040D3" w:rsidR="00735972" w:rsidRDefault="00735972">
      <w:r>
        <w:br w:type="page"/>
      </w:r>
    </w:p>
    <w:p w14:paraId="03BFE9E4" w14:textId="4687F223" w:rsidR="00271859" w:rsidRPr="00086F81" w:rsidRDefault="00271859" w:rsidP="00271859">
      <w:pPr>
        <w:rPr>
          <w:b/>
          <w:bCs/>
          <w:sz w:val="28"/>
          <w:szCs w:val="28"/>
          <w:u w:val="single"/>
        </w:rPr>
      </w:pPr>
      <w:r w:rsidRPr="00086F81">
        <w:rPr>
          <w:b/>
          <w:bCs/>
          <w:sz w:val="28"/>
          <w:szCs w:val="28"/>
          <w:u w:val="single"/>
        </w:rPr>
        <w:lastRenderedPageBreak/>
        <w:t xml:space="preserve">STATE OF QUEENSLAND </w:t>
      </w:r>
      <w:r>
        <w:rPr>
          <w:b/>
          <w:bCs/>
          <w:sz w:val="28"/>
          <w:szCs w:val="28"/>
          <w:u w:val="single"/>
        </w:rPr>
        <w:t>v</w:t>
      </w:r>
      <w:r w:rsidRPr="00086F81">
        <w:rPr>
          <w:b/>
          <w:bCs/>
          <w:sz w:val="28"/>
          <w:szCs w:val="28"/>
          <w:u w:val="single"/>
        </w:rPr>
        <w:t xml:space="preserve"> MR STRADFORD (A PSEUDONYM) </w:t>
      </w:r>
      <w:r>
        <w:rPr>
          <w:b/>
          <w:bCs/>
          <w:sz w:val="28"/>
          <w:szCs w:val="28"/>
          <w:u w:val="single"/>
        </w:rPr>
        <w:br/>
      </w:r>
      <w:r w:rsidRPr="00086F81">
        <w:rPr>
          <w:b/>
          <w:bCs/>
          <w:sz w:val="28"/>
          <w:szCs w:val="28"/>
          <w:u w:val="single"/>
        </w:rPr>
        <w:t>&amp; ORS</w:t>
      </w:r>
      <w:r w:rsidRPr="00711FE5">
        <w:rPr>
          <w:b/>
          <w:bCs/>
          <w:sz w:val="28"/>
          <w:szCs w:val="28"/>
        </w:rPr>
        <w:t xml:space="preserve"> </w:t>
      </w:r>
      <w:r w:rsidRPr="00D833B4">
        <w:rPr>
          <w:b/>
          <w:bCs/>
          <w:sz w:val="28"/>
          <w:szCs w:val="28"/>
        </w:rPr>
        <w:t>(S24/2024</w:t>
      </w:r>
      <w:proofErr w:type="gramStart"/>
      <w:r w:rsidRPr="00D833B4">
        <w:rPr>
          <w:b/>
          <w:bCs/>
          <w:sz w:val="28"/>
          <w:szCs w:val="28"/>
        </w:rPr>
        <w:t>)</w:t>
      </w:r>
      <w:r>
        <w:rPr>
          <w:b/>
          <w:bCs/>
          <w:sz w:val="28"/>
          <w:szCs w:val="28"/>
        </w:rPr>
        <w:t>;</w:t>
      </w:r>
      <w:proofErr w:type="gramEnd"/>
    </w:p>
    <w:p w14:paraId="747C7B22" w14:textId="77777777" w:rsidR="00271859" w:rsidRPr="00086F81" w:rsidRDefault="00271859" w:rsidP="00271859">
      <w:pPr>
        <w:rPr>
          <w:b/>
          <w:bCs/>
          <w:sz w:val="28"/>
          <w:szCs w:val="28"/>
          <w:u w:val="single"/>
        </w:rPr>
      </w:pPr>
      <w:r w:rsidRPr="00086F81">
        <w:rPr>
          <w:b/>
          <w:bCs/>
          <w:sz w:val="28"/>
          <w:szCs w:val="28"/>
          <w:u w:val="single"/>
        </w:rPr>
        <w:t xml:space="preserve">COMMONWEALTH OF AUSTRALIA </w:t>
      </w:r>
      <w:r>
        <w:rPr>
          <w:b/>
          <w:bCs/>
          <w:sz w:val="28"/>
          <w:szCs w:val="28"/>
          <w:u w:val="single"/>
        </w:rPr>
        <w:t>v</w:t>
      </w:r>
      <w:r w:rsidRPr="00086F81">
        <w:rPr>
          <w:b/>
          <w:bCs/>
          <w:sz w:val="28"/>
          <w:szCs w:val="28"/>
          <w:u w:val="single"/>
        </w:rPr>
        <w:t xml:space="preserve"> MR STRADFORD </w:t>
      </w:r>
      <w:r>
        <w:rPr>
          <w:b/>
          <w:bCs/>
          <w:sz w:val="28"/>
          <w:szCs w:val="28"/>
          <w:u w:val="single"/>
        </w:rPr>
        <w:br/>
      </w:r>
      <w:r w:rsidRPr="00086F81">
        <w:rPr>
          <w:b/>
          <w:bCs/>
          <w:sz w:val="28"/>
          <w:szCs w:val="28"/>
          <w:u w:val="single"/>
        </w:rPr>
        <w:t>(A PSEUDONYM) &amp; ORS</w:t>
      </w:r>
      <w:r w:rsidRPr="00711FE5">
        <w:rPr>
          <w:b/>
          <w:bCs/>
          <w:sz w:val="28"/>
          <w:szCs w:val="28"/>
        </w:rPr>
        <w:t xml:space="preserve"> </w:t>
      </w:r>
      <w:r w:rsidRPr="00D833B4">
        <w:rPr>
          <w:b/>
          <w:bCs/>
          <w:sz w:val="28"/>
          <w:szCs w:val="28"/>
        </w:rPr>
        <w:t>(C3/2024</w:t>
      </w:r>
      <w:proofErr w:type="gramStart"/>
      <w:r w:rsidRPr="00D833B4">
        <w:rPr>
          <w:b/>
          <w:bCs/>
          <w:sz w:val="28"/>
          <w:szCs w:val="28"/>
        </w:rPr>
        <w:t>)</w:t>
      </w:r>
      <w:r>
        <w:rPr>
          <w:b/>
          <w:bCs/>
          <w:sz w:val="28"/>
          <w:szCs w:val="28"/>
        </w:rPr>
        <w:t>;</w:t>
      </w:r>
      <w:proofErr w:type="gramEnd"/>
    </w:p>
    <w:p w14:paraId="668CC71A" w14:textId="77777777" w:rsidR="00271859" w:rsidRPr="00086F81" w:rsidRDefault="00271859" w:rsidP="00271859">
      <w:pPr>
        <w:rPr>
          <w:b/>
          <w:bCs/>
          <w:sz w:val="28"/>
          <w:szCs w:val="28"/>
          <w:u w:val="single"/>
        </w:rPr>
      </w:pPr>
      <w:r w:rsidRPr="00086F81">
        <w:rPr>
          <w:b/>
          <w:bCs/>
          <w:sz w:val="28"/>
          <w:szCs w:val="28"/>
          <w:u w:val="single"/>
        </w:rPr>
        <w:t xml:space="preserve">HIS HONOUR JUDGE SALVATORE PAUL VASTA </w:t>
      </w:r>
      <w:r>
        <w:rPr>
          <w:b/>
          <w:bCs/>
          <w:sz w:val="28"/>
          <w:szCs w:val="28"/>
          <w:u w:val="single"/>
        </w:rPr>
        <w:t>v</w:t>
      </w:r>
      <w:r w:rsidRPr="00086F81">
        <w:rPr>
          <w:b/>
          <w:bCs/>
          <w:sz w:val="28"/>
          <w:szCs w:val="28"/>
          <w:u w:val="single"/>
        </w:rPr>
        <w:t xml:space="preserve"> </w:t>
      </w:r>
      <w:r>
        <w:rPr>
          <w:b/>
          <w:bCs/>
          <w:sz w:val="28"/>
          <w:szCs w:val="28"/>
          <w:u w:val="single"/>
        </w:rPr>
        <w:br/>
      </w:r>
      <w:r w:rsidRPr="00086F81">
        <w:rPr>
          <w:b/>
          <w:bCs/>
          <w:sz w:val="28"/>
          <w:szCs w:val="28"/>
          <w:u w:val="single"/>
        </w:rPr>
        <w:t>MR STRADFORD (A PSEUDONYM) &amp; ORS</w:t>
      </w:r>
      <w:r w:rsidRPr="00711FE5">
        <w:rPr>
          <w:b/>
          <w:bCs/>
          <w:sz w:val="28"/>
          <w:szCs w:val="28"/>
        </w:rPr>
        <w:t xml:space="preserve"> </w:t>
      </w:r>
      <w:r w:rsidRPr="00D833B4">
        <w:rPr>
          <w:b/>
          <w:bCs/>
          <w:sz w:val="28"/>
          <w:szCs w:val="28"/>
        </w:rPr>
        <w:t>(C4/2024)</w:t>
      </w:r>
    </w:p>
    <w:p w14:paraId="41BF251C" w14:textId="77777777" w:rsidR="00271859" w:rsidRDefault="00271859" w:rsidP="00271859">
      <w:pPr>
        <w:rPr>
          <w:sz w:val="23"/>
          <w:szCs w:val="23"/>
        </w:rPr>
      </w:pPr>
    </w:p>
    <w:p w14:paraId="5CFF75E4" w14:textId="77777777" w:rsidR="00271859" w:rsidRDefault="00271859" w:rsidP="00271859">
      <w:pPr>
        <w:ind w:left="3600" w:hanging="3600"/>
        <w:rPr>
          <w:rFonts w:cs="Arial"/>
          <w:szCs w:val="24"/>
        </w:rPr>
      </w:pPr>
      <w:r>
        <w:rPr>
          <w:rFonts w:cs="Arial"/>
          <w:szCs w:val="24"/>
          <w:u w:val="single"/>
        </w:rPr>
        <w:t xml:space="preserve">Causes removed </w:t>
      </w:r>
      <w:r w:rsidRPr="004B2258">
        <w:rPr>
          <w:rFonts w:cs="Arial"/>
          <w:szCs w:val="24"/>
          <w:u w:val="single"/>
        </w:rPr>
        <w:t>from</w:t>
      </w:r>
      <w:r w:rsidRPr="004B2258">
        <w:rPr>
          <w:rFonts w:cs="Arial"/>
          <w:szCs w:val="24"/>
        </w:rPr>
        <w:t>:</w:t>
      </w:r>
      <w:r w:rsidRPr="004B2258">
        <w:rPr>
          <w:rFonts w:cs="Arial"/>
          <w:szCs w:val="24"/>
        </w:rPr>
        <w:tab/>
      </w:r>
      <w:r>
        <w:rPr>
          <w:rFonts w:cs="Arial"/>
          <w:szCs w:val="24"/>
        </w:rPr>
        <w:t>Full Court of the Federal Court of Australia</w:t>
      </w:r>
    </w:p>
    <w:p w14:paraId="4F5A9A0C" w14:textId="77777777" w:rsidR="00271859" w:rsidRPr="004B2258" w:rsidRDefault="00271859" w:rsidP="00271859">
      <w:pPr>
        <w:ind w:left="3600" w:hanging="3600"/>
        <w:rPr>
          <w:rFonts w:cs="Arial"/>
          <w:szCs w:val="24"/>
        </w:rPr>
      </w:pPr>
      <w:r w:rsidRPr="00EE4673">
        <w:rPr>
          <w:rFonts w:cs="Arial"/>
          <w:szCs w:val="24"/>
        </w:rPr>
        <w:tab/>
      </w:r>
    </w:p>
    <w:p w14:paraId="61D49F9D" w14:textId="77777777" w:rsidR="00271859" w:rsidRDefault="00271859" w:rsidP="00271859">
      <w:pPr>
        <w:ind w:left="3600" w:hanging="3600"/>
        <w:rPr>
          <w:rFonts w:cs="Arial"/>
          <w:szCs w:val="24"/>
        </w:rPr>
      </w:pPr>
      <w:r w:rsidRPr="004B2258">
        <w:rPr>
          <w:rFonts w:cs="Arial"/>
          <w:szCs w:val="24"/>
          <w:u w:val="single"/>
        </w:rPr>
        <w:t>Date</w:t>
      </w:r>
      <w:r>
        <w:rPr>
          <w:rFonts w:cs="Arial"/>
          <w:szCs w:val="24"/>
          <w:u w:val="single"/>
        </w:rPr>
        <w:t xml:space="preserve"> causes removed</w:t>
      </w:r>
      <w:r w:rsidRPr="004B2258">
        <w:rPr>
          <w:rFonts w:cs="Arial"/>
          <w:szCs w:val="24"/>
        </w:rPr>
        <w:t>:</w:t>
      </w:r>
      <w:r w:rsidRPr="004B2258">
        <w:rPr>
          <w:rFonts w:cs="Arial"/>
          <w:szCs w:val="24"/>
        </w:rPr>
        <w:tab/>
      </w:r>
      <w:r>
        <w:rPr>
          <w:rFonts w:cs="Arial"/>
          <w:szCs w:val="24"/>
        </w:rPr>
        <w:t>8 February 2024</w:t>
      </w:r>
    </w:p>
    <w:p w14:paraId="34FC4166" w14:textId="77777777" w:rsidR="00271859" w:rsidRDefault="00271859" w:rsidP="00271859">
      <w:pPr>
        <w:tabs>
          <w:tab w:val="left" w:pos="0"/>
        </w:tabs>
        <w:rPr>
          <w:rFonts w:cs="Arial"/>
          <w:szCs w:val="24"/>
        </w:rPr>
      </w:pPr>
    </w:p>
    <w:p w14:paraId="4C65A718" w14:textId="2883C69E" w:rsidR="00271859" w:rsidRDefault="00271859" w:rsidP="00303F09">
      <w:pPr>
        <w:tabs>
          <w:tab w:val="left" w:pos="0"/>
        </w:tabs>
        <w:jc w:val="both"/>
        <w:rPr>
          <w:rFonts w:cs="Arial"/>
          <w:szCs w:val="24"/>
        </w:rPr>
      </w:pPr>
      <w:r>
        <w:rPr>
          <w:rFonts w:cs="Arial"/>
          <w:szCs w:val="24"/>
        </w:rPr>
        <w:t xml:space="preserve">On 6 December 2018, Judge Salvatore Paul Vasta (“Judge Vasta”), constituting the Federal Circuit Court (as it was then known) in Brisbane, declared a litigant known by the pseudonym of “Mr Stradford” in contempt of certain orders made by the Court and sentenced him to a period of imprisonment of 12 months.  A written order was issued which was attached to a Warrant of Commitment.  MSS Security Pty Ltd (“MSS”) was engaged by the Commonwealth to provide security-related services at the Federal Circuit Court in Brisbane.  Two guards employed by MSS took custody of Mr Stradford for around 30 minutes until he was handed over to </w:t>
      </w:r>
      <w:r w:rsidR="00E97535">
        <w:rPr>
          <w:rFonts w:cs="Arial"/>
          <w:szCs w:val="24"/>
        </w:rPr>
        <w:br/>
      </w:r>
      <w:r>
        <w:rPr>
          <w:rFonts w:cs="Arial"/>
          <w:szCs w:val="24"/>
        </w:rPr>
        <w:t xml:space="preserve">Queensland Police officers.  Mr Stradford was then taken by Queensland Police officers to the Roma Street Watchhouse until 10 December, when he was delivered to the Brisbane Correctional Centre and into the custody of the Commissioner of Queensland Corrective Services.   On 12 December 2018, Mr Stradford was released from custody when the imprisonment order and warrant were stayed </w:t>
      </w:r>
      <w:r w:rsidR="00E97535">
        <w:rPr>
          <w:rFonts w:cs="Arial"/>
          <w:szCs w:val="24"/>
        </w:rPr>
        <w:br/>
      </w:r>
      <w:r>
        <w:rPr>
          <w:rFonts w:cs="Arial"/>
          <w:szCs w:val="24"/>
        </w:rPr>
        <w:t xml:space="preserve">(by Judge Vasta), pending an appeal to the Full Court of the Family Court of Australia (as it was then known).  In February 2019, the Full Court allowed </w:t>
      </w:r>
      <w:r w:rsidR="00E97535">
        <w:rPr>
          <w:rFonts w:cs="Arial"/>
          <w:szCs w:val="24"/>
        </w:rPr>
        <w:br/>
      </w:r>
      <w:r>
        <w:rPr>
          <w:rFonts w:cs="Arial"/>
          <w:szCs w:val="24"/>
        </w:rPr>
        <w:t xml:space="preserve">Mr Stradford’s appeal. </w:t>
      </w:r>
    </w:p>
    <w:p w14:paraId="72C810AB" w14:textId="77777777" w:rsidR="00271859" w:rsidRDefault="00271859" w:rsidP="00303F09">
      <w:pPr>
        <w:tabs>
          <w:tab w:val="left" w:pos="0"/>
        </w:tabs>
        <w:jc w:val="both"/>
        <w:rPr>
          <w:rFonts w:cs="Arial"/>
          <w:szCs w:val="24"/>
        </w:rPr>
      </w:pPr>
    </w:p>
    <w:p w14:paraId="00345EDF" w14:textId="4A702A3A" w:rsidR="00271859" w:rsidRDefault="00271859" w:rsidP="00303F09">
      <w:pPr>
        <w:tabs>
          <w:tab w:val="left" w:pos="0"/>
        </w:tabs>
        <w:jc w:val="both"/>
        <w:rPr>
          <w:rFonts w:cs="Arial"/>
          <w:szCs w:val="24"/>
        </w:rPr>
      </w:pPr>
      <w:r>
        <w:rPr>
          <w:rFonts w:cs="Arial"/>
          <w:szCs w:val="24"/>
        </w:rPr>
        <w:t xml:space="preserve">Mr Stradford then sued Judge Vasta, the Commonwealth and the </w:t>
      </w:r>
      <w:r w:rsidR="000D2C5B">
        <w:rPr>
          <w:rFonts w:cs="Arial"/>
          <w:szCs w:val="24"/>
        </w:rPr>
        <w:br/>
      </w:r>
      <w:r>
        <w:rPr>
          <w:rFonts w:cs="Arial"/>
          <w:szCs w:val="24"/>
        </w:rPr>
        <w:t>State of Queensland (“Queensland”) in the Federal Court, alleging that Judge Vasta had committed the torts of false imprisonment and collateral abuse of process and that the Commonwealth and Queensland were vicariously liable for the actions of their officers in detaining him.</w:t>
      </w:r>
    </w:p>
    <w:p w14:paraId="7428301B" w14:textId="77777777" w:rsidR="00271859" w:rsidRDefault="00271859" w:rsidP="00303F09">
      <w:pPr>
        <w:tabs>
          <w:tab w:val="left" w:pos="0"/>
        </w:tabs>
        <w:jc w:val="both"/>
        <w:rPr>
          <w:rFonts w:cs="Arial"/>
          <w:szCs w:val="24"/>
          <w:u w:val="single"/>
        </w:rPr>
      </w:pPr>
    </w:p>
    <w:p w14:paraId="44CA6443" w14:textId="34ED77A6" w:rsidR="00271859" w:rsidRDefault="00271859" w:rsidP="00303F09">
      <w:pPr>
        <w:tabs>
          <w:tab w:val="left" w:pos="0"/>
        </w:tabs>
        <w:jc w:val="both"/>
        <w:rPr>
          <w:rFonts w:cs="Arial"/>
          <w:szCs w:val="24"/>
        </w:rPr>
      </w:pPr>
      <w:r>
        <w:rPr>
          <w:rFonts w:cs="Arial"/>
          <w:szCs w:val="24"/>
        </w:rPr>
        <w:t xml:space="preserve">At trial, Queensland argued that no liability attached to either the Queensland Police Service or Queensland Corrective Services (and therefore to Queensland) because the common law did not impose tortious liability on persons acting in obedience to a Warrant of Commitment and imprisonment; and further, that section 249 of the </w:t>
      </w:r>
      <w:r w:rsidRPr="009F1A9C">
        <w:rPr>
          <w:rFonts w:cs="Arial"/>
          <w:i/>
          <w:iCs/>
          <w:szCs w:val="24"/>
        </w:rPr>
        <w:t xml:space="preserve">Criminal Code </w:t>
      </w:r>
      <w:r w:rsidRPr="00BD3297">
        <w:rPr>
          <w:rFonts w:cs="Arial"/>
          <w:szCs w:val="24"/>
        </w:rPr>
        <w:t>(Qld)</w:t>
      </w:r>
      <w:r>
        <w:rPr>
          <w:rFonts w:cs="Arial"/>
          <w:szCs w:val="24"/>
        </w:rPr>
        <w:t xml:space="preserve"> (“the Qld Code”) rendered the conduct of the officers lawful and so provided a statutory defence.</w:t>
      </w:r>
    </w:p>
    <w:p w14:paraId="23752825" w14:textId="77777777" w:rsidR="00271859" w:rsidRPr="009F1A9C" w:rsidRDefault="00271859" w:rsidP="00303F09">
      <w:pPr>
        <w:tabs>
          <w:tab w:val="left" w:pos="0"/>
        </w:tabs>
        <w:jc w:val="both"/>
        <w:rPr>
          <w:rFonts w:cs="Arial"/>
          <w:szCs w:val="24"/>
        </w:rPr>
      </w:pPr>
    </w:p>
    <w:p w14:paraId="6091EA0F" w14:textId="1513FBC7" w:rsidR="00271859" w:rsidRDefault="00271859" w:rsidP="00303F09">
      <w:pPr>
        <w:tabs>
          <w:tab w:val="left" w:pos="0"/>
        </w:tabs>
        <w:jc w:val="both"/>
        <w:rPr>
          <w:rFonts w:cs="Arial"/>
          <w:szCs w:val="24"/>
        </w:rPr>
      </w:pPr>
      <w:r>
        <w:rPr>
          <w:rFonts w:cs="Arial"/>
          <w:szCs w:val="24"/>
        </w:rPr>
        <w:t xml:space="preserve">The primary judge held Queensland liable </w:t>
      </w:r>
      <w:r w:rsidRPr="00D1187A">
        <w:rPr>
          <w:rFonts w:cs="Arial"/>
          <w:szCs w:val="24"/>
        </w:rPr>
        <w:t>for</w:t>
      </w:r>
      <w:r w:rsidRPr="00381A59">
        <w:rPr>
          <w:rFonts w:cs="Arial"/>
          <w:color w:val="FF0000"/>
          <w:szCs w:val="24"/>
        </w:rPr>
        <w:t xml:space="preserve"> </w:t>
      </w:r>
      <w:r>
        <w:rPr>
          <w:rFonts w:cs="Arial"/>
          <w:szCs w:val="24"/>
        </w:rPr>
        <w:t>false imprisonment, finding that no defence was available to the Queensland officers at common law and that s 249 of the Qld Code did not apply to warrants issued by federal courts, so that the statutory defence provided by s 249 was not available to them.</w:t>
      </w:r>
    </w:p>
    <w:p w14:paraId="58CD1A63" w14:textId="77777777" w:rsidR="00271859" w:rsidRDefault="00271859" w:rsidP="00303F09">
      <w:pPr>
        <w:tabs>
          <w:tab w:val="left" w:pos="0"/>
        </w:tabs>
        <w:jc w:val="both"/>
        <w:rPr>
          <w:rFonts w:cs="Arial"/>
          <w:szCs w:val="24"/>
        </w:rPr>
      </w:pPr>
    </w:p>
    <w:p w14:paraId="4F7A391B" w14:textId="3AAEC2AB" w:rsidR="00271859" w:rsidRDefault="00271859" w:rsidP="00303F09">
      <w:pPr>
        <w:tabs>
          <w:tab w:val="left" w:pos="0"/>
        </w:tabs>
        <w:jc w:val="both"/>
        <w:rPr>
          <w:rFonts w:cs="Arial"/>
          <w:szCs w:val="24"/>
        </w:rPr>
      </w:pPr>
      <w:r>
        <w:rPr>
          <w:rFonts w:cs="Arial"/>
          <w:szCs w:val="24"/>
        </w:rPr>
        <w:t xml:space="preserve">The Commonwealth submitted that on the proper construction of s 17(1) of the </w:t>
      </w:r>
      <w:r w:rsidRPr="000571FA">
        <w:rPr>
          <w:rFonts w:cs="Arial"/>
          <w:i/>
          <w:iCs/>
          <w:szCs w:val="24"/>
        </w:rPr>
        <w:t>Federal</w:t>
      </w:r>
      <w:r w:rsidRPr="00932E4C">
        <w:rPr>
          <w:rFonts w:cs="Arial"/>
          <w:i/>
          <w:iCs/>
          <w:szCs w:val="24"/>
        </w:rPr>
        <w:t xml:space="preserve"> Circuit Court of Australia Act</w:t>
      </w:r>
      <w:r>
        <w:rPr>
          <w:rFonts w:cs="Arial"/>
          <w:szCs w:val="24"/>
        </w:rPr>
        <w:t xml:space="preserve"> </w:t>
      </w:r>
      <w:r w:rsidRPr="00C245CD">
        <w:rPr>
          <w:rFonts w:cs="Arial"/>
          <w:i/>
          <w:iCs/>
          <w:szCs w:val="24"/>
        </w:rPr>
        <w:t>1999</w:t>
      </w:r>
      <w:r>
        <w:rPr>
          <w:rFonts w:cs="Arial"/>
          <w:szCs w:val="24"/>
        </w:rPr>
        <w:t xml:space="preserve"> (Cth) (“the FCCA Act”), Judge Vasta’s orders provided the necessary authority for the MSS guards to detain Mr Stradford.  This was because, although those orders were affected by serious errors, they were valid until set aside and they had not been set aside at the time the detention by MSS occurred.  The primary judge concluded that s 17 did not give contempt orders of the Federal Circuit Court the attribute of being valid until set aside.</w:t>
      </w:r>
    </w:p>
    <w:p w14:paraId="1DEAD19D" w14:textId="77777777" w:rsidR="00271859" w:rsidRDefault="00271859" w:rsidP="00303F09">
      <w:pPr>
        <w:tabs>
          <w:tab w:val="left" w:pos="0"/>
        </w:tabs>
        <w:jc w:val="both"/>
        <w:rPr>
          <w:rFonts w:cs="Arial"/>
          <w:szCs w:val="24"/>
        </w:rPr>
      </w:pPr>
      <w:r>
        <w:rPr>
          <w:rFonts w:cs="Arial"/>
          <w:szCs w:val="24"/>
        </w:rPr>
        <w:lastRenderedPageBreak/>
        <w:t xml:space="preserve">When staying the orders pending an appeal to the Full Court, Judge Vasta effectively conceded that he had erred both in finding Mr Stradford was in contempt and in sentencing him to imprisonment.  Before the primary judge in the false imprisonment claim, Judge Vasta submitted that he was protected by judicial immunity and that the Court should hold that there was no difference between the judicial immunity afforded to inferior and superior court judges. </w:t>
      </w:r>
    </w:p>
    <w:p w14:paraId="547843AF" w14:textId="77777777" w:rsidR="00271859" w:rsidRDefault="00271859" w:rsidP="00303F09">
      <w:pPr>
        <w:tabs>
          <w:tab w:val="left" w:pos="0"/>
        </w:tabs>
        <w:jc w:val="both"/>
        <w:rPr>
          <w:rFonts w:cs="Arial"/>
          <w:szCs w:val="24"/>
        </w:rPr>
      </w:pPr>
    </w:p>
    <w:p w14:paraId="24C96DA3" w14:textId="4A265B4D" w:rsidR="00271859" w:rsidRDefault="00271859" w:rsidP="00303F09">
      <w:pPr>
        <w:tabs>
          <w:tab w:val="left" w:pos="0"/>
        </w:tabs>
        <w:jc w:val="both"/>
        <w:rPr>
          <w:rFonts w:cs="Arial"/>
          <w:szCs w:val="24"/>
        </w:rPr>
      </w:pPr>
      <w:r>
        <w:rPr>
          <w:rFonts w:cs="Arial"/>
          <w:szCs w:val="24"/>
        </w:rPr>
        <w:t xml:space="preserve">The primary judge held that Judge Vasta had committed </w:t>
      </w:r>
      <w:proofErr w:type="gramStart"/>
      <w:r>
        <w:rPr>
          <w:rFonts w:cs="Arial"/>
          <w:szCs w:val="24"/>
        </w:rPr>
        <w:t>a number of</w:t>
      </w:r>
      <w:proofErr w:type="gramEnd"/>
      <w:r>
        <w:rPr>
          <w:rFonts w:cs="Arial"/>
          <w:szCs w:val="24"/>
        </w:rPr>
        <w:t xml:space="preserve"> errors and that he was not protected by judicial immunity.  </w:t>
      </w:r>
      <w:r w:rsidRPr="00156DDD">
        <w:rPr>
          <w:rFonts w:cs="Arial"/>
          <w:szCs w:val="24"/>
        </w:rPr>
        <w:t>The primary judge found that because the contempt orders were made by an inferior court, they could not be considered as valid until such time as they might be set aside.</w:t>
      </w:r>
      <w:r>
        <w:rPr>
          <w:rFonts w:cs="Arial"/>
          <w:szCs w:val="24"/>
        </w:rPr>
        <w:t xml:space="preserve">  He held that s 17 of the FCCA Act did not apply and that in any event it did not make the orders valid until set aside, or confer the judicial immunity of a superior court judge on </w:t>
      </w:r>
      <w:r w:rsidR="005059D7">
        <w:rPr>
          <w:rFonts w:cs="Arial"/>
          <w:szCs w:val="24"/>
        </w:rPr>
        <w:br/>
      </w:r>
      <w:r>
        <w:rPr>
          <w:rFonts w:cs="Arial"/>
          <w:szCs w:val="24"/>
        </w:rPr>
        <w:t>Judge Vasta.</w:t>
      </w:r>
    </w:p>
    <w:p w14:paraId="5E7FD09E" w14:textId="77777777" w:rsidR="00271859" w:rsidRDefault="00271859" w:rsidP="00303F09">
      <w:pPr>
        <w:tabs>
          <w:tab w:val="left" w:pos="0"/>
        </w:tabs>
        <w:jc w:val="both"/>
        <w:rPr>
          <w:rFonts w:cs="Arial"/>
          <w:szCs w:val="24"/>
        </w:rPr>
      </w:pPr>
    </w:p>
    <w:p w14:paraId="68732566" w14:textId="0476A73C" w:rsidR="00271859" w:rsidRDefault="00271859" w:rsidP="00303F09">
      <w:pPr>
        <w:tabs>
          <w:tab w:val="left" w:pos="0"/>
        </w:tabs>
        <w:jc w:val="both"/>
        <w:rPr>
          <w:rFonts w:cs="Arial"/>
          <w:szCs w:val="24"/>
        </w:rPr>
      </w:pPr>
      <w:r>
        <w:rPr>
          <w:rFonts w:cs="Arial"/>
          <w:szCs w:val="24"/>
        </w:rPr>
        <w:t>Each of the respondents to Mr Stradford’s claims in the Federal Court filed a notice of appeal in the Full Court of the Federal Court.  Applications for removal into the High Court of those three pending appeals were filed by the Attorney-General of the Commonwealth and the Attorney-General of the State of Queensland respectively.  Orders for removal were made in each matter.</w:t>
      </w:r>
    </w:p>
    <w:p w14:paraId="246E9864" w14:textId="77777777" w:rsidR="00271859" w:rsidRDefault="00271859" w:rsidP="00303F09">
      <w:pPr>
        <w:tabs>
          <w:tab w:val="left" w:pos="0"/>
        </w:tabs>
        <w:jc w:val="both"/>
        <w:rPr>
          <w:rFonts w:cs="Arial"/>
          <w:szCs w:val="24"/>
        </w:rPr>
      </w:pPr>
    </w:p>
    <w:p w14:paraId="41D9021B" w14:textId="77777777" w:rsidR="00271859" w:rsidRDefault="00271859" w:rsidP="00303F09">
      <w:pPr>
        <w:tabs>
          <w:tab w:val="left" w:pos="0"/>
        </w:tabs>
        <w:jc w:val="both"/>
        <w:rPr>
          <w:rFonts w:cs="Arial"/>
          <w:szCs w:val="24"/>
        </w:rPr>
      </w:pPr>
      <w:r>
        <w:rPr>
          <w:rFonts w:cs="Arial"/>
          <w:szCs w:val="24"/>
        </w:rPr>
        <w:t>The Attorney-General for the State of South Australia has been granted leave to intervene in each appeal, generally in support of Queensland and the Commonwealth.</w:t>
      </w:r>
    </w:p>
    <w:p w14:paraId="3D328E1D" w14:textId="77777777" w:rsidR="00271859" w:rsidRDefault="00271859" w:rsidP="00303F09">
      <w:pPr>
        <w:tabs>
          <w:tab w:val="left" w:pos="0"/>
        </w:tabs>
        <w:jc w:val="both"/>
        <w:rPr>
          <w:rFonts w:cs="Arial"/>
          <w:szCs w:val="24"/>
        </w:rPr>
      </w:pPr>
    </w:p>
    <w:p w14:paraId="5782D33D" w14:textId="77777777" w:rsidR="00271859" w:rsidRPr="005D5EE1" w:rsidRDefault="00271859" w:rsidP="00303F09">
      <w:pPr>
        <w:tabs>
          <w:tab w:val="left" w:pos="0"/>
        </w:tabs>
        <w:jc w:val="both"/>
        <w:rPr>
          <w:rFonts w:cs="Arial"/>
          <w:szCs w:val="24"/>
        </w:rPr>
      </w:pPr>
      <w:r>
        <w:rPr>
          <w:rFonts w:cs="Arial"/>
          <w:szCs w:val="24"/>
        </w:rPr>
        <w:t>In the appeal brought by Queensland, t</w:t>
      </w:r>
      <w:r w:rsidRPr="005D5EE1">
        <w:rPr>
          <w:rFonts w:cs="Arial"/>
          <w:szCs w:val="24"/>
        </w:rPr>
        <w:t>he grounds of appeal include:</w:t>
      </w:r>
    </w:p>
    <w:p w14:paraId="50EEA9CB" w14:textId="77777777" w:rsidR="00271859" w:rsidRPr="006C12DD" w:rsidRDefault="00271859" w:rsidP="00303F09">
      <w:pPr>
        <w:tabs>
          <w:tab w:val="left" w:pos="0"/>
        </w:tabs>
        <w:jc w:val="both"/>
        <w:rPr>
          <w:rFonts w:cs="Arial"/>
          <w:b/>
          <w:bCs/>
          <w:szCs w:val="24"/>
          <w:u w:val="single"/>
        </w:rPr>
      </w:pPr>
    </w:p>
    <w:p w14:paraId="6EF4BA64" w14:textId="3C8962DA" w:rsidR="00271859" w:rsidRDefault="00271859" w:rsidP="00303F09">
      <w:pPr>
        <w:pStyle w:val="ListParagraph"/>
        <w:numPr>
          <w:ilvl w:val="0"/>
          <w:numId w:val="11"/>
        </w:numPr>
        <w:autoSpaceDE w:val="0"/>
        <w:autoSpaceDN w:val="0"/>
        <w:adjustRightInd w:val="0"/>
        <w:ind w:left="426" w:hanging="426"/>
        <w:rPr>
          <w:rFonts w:cs="Arial"/>
          <w:szCs w:val="24"/>
          <w:lang w:val="en-AU"/>
        </w:rPr>
      </w:pPr>
      <w:r w:rsidRPr="00B408BE">
        <w:rPr>
          <w:rFonts w:cs="Arial"/>
          <w:szCs w:val="24"/>
          <w:lang w:val="en-AU"/>
        </w:rPr>
        <w:t xml:space="preserve">The Primary Judge erred in not finding that the State of Queensland and its agents were afforded protection at common law from civil liability, </w:t>
      </w:r>
      <w:r w:rsidR="005059D7">
        <w:rPr>
          <w:rFonts w:cs="Arial"/>
          <w:szCs w:val="24"/>
          <w:lang w:val="en-AU"/>
        </w:rPr>
        <w:br/>
      </w:r>
      <w:r w:rsidRPr="00B408BE">
        <w:rPr>
          <w:rFonts w:cs="Arial"/>
          <w:szCs w:val="24"/>
          <w:lang w:val="en-AU"/>
        </w:rPr>
        <w:t>in circumstances in which they acted in obedience to an order for imprisonment and a warrant issued by the Federal Circuit Court, and both the order and warrant appeared lawful on their face.</w:t>
      </w:r>
    </w:p>
    <w:p w14:paraId="3D9F92E0" w14:textId="77777777" w:rsidR="00271859" w:rsidRPr="00B408BE" w:rsidRDefault="00271859" w:rsidP="00303F09">
      <w:pPr>
        <w:pStyle w:val="ListParagraph"/>
        <w:autoSpaceDE w:val="0"/>
        <w:autoSpaceDN w:val="0"/>
        <w:adjustRightInd w:val="0"/>
        <w:ind w:left="360"/>
        <w:rPr>
          <w:rFonts w:cs="Arial"/>
          <w:szCs w:val="24"/>
          <w:lang w:val="en-AU"/>
        </w:rPr>
      </w:pPr>
    </w:p>
    <w:p w14:paraId="2DD281A7" w14:textId="6C549073" w:rsidR="00271859" w:rsidRPr="00663C20" w:rsidRDefault="00271859" w:rsidP="00303F09">
      <w:pPr>
        <w:pStyle w:val="ListParagraph"/>
        <w:numPr>
          <w:ilvl w:val="0"/>
          <w:numId w:val="11"/>
        </w:numPr>
        <w:autoSpaceDE w:val="0"/>
        <w:autoSpaceDN w:val="0"/>
        <w:adjustRightInd w:val="0"/>
        <w:ind w:left="426" w:hanging="426"/>
        <w:rPr>
          <w:rFonts w:cs="Arial"/>
          <w:i/>
          <w:iCs/>
          <w:szCs w:val="24"/>
          <w:lang w:val="en-AU"/>
        </w:rPr>
      </w:pPr>
      <w:r w:rsidRPr="00B408BE">
        <w:rPr>
          <w:rFonts w:cs="Arial"/>
          <w:szCs w:val="24"/>
          <w:lang w:val="en-AU"/>
        </w:rPr>
        <w:t xml:space="preserve">The Primary Judge erred in holding that, as a matter of construction, </w:t>
      </w:r>
      <w:r w:rsidRPr="00284B6F">
        <w:rPr>
          <w:rFonts w:cs="Arial"/>
          <w:szCs w:val="24"/>
          <w:lang w:val="en-AU"/>
        </w:rPr>
        <w:t xml:space="preserve">s 249 of the </w:t>
      </w:r>
      <w:r w:rsidRPr="00284B6F">
        <w:rPr>
          <w:rFonts w:cs="Arial"/>
          <w:i/>
          <w:iCs/>
          <w:szCs w:val="24"/>
          <w:lang w:val="en-AU"/>
        </w:rPr>
        <w:t xml:space="preserve">Criminal Code </w:t>
      </w:r>
      <w:r w:rsidRPr="00284B6F">
        <w:rPr>
          <w:rFonts w:cs="Arial"/>
          <w:szCs w:val="24"/>
          <w:lang w:val="en-AU"/>
        </w:rPr>
        <w:t>(Q</w:t>
      </w:r>
      <w:r>
        <w:rPr>
          <w:rFonts w:cs="Arial"/>
          <w:szCs w:val="24"/>
          <w:lang w:val="en-AU"/>
        </w:rPr>
        <w:t>ld</w:t>
      </w:r>
      <w:r w:rsidRPr="00284B6F">
        <w:rPr>
          <w:rFonts w:cs="Arial"/>
          <w:szCs w:val="24"/>
          <w:lang w:val="en-AU"/>
        </w:rPr>
        <w:t>) did not apply to a warrant issued by the Federal Circuit Court.</w:t>
      </w:r>
    </w:p>
    <w:p w14:paraId="7FC4BB2E" w14:textId="77777777" w:rsidR="00271859" w:rsidRPr="00663C20" w:rsidRDefault="00271859" w:rsidP="00303F09">
      <w:pPr>
        <w:pStyle w:val="ListParagraph"/>
        <w:rPr>
          <w:rFonts w:cs="Arial"/>
          <w:i/>
          <w:iCs/>
          <w:szCs w:val="24"/>
          <w:lang w:val="en-AU"/>
        </w:rPr>
      </w:pPr>
    </w:p>
    <w:p w14:paraId="394DD9E9" w14:textId="77777777" w:rsidR="00271859" w:rsidRPr="00901F88" w:rsidRDefault="00271859" w:rsidP="00303F09">
      <w:pPr>
        <w:autoSpaceDE w:val="0"/>
        <w:autoSpaceDN w:val="0"/>
        <w:adjustRightInd w:val="0"/>
        <w:jc w:val="both"/>
        <w:rPr>
          <w:rFonts w:cs="Arial"/>
          <w:szCs w:val="24"/>
          <w:lang w:val="en-AU"/>
        </w:rPr>
      </w:pPr>
      <w:r>
        <w:rPr>
          <w:rFonts w:cs="Arial"/>
          <w:szCs w:val="24"/>
          <w:lang w:val="en-AU"/>
        </w:rPr>
        <w:t>In the appeal brought by the Commonwealth, t</w:t>
      </w:r>
      <w:r w:rsidRPr="00901F88">
        <w:rPr>
          <w:rFonts w:cs="Arial"/>
          <w:szCs w:val="24"/>
          <w:lang w:val="en-AU"/>
        </w:rPr>
        <w:t xml:space="preserve">he grounds of appeal include: </w:t>
      </w:r>
    </w:p>
    <w:p w14:paraId="7AAD7F68" w14:textId="77777777" w:rsidR="00271859" w:rsidRPr="00AD39AA" w:rsidRDefault="00271859" w:rsidP="00303F09">
      <w:pPr>
        <w:autoSpaceDE w:val="0"/>
        <w:autoSpaceDN w:val="0"/>
        <w:adjustRightInd w:val="0"/>
        <w:jc w:val="both"/>
        <w:rPr>
          <w:rFonts w:cs="Arial"/>
          <w:b/>
          <w:bCs/>
          <w:szCs w:val="24"/>
          <w:lang w:val="en-AU"/>
        </w:rPr>
      </w:pPr>
    </w:p>
    <w:p w14:paraId="6CFDA8B9" w14:textId="77777777" w:rsidR="00271859" w:rsidRDefault="00271859" w:rsidP="00303F09">
      <w:pPr>
        <w:pStyle w:val="ListParagraph"/>
        <w:numPr>
          <w:ilvl w:val="0"/>
          <w:numId w:val="12"/>
        </w:numPr>
        <w:autoSpaceDE w:val="0"/>
        <w:autoSpaceDN w:val="0"/>
        <w:adjustRightInd w:val="0"/>
        <w:ind w:left="426" w:hanging="426"/>
        <w:rPr>
          <w:rFonts w:cs="Arial"/>
          <w:szCs w:val="24"/>
          <w:lang w:val="en-AU"/>
        </w:rPr>
      </w:pPr>
      <w:r w:rsidRPr="00B408BE">
        <w:rPr>
          <w:rFonts w:cs="Arial"/>
          <w:szCs w:val="24"/>
          <w:lang w:val="en-AU"/>
        </w:rPr>
        <w:t>The primary judge erred:</w:t>
      </w:r>
    </w:p>
    <w:p w14:paraId="5A3EA96E" w14:textId="77777777" w:rsidR="00271859" w:rsidRPr="00B408BE" w:rsidRDefault="00271859" w:rsidP="00303F09">
      <w:pPr>
        <w:pStyle w:val="ListParagraph"/>
        <w:autoSpaceDE w:val="0"/>
        <w:autoSpaceDN w:val="0"/>
        <w:adjustRightInd w:val="0"/>
        <w:ind w:left="426"/>
        <w:rPr>
          <w:rFonts w:cs="Arial"/>
          <w:szCs w:val="24"/>
          <w:lang w:val="en-AU"/>
        </w:rPr>
      </w:pPr>
    </w:p>
    <w:p w14:paraId="30F6D447" w14:textId="77777777" w:rsidR="00271859" w:rsidRDefault="00271859" w:rsidP="00303F09">
      <w:pPr>
        <w:pStyle w:val="ListParagraph"/>
        <w:numPr>
          <w:ilvl w:val="1"/>
          <w:numId w:val="12"/>
        </w:numPr>
        <w:autoSpaceDE w:val="0"/>
        <w:autoSpaceDN w:val="0"/>
        <w:adjustRightInd w:val="0"/>
        <w:ind w:left="851" w:hanging="425"/>
        <w:rPr>
          <w:rFonts w:cs="Arial"/>
          <w:szCs w:val="24"/>
          <w:lang w:val="en-AU"/>
        </w:rPr>
      </w:pPr>
      <w:r w:rsidRPr="00B57DAD">
        <w:rPr>
          <w:rFonts w:cs="Arial"/>
          <w:szCs w:val="24"/>
          <w:lang w:val="en-AU"/>
        </w:rPr>
        <w:t xml:space="preserve">in concluding that orders of an inferior court affected by jurisdictional error were invalid </w:t>
      </w:r>
      <w:r w:rsidRPr="00B57DAD">
        <w:rPr>
          <w:rFonts w:cs="Arial"/>
          <w:i/>
          <w:iCs/>
          <w:szCs w:val="24"/>
          <w:lang w:val="en-AU"/>
        </w:rPr>
        <w:t>ab initio</w:t>
      </w:r>
      <w:r w:rsidRPr="00B57DAD">
        <w:rPr>
          <w:rFonts w:cs="Arial"/>
          <w:szCs w:val="24"/>
          <w:lang w:val="en-AU"/>
        </w:rPr>
        <w:t xml:space="preserve"> for all </w:t>
      </w:r>
      <w:proofErr w:type="gramStart"/>
      <w:r w:rsidRPr="00B57DAD">
        <w:rPr>
          <w:rFonts w:cs="Arial"/>
          <w:szCs w:val="24"/>
          <w:lang w:val="en-AU"/>
        </w:rPr>
        <w:t>purposes;</w:t>
      </w:r>
      <w:proofErr w:type="gramEnd"/>
    </w:p>
    <w:p w14:paraId="083A702D" w14:textId="77777777" w:rsidR="00271859" w:rsidRPr="00B57DAD" w:rsidRDefault="00271859" w:rsidP="00303F09">
      <w:pPr>
        <w:pStyle w:val="ListParagraph"/>
        <w:autoSpaceDE w:val="0"/>
        <w:autoSpaceDN w:val="0"/>
        <w:adjustRightInd w:val="0"/>
        <w:ind w:left="851"/>
        <w:rPr>
          <w:rFonts w:cs="Arial"/>
          <w:szCs w:val="24"/>
          <w:lang w:val="en-AU"/>
        </w:rPr>
      </w:pPr>
    </w:p>
    <w:p w14:paraId="44EE33A8" w14:textId="7DA222C7" w:rsidR="00271859" w:rsidRDefault="00271859" w:rsidP="00303F09">
      <w:pPr>
        <w:pStyle w:val="ListParagraph"/>
        <w:numPr>
          <w:ilvl w:val="1"/>
          <w:numId w:val="12"/>
        </w:numPr>
        <w:autoSpaceDE w:val="0"/>
        <w:autoSpaceDN w:val="0"/>
        <w:adjustRightInd w:val="0"/>
        <w:ind w:left="851" w:hanging="425"/>
        <w:rPr>
          <w:rFonts w:cs="Arial"/>
          <w:szCs w:val="24"/>
          <w:lang w:val="en-AU"/>
        </w:rPr>
      </w:pPr>
      <w:r w:rsidRPr="00B57DAD">
        <w:rPr>
          <w:rFonts w:cs="Arial"/>
          <w:szCs w:val="24"/>
          <w:lang w:val="en-AU"/>
        </w:rPr>
        <w:t xml:space="preserve">in concluding that s 17 of the </w:t>
      </w:r>
      <w:r w:rsidRPr="00B57DAD">
        <w:rPr>
          <w:rFonts w:cs="Arial"/>
          <w:i/>
          <w:iCs/>
          <w:szCs w:val="24"/>
          <w:lang w:val="en-AU"/>
        </w:rPr>
        <w:t xml:space="preserve">Federal Circuit Court of Australia Act, </w:t>
      </w:r>
      <w:r w:rsidR="005059D7">
        <w:rPr>
          <w:rFonts w:cs="Arial"/>
          <w:i/>
          <w:iCs/>
          <w:szCs w:val="24"/>
          <w:lang w:val="en-AU"/>
        </w:rPr>
        <w:br/>
      </w:r>
      <w:r w:rsidRPr="00B57DAD">
        <w:rPr>
          <w:rFonts w:cs="Arial"/>
          <w:szCs w:val="24"/>
          <w:lang w:val="en-AU"/>
        </w:rPr>
        <w:t xml:space="preserve">if available, did not confer a power to make orders which were valid until set </w:t>
      </w:r>
      <w:proofErr w:type="gramStart"/>
      <w:r w:rsidRPr="00B57DAD">
        <w:rPr>
          <w:rFonts w:cs="Arial"/>
          <w:szCs w:val="24"/>
          <w:lang w:val="en-AU"/>
        </w:rPr>
        <w:t>aside;</w:t>
      </w:r>
      <w:proofErr w:type="gramEnd"/>
      <w:r w:rsidRPr="00B57DAD">
        <w:rPr>
          <w:rFonts w:cs="Arial"/>
          <w:szCs w:val="24"/>
          <w:lang w:val="en-AU"/>
        </w:rPr>
        <w:t xml:space="preserve"> </w:t>
      </w:r>
    </w:p>
    <w:p w14:paraId="01408E8C" w14:textId="77777777" w:rsidR="00271859" w:rsidRPr="0035727A" w:rsidRDefault="00271859" w:rsidP="00303F09">
      <w:pPr>
        <w:autoSpaceDE w:val="0"/>
        <w:autoSpaceDN w:val="0"/>
        <w:adjustRightInd w:val="0"/>
        <w:jc w:val="both"/>
        <w:rPr>
          <w:rFonts w:cs="Arial"/>
          <w:szCs w:val="24"/>
          <w:lang w:val="en-AU"/>
        </w:rPr>
      </w:pPr>
    </w:p>
    <w:p w14:paraId="24A95486" w14:textId="77777777" w:rsidR="00271859" w:rsidRDefault="00271859" w:rsidP="00303F09">
      <w:pPr>
        <w:pStyle w:val="ListParagraph"/>
        <w:numPr>
          <w:ilvl w:val="1"/>
          <w:numId w:val="12"/>
        </w:numPr>
        <w:autoSpaceDE w:val="0"/>
        <w:autoSpaceDN w:val="0"/>
        <w:adjustRightInd w:val="0"/>
        <w:ind w:left="851" w:hanging="425"/>
        <w:rPr>
          <w:rFonts w:cs="Arial"/>
          <w:szCs w:val="24"/>
          <w:lang w:val="en-AU"/>
        </w:rPr>
      </w:pPr>
      <w:r w:rsidRPr="00B57DAD">
        <w:rPr>
          <w:rFonts w:cs="Arial"/>
          <w:szCs w:val="24"/>
          <w:lang w:val="en-AU"/>
        </w:rPr>
        <w:t xml:space="preserve">in failing to conclude that Judge Vasta’s orders were "valid" prior to being set aside, at least to the extent of supplying a defence to the Commonwealth’s asserted </w:t>
      </w:r>
      <w:proofErr w:type="gramStart"/>
      <w:r w:rsidRPr="00B57DAD">
        <w:rPr>
          <w:rFonts w:cs="Arial"/>
          <w:szCs w:val="24"/>
          <w:lang w:val="en-AU"/>
        </w:rPr>
        <w:t>torts;</w:t>
      </w:r>
      <w:proofErr w:type="gramEnd"/>
    </w:p>
    <w:p w14:paraId="0F1C4CFC" w14:textId="77777777" w:rsidR="00271859" w:rsidRPr="0035727A" w:rsidRDefault="00271859" w:rsidP="00303F09">
      <w:pPr>
        <w:autoSpaceDE w:val="0"/>
        <w:autoSpaceDN w:val="0"/>
        <w:adjustRightInd w:val="0"/>
        <w:jc w:val="both"/>
        <w:rPr>
          <w:rFonts w:cs="Arial"/>
          <w:szCs w:val="24"/>
          <w:lang w:val="en-AU"/>
        </w:rPr>
      </w:pPr>
    </w:p>
    <w:p w14:paraId="4BC21648" w14:textId="77777777" w:rsidR="00271859" w:rsidRDefault="00271859" w:rsidP="00303F09">
      <w:pPr>
        <w:pStyle w:val="ListParagraph"/>
        <w:numPr>
          <w:ilvl w:val="1"/>
          <w:numId w:val="12"/>
        </w:numPr>
        <w:autoSpaceDE w:val="0"/>
        <w:autoSpaceDN w:val="0"/>
        <w:adjustRightInd w:val="0"/>
        <w:ind w:left="851" w:hanging="425"/>
        <w:rPr>
          <w:rFonts w:cs="Arial"/>
          <w:szCs w:val="24"/>
          <w:lang w:val="en-AU"/>
        </w:rPr>
      </w:pPr>
      <w:r>
        <w:rPr>
          <w:rFonts w:cs="Arial"/>
          <w:szCs w:val="24"/>
          <w:lang w:val="en-AU"/>
        </w:rPr>
        <w:lastRenderedPageBreak/>
        <w:t xml:space="preserve">in </w:t>
      </w:r>
      <w:r w:rsidRPr="00B408BE">
        <w:rPr>
          <w:rFonts w:cs="Arial"/>
          <w:szCs w:val="24"/>
          <w:lang w:val="en-AU"/>
        </w:rPr>
        <w:t xml:space="preserve">concluding that there was no common law defence available to those who commit a tort in the course of executing an apparently valid order of an inferior </w:t>
      </w:r>
      <w:proofErr w:type="gramStart"/>
      <w:r w:rsidRPr="00B408BE">
        <w:rPr>
          <w:rFonts w:cs="Arial"/>
          <w:szCs w:val="24"/>
          <w:lang w:val="en-AU"/>
        </w:rPr>
        <w:t>court;</w:t>
      </w:r>
      <w:proofErr w:type="gramEnd"/>
    </w:p>
    <w:p w14:paraId="6FDDA939" w14:textId="77777777" w:rsidR="00271859" w:rsidRPr="0035727A" w:rsidRDefault="00271859" w:rsidP="00303F09">
      <w:pPr>
        <w:autoSpaceDE w:val="0"/>
        <w:autoSpaceDN w:val="0"/>
        <w:adjustRightInd w:val="0"/>
        <w:jc w:val="both"/>
        <w:rPr>
          <w:rFonts w:cs="Arial"/>
          <w:szCs w:val="24"/>
          <w:lang w:val="en-AU"/>
        </w:rPr>
      </w:pPr>
    </w:p>
    <w:p w14:paraId="25B1E8CB" w14:textId="71AB3AB0" w:rsidR="00271859" w:rsidRDefault="00271859" w:rsidP="00303F09">
      <w:pPr>
        <w:pStyle w:val="ListParagraph"/>
        <w:numPr>
          <w:ilvl w:val="1"/>
          <w:numId w:val="12"/>
        </w:numPr>
        <w:autoSpaceDE w:val="0"/>
        <w:autoSpaceDN w:val="0"/>
        <w:adjustRightInd w:val="0"/>
        <w:ind w:left="851" w:hanging="425"/>
        <w:rPr>
          <w:rFonts w:cs="Arial"/>
          <w:szCs w:val="24"/>
          <w:lang w:val="en-AU"/>
        </w:rPr>
      </w:pPr>
      <w:r>
        <w:rPr>
          <w:rFonts w:cs="Arial"/>
          <w:szCs w:val="24"/>
          <w:lang w:val="en-AU"/>
        </w:rPr>
        <w:t>in</w:t>
      </w:r>
      <w:r w:rsidRPr="00B408BE">
        <w:rPr>
          <w:rFonts w:cs="Arial"/>
          <w:szCs w:val="24"/>
          <w:lang w:val="en-AU"/>
        </w:rPr>
        <w:t xml:space="preserve"> failing to conclude that the Commonwealth had a defence against the specific tort alleged by Mr Strad</w:t>
      </w:r>
      <w:r>
        <w:rPr>
          <w:rFonts w:cs="Arial"/>
          <w:szCs w:val="24"/>
          <w:lang w:val="en-AU"/>
        </w:rPr>
        <w:t>f</w:t>
      </w:r>
      <w:r w:rsidRPr="00B408BE">
        <w:rPr>
          <w:rFonts w:cs="Arial"/>
          <w:szCs w:val="24"/>
          <w:lang w:val="en-AU"/>
        </w:rPr>
        <w:t xml:space="preserve">ord arising from the fact that the court security officers committed the tort in the course of executing an apparently valid order and </w:t>
      </w:r>
      <w:r>
        <w:rPr>
          <w:rFonts w:cs="Arial"/>
          <w:szCs w:val="24"/>
          <w:lang w:val="en-AU"/>
        </w:rPr>
        <w:t>W</w:t>
      </w:r>
      <w:r w:rsidRPr="00B408BE">
        <w:rPr>
          <w:rFonts w:cs="Arial"/>
          <w:szCs w:val="24"/>
          <w:lang w:val="en-AU"/>
        </w:rPr>
        <w:t xml:space="preserve">arrant of </w:t>
      </w:r>
      <w:r>
        <w:rPr>
          <w:rFonts w:cs="Arial"/>
          <w:szCs w:val="24"/>
          <w:lang w:val="en-AU"/>
        </w:rPr>
        <w:t>C</w:t>
      </w:r>
      <w:r w:rsidRPr="00B408BE">
        <w:rPr>
          <w:rFonts w:cs="Arial"/>
          <w:szCs w:val="24"/>
          <w:lang w:val="en-AU"/>
        </w:rPr>
        <w:t>ommitment of the</w:t>
      </w:r>
      <w:r w:rsidR="00AE353D">
        <w:rPr>
          <w:rFonts w:cs="Arial"/>
          <w:szCs w:val="24"/>
          <w:lang w:val="en-AU"/>
        </w:rPr>
        <w:t xml:space="preserve"> </w:t>
      </w:r>
      <w:r w:rsidRPr="00B408BE">
        <w:rPr>
          <w:rFonts w:cs="Arial"/>
          <w:szCs w:val="24"/>
          <w:lang w:val="en-AU"/>
        </w:rPr>
        <w:t xml:space="preserve">Federal Circuit Court and pursuant to a direction from Judge </w:t>
      </w:r>
      <w:proofErr w:type="gramStart"/>
      <w:r w:rsidRPr="00B408BE">
        <w:rPr>
          <w:rFonts w:cs="Arial"/>
          <w:szCs w:val="24"/>
          <w:lang w:val="en-AU"/>
        </w:rPr>
        <w:t>Vasta</w:t>
      </w:r>
      <w:r>
        <w:rPr>
          <w:rFonts w:cs="Arial"/>
          <w:szCs w:val="24"/>
          <w:lang w:val="en-AU"/>
        </w:rPr>
        <w:t>;</w:t>
      </w:r>
      <w:proofErr w:type="gramEnd"/>
    </w:p>
    <w:p w14:paraId="353C7B9A" w14:textId="77777777" w:rsidR="00271859" w:rsidRPr="0035727A" w:rsidRDefault="00271859" w:rsidP="00303F09">
      <w:pPr>
        <w:autoSpaceDE w:val="0"/>
        <w:autoSpaceDN w:val="0"/>
        <w:adjustRightInd w:val="0"/>
        <w:jc w:val="both"/>
        <w:rPr>
          <w:rFonts w:cs="Arial"/>
          <w:szCs w:val="24"/>
          <w:lang w:val="en-AU"/>
        </w:rPr>
      </w:pPr>
    </w:p>
    <w:p w14:paraId="6C5EA433" w14:textId="77777777" w:rsidR="00271859" w:rsidRDefault="00271859" w:rsidP="00303F09">
      <w:pPr>
        <w:pStyle w:val="ListParagraph"/>
        <w:numPr>
          <w:ilvl w:val="1"/>
          <w:numId w:val="12"/>
        </w:numPr>
        <w:autoSpaceDE w:val="0"/>
        <w:autoSpaceDN w:val="0"/>
        <w:adjustRightInd w:val="0"/>
        <w:ind w:left="851" w:hanging="425"/>
        <w:rPr>
          <w:rFonts w:cs="Arial"/>
          <w:szCs w:val="24"/>
          <w:lang w:val="en-AU"/>
        </w:rPr>
      </w:pPr>
      <w:r>
        <w:rPr>
          <w:rFonts w:cs="Arial"/>
          <w:szCs w:val="24"/>
          <w:lang w:val="en-AU"/>
        </w:rPr>
        <w:t xml:space="preserve">in </w:t>
      </w:r>
      <w:r w:rsidRPr="00B408BE">
        <w:rPr>
          <w:rFonts w:cs="Arial"/>
          <w:szCs w:val="24"/>
          <w:lang w:val="en-AU"/>
        </w:rPr>
        <w:t>concluding that a judge of an "inferior court", who has subject matter jurisdiction in a particular matter, is not immune from suit in respect of the exercise of that</w:t>
      </w:r>
      <w:r>
        <w:rPr>
          <w:rFonts w:cs="Arial"/>
          <w:szCs w:val="24"/>
          <w:lang w:val="en-AU"/>
        </w:rPr>
        <w:t xml:space="preserve"> </w:t>
      </w:r>
      <w:r w:rsidRPr="00B408BE">
        <w:rPr>
          <w:rFonts w:cs="Arial"/>
          <w:szCs w:val="24"/>
          <w:lang w:val="en-AU"/>
        </w:rPr>
        <w:t>jurisdiction where the judge:</w:t>
      </w:r>
    </w:p>
    <w:p w14:paraId="05CE2FE4" w14:textId="77777777" w:rsidR="00271859" w:rsidRPr="00B408BE" w:rsidRDefault="00271859" w:rsidP="00303F09">
      <w:pPr>
        <w:pStyle w:val="ListParagraph"/>
        <w:autoSpaceDE w:val="0"/>
        <w:autoSpaceDN w:val="0"/>
        <w:adjustRightInd w:val="0"/>
        <w:ind w:left="1440"/>
        <w:rPr>
          <w:rFonts w:cs="Arial"/>
          <w:szCs w:val="24"/>
          <w:lang w:val="en-AU"/>
        </w:rPr>
      </w:pPr>
    </w:p>
    <w:p w14:paraId="520FFEF1" w14:textId="77777777" w:rsidR="00271859" w:rsidRDefault="00271859" w:rsidP="00303F09">
      <w:pPr>
        <w:pStyle w:val="ListParagraph"/>
        <w:numPr>
          <w:ilvl w:val="0"/>
          <w:numId w:val="13"/>
        </w:numPr>
        <w:autoSpaceDE w:val="0"/>
        <w:autoSpaceDN w:val="0"/>
        <w:adjustRightInd w:val="0"/>
        <w:ind w:left="1276" w:hanging="425"/>
        <w:rPr>
          <w:rFonts w:cs="Arial"/>
          <w:szCs w:val="24"/>
          <w:lang w:val="en-AU"/>
        </w:rPr>
      </w:pPr>
      <w:r w:rsidRPr="00B408BE">
        <w:rPr>
          <w:rFonts w:cs="Arial"/>
          <w:szCs w:val="24"/>
          <w:lang w:val="en-AU"/>
        </w:rPr>
        <w:t>commits a gross and obvious irregularity in procedure or breach or a breach</w:t>
      </w:r>
      <w:r>
        <w:rPr>
          <w:rFonts w:cs="Arial"/>
          <w:szCs w:val="24"/>
          <w:lang w:val="en-AU"/>
        </w:rPr>
        <w:t xml:space="preserve"> </w:t>
      </w:r>
      <w:r w:rsidRPr="00B408BE">
        <w:rPr>
          <w:rFonts w:cs="Arial"/>
          <w:szCs w:val="24"/>
          <w:lang w:val="en-AU"/>
        </w:rPr>
        <w:t xml:space="preserve">of the rules of natural justice, other than a merely narrow technical </w:t>
      </w:r>
      <w:proofErr w:type="gramStart"/>
      <w:r w:rsidRPr="00B408BE">
        <w:rPr>
          <w:rFonts w:cs="Arial"/>
          <w:szCs w:val="24"/>
          <w:lang w:val="en-AU"/>
        </w:rPr>
        <w:t>breach;</w:t>
      </w:r>
      <w:proofErr w:type="gramEnd"/>
    </w:p>
    <w:p w14:paraId="4AB43778" w14:textId="77777777" w:rsidR="00271859" w:rsidRPr="00BB4A36" w:rsidRDefault="00271859" w:rsidP="00303F09">
      <w:pPr>
        <w:pStyle w:val="ListParagraph"/>
        <w:autoSpaceDE w:val="0"/>
        <w:autoSpaceDN w:val="0"/>
        <w:adjustRightInd w:val="0"/>
        <w:ind w:left="2220"/>
        <w:rPr>
          <w:rFonts w:cs="Arial"/>
          <w:szCs w:val="24"/>
          <w:lang w:val="en-AU"/>
        </w:rPr>
      </w:pPr>
    </w:p>
    <w:p w14:paraId="7EC0E137" w14:textId="77777777" w:rsidR="00271859" w:rsidRDefault="00271859" w:rsidP="00303F09">
      <w:pPr>
        <w:pStyle w:val="ListParagraph"/>
        <w:numPr>
          <w:ilvl w:val="0"/>
          <w:numId w:val="13"/>
        </w:numPr>
        <w:autoSpaceDE w:val="0"/>
        <w:autoSpaceDN w:val="0"/>
        <w:adjustRightInd w:val="0"/>
        <w:ind w:left="1276" w:hanging="425"/>
        <w:rPr>
          <w:rFonts w:cs="Arial"/>
          <w:szCs w:val="24"/>
          <w:lang w:val="en-AU"/>
        </w:rPr>
      </w:pPr>
      <w:r w:rsidRPr="00B408BE">
        <w:rPr>
          <w:rFonts w:cs="Arial"/>
          <w:szCs w:val="24"/>
          <w:lang w:val="en-AU"/>
        </w:rPr>
        <w:t>acts in excess of jurisdiction by making an order or imposing a sentence for</w:t>
      </w:r>
      <w:r>
        <w:rPr>
          <w:rFonts w:cs="Arial"/>
          <w:szCs w:val="24"/>
          <w:lang w:val="en-AU"/>
        </w:rPr>
        <w:t xml:space="preserve"> </w:t>
      </w:r>
      <w:r w:rsidRPr="00B408BE">
        <w:rPr>
          <w:rFonts w:cs="Arial"/>
          <w:szCs w:val="24"/>
          <w:lang w:val="en-AU"/>
        </w:rPr>
        <w:t>which there was no proper foundation in law because a condition precedent</w:t>
      </w:r>
      <w:r>
        <w:rPr>
          <w:rFonts w:cs="Arial"/>
          <w:szCs w:val="24"/>
          <w:lang w:val="en-AU"/>
        </w:rPr>
        <w:t xml:space="preserve"> </w:t>
      </w:r>
      <w:r w:rsidRPr="00B408BE">
        <w:rPr>
          <w:rFonts w:cs="Arial"/>
          <w:szCs w:val="24"/>
          <w:lang w:val="en-AU"/>
        </w:rPr>
        <w:t xml:space="preserve">to the making of the order or sentence has not been made </w:t>
      </w:r>
      <w:proofErr w:type="gramStart"/>
      <w:r w:rsidRPr="00B408BE">
        <w:rPr>
          <w:rFonts w:cs="Arial"/>
          <w:szCs w:val="24"/>
          <w:lang w:val="en-AU"/>
        </w:rPr>
        <w:t>out</w:t>
      </w:r>
      <w:r>
        <w:rPr>
          <w:rFonts w:cs="Arial"/>
          <w:szCs w:val="24"/>
          <w:lang w:val="en-AU"/>
        </w:rPr>
        <w:t>;</w:t>
      </w:r>
      <w:proofErr w:type="gramEnd"/>
      <w:r w:rsidRPr="00B408BE">
        <w:rPr>
          <w:rFonts w:cs="Arial"/>
          <w:szCs w:val="24"/>
          <w:lang w:val="en-AU"/>
        </w:rPr>
        <w:t xml:space="preserve"> </w:t>
      </w:r>
    </w:p>
    <w:p w14:paraId="488CE707" w14:textId="77777777" w:rsidR="00271859" w:rsidRPr="00B7653D" w:rsidRDefault="00271859" w:rsidP="00303F09">
      <w:pPr>
        <w:autoSpaceDE w:val="0"/>
        <w:autoSpaceDN w:val="0"/>
        <w:adjustRightInd w:val="0"/>
        <w:jc w:val="both"/>
        <w:rPr>
          <w:rFonts w:cs="Arial"/>
          <w:szCs w:val="24"/>
          <w:lang w:val="en-AU"/>
        </w:rPr>
      </w:pPr>
    </w:p>
    <w:p w14:paraId="6087CEAF" w14:textId="77777777" w:rsidR="00271859" w:rsidRPr="00B408BE" w:rsidRDefault="00271859" w:rsidP="00303F09">
      <w:pPr>
        <w:pStyle w:val="ListParagraph"/>
        <w:numPr>
          <w:ilvl w:val="0"/>
          <w:numId w:val="14"/>
        </w:numPr>
        <w:autoSpaceDE w:val="0"/>
        <w:autoSpaceDN w:val="0"/>
        <w:adjustRightInd w:val="0"/>
        <w:ind w:left="851" w:hanging="425"/>
        <w:rPr>
          <w:rFonts w:cs="Arial"/>
          <w:szCs w:val="24"/>
          <w:lang w:val="en-AU"/>
        </w:rPr>
      </w:pPr>
      <w:r>
        <w:rPr>
          <w:rFonts w:cs="Arial"/>
          <w:szCs w:val="24"/>
          <w:lang w:val="en-AU"/>
        </w:rPr>
        <w:t xml:space="preserve">in </w:t>
      </w:r>
      <w:r w:rsidRPr="00B408BE">
        <w:rPr>
          <w:rFonts w:cs="Arial"/>
          <w:szCs w:val="24"/>
          <w:lang w:val="en-AU"/>
        </w:rPr>
        <w:t>concluding that there was a distinction, material in the facts and circumstances of this case, between the immunity of judges of superior courts and the immunity of judges of inferior courts</w:t>
      </w:r>
      <w:r>
        <w:rPr>
          <w:rFonts w:cs="Arial"/>
          <w:szCs w:val="24"/>
          <w:lang w:val="en-AU"/>
        </w:rPr>
        <w:t>.</w:t>
      </w:r>
      <w:r w:rsidRPr="00B408BE">
        <w:rPr>
          <w:rFonts w:cs="Arial"/>
          <w:szCs w:val="24"/>
          <w:lang w:val="en-AU"/>
        </w:rPr>
        <w:t xml:space="preserve"> </w:t>
      </w:r>
    </w:p>
    <w:p w14:paraId="5510F2EE" w14:textId="77777777" w:rsidR="00271859" w:rsidRPr="00AD39AA" w:rsidRDefault="00271859" w:rsidP="00303F09">
      <w:pPr>
        <w:tabs>
          <w:tab w:val="left" w:pos="0"/>
        </w:tabs>
        <w:jc w:val="both"/>
        <w:rPr>
          <w:rFonts w:cs="Arial"/>
          <w:szCs w:val="24"/>
          <w:lang w:val="en-AU"/>
        </w:rPr>
      </w:pPr>
    </w:p>
    <w:p w14:paraId="064468C2" w14:textId="77777777" w:rsidR="00271859" w:rsidRPr="00901F88" w:rsidRDefault="00271859" w:rsidP="00303F09">
      <w:pPr>
        <w:autoSpaceDE w:val="0"/>
        <w:autoSpaceDN w:val="0"/>
        <w:adjustRightInd w:val="0"/>
        <w:jc w:val="both"/>
        <w:rPr>
          <w:rFonts w:cs="Arial"/>
          <w:szCs w:val="24"/>
          <w:lang w:val="en-AU"/>
        </w:rPr>
      </w:pPr>
      <w:r>
        <w:rPr>
          <w:rFonts w:cs="Arial"/>
          <w:szCs w:val="24"/>
          <w:lang w:val="en-AU"/>
        </w:rPr>
        <w:t>In the appeal brought by Judge Vasta, t</w:t>
      </w:r>
      <w:r w:rsidRPr="00901F88">
        <w:rPr>
          <w:rFonts w:cs="Arial"/>
          <w:szCs w:val="24"/>
          <w:lang w:val="en-AU"/>
        </w:rPr>
        <w:t>he grounds of appeal include:</w:t>
      </w:r>
    </w:p>
    <w:p w14:paraId="09739B38" w14:textId="77777777" w:rsidR="00271859" w:rsidRPr="00AD39AA" w:rsidRDefault="00271859" w:rsidP="00303F09">
      <w:pPr>
        <w:autoSpaceDE w:val="0"/>
        <w:autoSpaceDN w:val="0"/>
        <w:adjustRightInd w:val="0"/>
        <w:jc w:val="both"/>
        <w:rPr>
          <w:rFonts w:cs="Arial"/>
          <w:b/>
          <w:bCs/>
          <w:szCs w:val="24"/>
          <w:lang w:val="en-AU"/>
        </w:rPr>
      </w:pPr>
    </w:p>
    <w:p w14:paraId="3316646C" w14:textId="77777777" w:rsidR="00271859" w:rsidRDefault="00271859" w:rsidP="00303F09">
      <w:pPr>
        <w:pStyle w:val="ListParagraph"/>
        <w:numPr>
          <w:ilvl w:val="0"/>
          <w:numId w:val="12"/>
        </w:numPr>
        <w:autoSpaceDE w:val="0"/>
        <w:autoSpaceDN w:val="0"/>
        <w:adjustRightInd w:val="0"/>
        <w:ind w:left="426" w:hanging="426"/>
        <w:rPr>
          <w:rFonts w:cs="Arial"/>
          <w:szCs w:val="24"/>
          <w:lang w:val="en-AU"/>
        </w:rPr>
      </w:pPr>
      <w:r w:rsidRPr="006C12DD">
        <w:rPr>
          <w:rFonts w:cs="Arial"/>
          <w:szCs w:val="24"/>
          <w:lang w:val="en-AU"/>
        </w:rPr>
        <w:t xml:space="preserve">The learned </w:t>
      </w:r>
      <w:r>
        <w:rPr>
          <w:rFonts w:cs="Arial"/>
          <w:szCs w:val="24"/>
          <w:lang w:val="en-AU"/>
        </w:rPr>
        <w:t>primary</w:t>
      </w:r>
      <w:r w:rsidRPr="006C12DD">
        <w:rPr>
          <w:rFonts w:cs="Arial"/>
          <w:szCs w:val="24"/>
          <w:lang w:val="en-AU"/>
        </w:rPr>
        <w:t xml:space="preserve"> judge erred by:</w:t>
      </w:r>
    </w:p>
    <w:p w14:paraId="7D175C19" w14:textId="77777777" w:rsidR="00271859" w:rsidRPr="00A827A1" w:rsidRDefault="00271859" w:rsidP="00303F09">
      <w:pPr>
        <w:autoSpaceDE w:val="0"/>
        <w:autoSpaceDN w:val="0"/>
        <w:adjustRightInd w:val="0"/>
        <w:jc w:val="both"/>
        <w:rPr>
          <w:rFonts w:cs="Arial"/>
          <w:szCs w:val="24"/>
          <w:lang w:val="en-AU"/>
        </w:rPr>
      </w:pPr>
    </w:p>
    <w:p w14:paraId="04351542" w14:textId="77777777" w:rsidR="00271859" w:rsidRDefault="00271859" w:rsidP="00303F09">
      <w:pPr>
        <w:pStyle w:val="ListParagraph"/>
        <w:numPr>
          <w:ilvl w:val="1"/>
          <w:numId w:val="12"/>
        </w:numPr>
        <w:autoSpaceDE w:val="0"/>
        <w:autoSpaceDN w:val="0"/>
        <w:adjustRightInd w:val="0"/>
        <w:ind w:left="851" w:hanging="425"/>
        <w:rPr>
          <w:rFonts w:cs="Arial"/>
          <w:szCs w:val="24"/>
          <w:lang w:val="en-AU"/>
        </w:rPr>
      </w:pPr>
      <w:r w:rsidRPr="006C12DD">
        <w:rPr>
          <w:rFonts w:cs="Arial"/>
          <w:szCs w:val="24"/>
          <w:lang w:val="en-AU"/>
        </w:rPr>
        <w:t xml:space="preserve">failing to hold that s 17 of the </w:t>
      </w:r>
      <w:r w:rsidRPr="006C12DD">
        <w:rPr>
          <w:rFonts w:cs="Arial"/>
          <w:i/>
          <w:iCs/>
          <w:szCs w:val="24"/>
          <w:lang w:val="en-AU"/>
        </w:rPr>
        <w:t xml:space="preserve">Federal Circuit Court of Australia Act 1999 </w:t>
      </w:r>
      <w:r w:rsidRPr="006C12DD">
        <w:rPr>
          <w:rFonts w:cs="Arial"/>
          <w:szCs w:val="24"/>
          <w:lang w:val="en-AU"/>
        </w:rPr>
        <w:t>(Cth) was engaged by, and/or a source of power for, the orders made by Judge Vasta on 6 December 2018 declaring that Mr Stradford was in</w:t>
      </w:r>
      <w:r>
        <w:rPr>
          <w:rFonts w:cs="Arial"/>
          <w:szCs w:val="24"/>
          <w:lang w:val="en-AU"/>
        </w:rPr>
        <w:t xml:space="preserve"> </w:t>
      </w:r>
      <w:r w:rsidRPr="006C12DD">
        <w:rPr>
          <w:rFonts w:cs="Arial"/>
          <w:szCs w:val="24"/>
          <w:lang w:val="en-AU"/>
        </w:rPr>
        <w:t xml:space="preserve">contempt and sentencing him to imprisonment </w:t>
      </w:r>
      <w:r w:rsidRPr="00DC0655">
        <w:rPr>
          <w:rFonts w:cs="Arial"/>
          <w:szCs w:val="24"/>
          <w:lang w:val="en-AU"/>
        </w:rPr>
        <w:t>(</w:t>
      </w:r>
      <w:r>
        <w:rPr>
          <w:rFonts w:cs="Arial"/>
          <w:szCs w:val="24"/>
          <w:lang w:val="en-AU"/>
        </w:rPr>
        <w:t>“</w:t>
      </w:r>
      <w:r w:rsidRPr="00DC0655">
        <w:rPr>
          <w:rFonts w:cs="Arial"/>
          <w:szCs w:val="24"/>
          <w:lang w:val="en-AU"/>
        </w:rPr>
        <w:t>Contempt Orders</w:t>
      </w:r>
      <w:r>
        <w:rPr>
          <w:rFonts w:cs="Arial"/>
          <w:szCs w:val="24"/>
          <w:lang w:val="en-AU"/>
        </w:rPr>
        <w:t>”</w:t>
      </w:r>
      <w:r w:rsidRPr="00DC0655">
        <w:rPr>
          <w:rFonts w:cs="Arial"/>
          <w:szCs w:val="24"/>
          <w:lang w:val="en-AU"/>
        </w:rPr>
        <w:t>);</w:t>
      </w:r>
      <w:r w:rsidRPr="006C12DD">
        <w:rPr>
          <w:rFonts w:cs="Arial"/>
          <w:b/>
          <w:bCs/>
          <w:szCs w:val="24"/>
          <w:lang w:val="en-AU"/>
        </w:rPr>
        <w:t xml:space="preserve"> </w:t>
      </w:r>
      <w:r w:rsidRPr="006C12DD">
        <w:rPr>
          <w:rFonts w:cs="Arial"/>
          <w:szCs w:val="24"/>
          <w:lang w:val="en-AU"/>
        </w:rPr>
        <w:t>and</w:t>
      </w:r>
    </w:p>
    <w:p w14:paraId="037D474B" w14:textId="77777777" w:rsidR="00271859" w:rsidRPr="006C12DD" w:rsidRDefault="00271859" w:rsidP="00303F09">
      <w:pPr>
        <w:pStyle w:val="ListParagraph"/>
        <w:autoSpaceDE w:val="0"/>
        <w:autoSpaceDN w:val="0"/>
        <w:adjustRightInd w:val="0"/>
        <w:ind w:left="66"/>
        <w:rPr>
          <w:rFonts w:cs="Arial"/>
          <w:szCs w:val="24"/>
          <w:lang w:val="en-AU"/>
        </w:rPr>
      </w:pPr>
    </w:p>
    <w:p w14:paraId="7824B234" w14:textId="77777777" w:rsidR="00271859" w:rsidRDefault="00271859" w:rsidP="00303F09">
      <w:pPr>
        <w:pStyle w:val="ListParagraph"/>
        <w:numPr>
          <w:ilvl w:val="1"/>
          <w:numId w:val="12"/>
        </w:numPr>
        <w:autoSpaceDE w:val="0"/>
        <w:autoSpaceDN w:val="0"/>
        <w:adjustRightInd w:val="0"/>
        <w:ind w:left="851" w:hanging="425"/>
        <w:rPr>
          <w:rFonts w:cs="Arial"/>
          <w:szCs w:val="24"/>
          <w:lang w:val="en-AU"/>
        </w:rPr>
      </w:pPr>
      <w:r w:rsidRPr="006C12DD">
        <w:rPr>
          <w:rFonts w:cs="Arial"/>
          <w:szCs w:val="24"/>
          <w:lang w:val="en-AU"/>
        </w:rPr>
        <w:t xml:space="preserve">failing to conclude </w:t>
      </w:r>
      <w:r>
        <w:rPr>
          <w:rFonts w:cs="Arial"/>
          <w:szCs w:val="24"/>
          <w:lang w:val="en-AU"/>
        </w:rPr>
        <w:t xml:space="preserve">that </w:t>
      </w:r>
      <w:r w:rsidRPr="006C12DD">
        <w:rPr>
          <w:rFonts w:cs="Arial"/>
          <w:szCs w:val="24"/>
          <w:lang w:val="en-AU"/>
        </w:rPr>
        <w:t>Judge Vasta was invested with the judicial power of the Commonwealth in relation to the making of the Contempt Orders.</w:t>
      </w:r>
    </w:p>
    <w:p w14:paraId="32D56A4E" w14:textId="77777777" w:rsidR="00271859" w:rsidRPr="006C12DD" w:rsidRDefault="00271859" w:rsidP="00303F09">
      <w:pPr>
        <w:pStyle w:val="ListParagraph"/>
        <w:autoSpaceDE w:val="0"/>
        <w:autoSpaceDN w:val="0"/>
        <w:adjustRightInd w:val="0"/>
        <w:rPr>
          <w:rFonts w:cs="Arial"/>
          <w:szCs w:val="24"/>
          <w:lang w:val="en-AU"/>
        </w:rPr>
      </w:pPr>
    </w:p>
    <w:p w14:paraId="405BFE17" w14:textId="77777777" w:rsidR="00271859" w:rsidRPr="00F647FB" w:rsidRDefault="00271859" w:rsidP="00303F09">
      <w:pPr>
        <w:pStyle w:val="ListParagraph"/>
        <w:numPr>
          <w:ilvl w:val="0"/>
          <w:numId w:val="12"/>
        </w:numPr>
        <w:autoSpaceDE w:val="0"/>
        <w:autoSpaceDN w:val="0"/>
        <w:adjustRightInd w:val="0"/>
        <w:ind w:left="426" w:hanging="426"/>
        <w:rPr>
          <w:rFonts w:cs="Arial"/>
          <w:szCs w:val="24"/>
          <w:lang w:val="en-AU"/>
        </w:rPr>
      </w:pPr>
      <w:r w:rsidRPr="006C12DD">
        <w:rPr>
          <w:rFonts w:cs="Arial"/>
          <w:szCs w:val="24"/>
          <w:lang w:val="en-AU"/>
        </w:rPr>
        <w:t xml:space="preserve">By reason of the errors above, the learned </w:t>
      </w:r>
      <w:r>
        <w:rPr>
          <w:rFonts w:cs="Arial"/>
          <w:szCs w:val="24"/>
          <w:lang w:val="en-AU"/>
        </w:rPr>
        <w:t>primary</w:t>
      </w:r>
      <w:r w:rsidRPr="006C12DD">
        <w:rPr>
          <w:rFonts w:cs="Arial"/>
          <w:szCs w:val="24"/>
          <w:lang w:val="en-AU"/>
        </w:rPr>
        <w:t xml:space="preserve"> judge erred in failing to hold that:</w:t>
      </w:r>
    </w:p>
    <w:p w14:paraId="242F8456" w14:textId="77777777" w:rsidR="00271859" w:rsidRPr="006C12DD" w:rsidRDefault="00271859" w:rsidP="00303F09">
      <w:pPr>
        <w:pStyle w:val="ListParagraph"/>
        <w:autoSpaceDE w:val="0"/>
        <w:autoSpaceDN w:val="0"/>
        <w:adjustRightInd w:val="0"/>
        <w:rPr>
          <w:rFonts w:cs="Arial"/>
          <w:szCs w:val="24"/>
          <w:lang w:val="en-AU"/>
        </w:rPr>
      </w:pPr>
    </w:p>
    <w:p w14:paraId="4DF491C3" w14:textId="77777777" w:rsidR="00271859" w:rsidRDefault="00271859" w:rsidP="00303F09">
      <w:pPr>
        <w:pStyle w:val="ListParagraph"/>
        <w:numPr>
          <w:ilvl w:val="1"/>
          <w:numId w:val="12"/>
        </w:numPr>
        <w:autoSpaceDE w:val="0"/>
        <w:autoSpaceDN w:val="0"/>
        <w:adjustRightInd w:val="0"/>
        <w:ind w:left="851" w:hanging="425"/>
        <w:rPr>
          <w:rFonts w:cs="Arial"/>
          <w:szCs w:val="24"/>
          <w:lang w:val="en-AU"/>
        </w:rPr>
      </w:pPr>
      <w:r w:rsidRPr="006C12DD">
        <w:rPr>
          <w:rFonts w:cs="Arial"/>
          <w:szCs w:val="24"/>
          <w:lang w:val="en-AU"/>
        </w:rPr>
        <w:t>the Contempt Orders were valid until set aside; and</w:t>
      </w:r>
    </w:p>
    <w:p w14:paraId="7D19B452" w14:textId="77777777" w:rsidR="00271859" w:rsidRPr="00271859" w:rsidRDefault="00271859" w:rsidP="00303F09">
      <w:pPr>
        <w:autoSpaceDE w:val="0"/>
        <w:autoSpaceDN w:val="0"/>
        <w:adjustRightInd w:val="0"/>
        <w:jc w:val="both"/>
        <w:rPr>
          <w:rFonts w:cs="Arial"/>
          <w:szCs w:val="24"/>
          <w:lang w:val="en-AU"/>
        </w:rPr>
      </w:pPr>
    </w:p>
    <w:p w14:paraId="3AC70AF0" w14:textId="77777777" w:rsidR="00271859" w:rsidRDefault="00271859" w:rsidP="00303F09">
      <w:pPr>
        <w:pStyle w:val="ListParagraph"/>
        <w:numPr>
          <w:ilvl w:val="1"/>
          <w:numId w:val="12"/>
        </w:numPr>
        <w:autoSpaceDE w:val="0"/>
        <w:autoSpaceDN w:val="0"/>
        <w:adjustRightInd w:val="0"/>
        <w:ind w:left="851" w:hanging="425"/>
        <w:rPr>
          <w:rFonts w:cs="Arial"/>
          <w:szCs w:val="24"/>
          <w:lang w:val="en-AU"/>
        </w:rPr>
      </w:pPr>
      <w:r w:rsidRPr="006C12DD">
        <w:rPr>
          <w:rFonts w:cs="Arial"/>
          <w:szCs w:val="24"/>
          <w:lang w:val="en-AU"/>
        </w:rPr>
        <w:t>Judge Vasta</w:t>
      </w:r>
      <w:r>
        <w:rPr>
          <w:rFonts w:cs="Arial"/>
          <w:szCs w:val="24"/>
          <w:lang w:val="en-AU"/>
        </w:rPr>
        <w:t xml:space="preserve"> </w:t>
      </w:r>
      <w:r w:rsidRPr="006C12DD">
        <w:rPr>
          <w:rFonts w:cs="Arial"/>
          <w:szCs w:val="24"/>
          <w:lang w:val="en-AU"/>
        </w:rPr>
        <w:t>had the same judicial immunity as a superior court judge with respect</w:t>
      </w:r>
      <w:r>
        <w:rPr>
          <w:rFonts w:cs="Arial"/>
          <w:szCs w:val="24"/>
          <w:lang w:val="en-AU"/>
        </w:rPr>
        <w:t xml:space="preserve"> </w:t>
      </w:r>
      <w:r w:rsidRPr="006C12DD">
        <w:rPr>
          <w:rFonts w:cs="Arial"/>
          <w:szCs w:val="24"/>
          <w:lang w:val="en-AU"/>
        </w:rPr>
        <w:t>to the making of the Contempt Orders.</w:t>
      </w:r>
    </w:p>
    <w:p w14:paraId="0E1023D8" w14:textId="77777777" w:rsidR="00885AE3" w:rsidRPr="00885AE3" w:rsidRDefault="00885AE3" w:rsidP="00885AE3">
      <w:pPr>
        <w:pStyle w:val="ListParagraph"/>
        <w:rPr>
          <w:rFonts w:cs="Arial"/>
          <w:szCs w:val="24"/>
          <w:lang w:val="en-AU"/>
        </w:rPr>
      </w:pPr>
    </w:p>
    <w:p w14:paraId="7307D1FF" w14:textId="18953839" w:rsidR="00885AE3" w:rsidRDefault="00885AE3">
      <w:pPr>
        <w:rPr>
          <w:rFonts w:cs="Arial"/>
          <w:szCs w:val="24"/>
          <w:lang w:val="en-AU"/>
        </w:rPr>
      </w:pPr>
      <w:r>
        <w:rPr>
          <w:rFonts w:cs="Arial"/>
          <w:szCs w:val="24"/>
          <w:lang w:val="en-AU"/>
        </w:rPr>
        <w:br w:type="page"/>
      </w:r>
    </w:p>
    <w:p w14:paraId="1BE369AE" w14:textId="77777777" w:rsidR="008168E1" w:rsidRPr="008168E1" w:rsidRDefault="008168E1" w:rsidP="008168E1">
      <w:pPr>
        <w:pStyle w:val="Heading1"/>
        <w:rPr>
          <w:b/>
          <w:bCs/>
          <w:sz w:val="28"/>
          <w:szCs w:val="28"/>
        </w:rPr>
      </w:pPr>
      <w:r w:rsidRPr="008168E1">
        <w:rPr>
          <w:b/>
          <w:bCs/>
          <w:sz w:val="28"/>
          <w:szCs w:val="28"/>
        </w:rPr>
        <w:lastRenderedPageBreak/>
        <w:t>BOGAN &amp; ANOR v THE ESTATE OF PETER JOHN SMEDLEY (DECEASED) &amp; ORS</w:t>
      </w:r>
      <w:r w:rsidRPr="008168E1">
        <w:rPr>
          <w:b/>
          <w:bCs/>
          <w:sz w:val="28"/>
          <w:szCs w:val="28"/>
          <w:u w:val="none"/>
        </w:rPr>
        <w:t xml:space="preserve"> (M21/2024)</w:t>
      </w:r>
    </w:p>
    <w:p w14:paraId="7E59F280" w14:textId="77777777" w:rsidR="008168E1" w:rsidRPr="00A729C0" w:rsidRDefault="008168E1" w:rsidP="008168E1">
      <w:pPr>
        <w:tabs>
          <w:tab w:val="left" w:pos="0"/>
        </w:tabs>
        <w:ind w:left="3600" w:hanging="3600"/>
        <w:rPr>
          <w:rFonts w:cs="Arial"/>
          <w:szCs w:val="24"/>
        </w:rPr>
      </w:pPr>
    </w:p>
    <w:p w14:paraId="5BB924D7" w14:textId="77777777" w:rsidR="008168E1" w:rsidRDefault="008168E1" w:rsidP="008168E1">
      <w:pPr>
        <w:ind w:left="3600" w:hanging="3600"/>
        <w:rPr>
          <w:rFonts w:cs="Arial"/>
          <w:szCs w:val="24"/>
        </w:rPr>
      </w:pPr>
      <w:r w:rsidRPr="004B2258">
        <w:rPr>
          <w:rFonts w:cs="Arial"/>
          <w:szCs w:val="24"/>
          <w:u w:val="single"/>
        </w:rPr>
        <w:t>C</w:t>
      </w:r>
      <w:r>
        <w:rPr>
          <w:rFonts w:cs="Arial"/>
          <w:szCs w:val="24"/>
          <w:u w:val="single"/>
        </w:rPr>
        <w:t>ause removed</w:t>
      </w:r>
      <w:r w:rsidRPr="004B2258">
        <w:rPr>
          <w:rFonts w:cs="Arial"/>
          <w:szCs w:val="24"/>
          <w:u w:val="single"/>
        </w:rPr>
        <w:t xml:space="preserve"> from</w:t>
      </w:r>
      <w:r w:rsidRPr="004B2258">
        <w:rPr>
          <w:rFonts w:cs="Arial"/>
          <w:szCs w:val="24"/>
        </w:rPr>
        <w:t>:</w:t>
      </w:r>
      <w:r w:rsidRPr="004B2258">
        <w:rPr>
          <w:rFonts w:cs="Arial"/>
          <w:szCs w:val="24"/>
        </w:rPr>
        <w:tab/>
      </w:r>
      <w:r>
        <w:rPr>
          <w:rFonts w:cs="Arial"/>
          <w:szCs w:val="24"/>
        </w:rPr>
        <w:t>Supreme Court of Victoria Court of Appeal</w:t>
      </w:r>
    </w:p>
    <w:p w14:paraId="68C72E2F" w14:textId="77777777" w:rsidR="008168E1" w:rsidRPr="004B2258" w:rsidRDefault="008168E1" w:rsidP="008168E1">
      <w:pPr>
        <w:ind w:left="3600" w:hanging="3600"/>
        <w:rPr>
          <w:rFonts w:cs="Arial"/>
          <w:szCs w:val="24"/>
        </w:rPr>
      </w:pPr>
    </w:p>
    <w:p w14:paraId="3C43B85C" w14:textId="77777777" w:rsidR="008168E1" w:rsidRDefault="008168E1" w:rsidP="008168E1">
      <w:pPr>
        <w:ind w:left="3600" w:hanging="3600"/>
        <w:rPr>
          <w:rFonts w:cs="Arial"/>
          <w:szCs w:val="24"/>
        </w:rPr>
      </w:pPr>
      <w:r w:rsidRPr="004B2258">
        <w:rPr>
          <w:rFonts w:cs="Arial"/>
          <w:szCs w:val="24"/>
          <w:u w:val="single"/>
        </w:rPr>
        <w:t>Date</w:t>
      </w:r>
      <w:r>
        <w:rPr>
          <w:rFonts w:cs="Arial"/>
          <w:szCs w:val="24"/>
          <w:u w:val="single"/>
        </w:rPr>
        <w:t xml:space="preserve"> cause removed</w:t>
      </w:r>
      <w:r w:rsidRPr="004B2258">
        <w:rPr>
          <w:rFonts w:cs="Arial"/>
          <w:szCs w:val="24"/>
        </w:rPr>
        <w:t>:</w:t>
      </w:r>
      <w:r w:rsidRPr="004B2258">
        <w:rPr>
          <w:rFonts w:cs="Arial"/>
          <w:szCs w:val="24"/>
        </w:rPr>
        <w:tab/>
      </w:r>
      <w:r>
        <w:rPr>
          <w:rFonts w:cs="Arial"/>
          <w:szCs w:val="24"/>
        </w:rPr>
        <w:t>7 March 2024</w:t>
      </w:r>
    </w:p>
    <w:p w14:paraId="0D0481DC" w14:textId="77777777" w:rsidR="008168E1" w:rsidRDefault="008168E1" w:rsidP="008168E1">
      <w:pPr>
        <w:tabs>
          <w:tab w:val="left" w:pos="0"/>
        </w:tabs>
        <w:rPr>
          <w:rFonts w:cs="Arial"/>
          <w:szCs w:val="24"/>
        </w:rPr>
      </w:pPr>
    </w:p>
    <w:p w14:paraId="00F67FA3" w14:textId="16FE7BF6" w:rsidR="008168E1" w:rsidRDefault="008168E1" w:rsidP="008168E1">
      <w:pPr>
        <w:tabs>
          <w:tab w:val="left" w:pos="0"/>
        </w:tabs>
        <w:jc w:val="both"/>
        <w:rPr>
          <w:rFonts w:cs="Arial"/>
          <w:szCs w:val="24"/>
        </w:rPr>
      </w:pPr>
      <w:r>
        <w:rPr>
          <w:rFonts w:cs="Arial"/>
          <w:szCs w:val="24"/>
        </w:rPr>
        <w:t xml:space="preserve">The applicants commenced representative </w:t>
      </w:r>
      <w:r w:rsidRPr="009D52DE">
        <w:rPr>
          <w:rFonts w:cs="Arial"/>
          <w:szCs w:val="24"/>
        </w:rPr>
        <w:t>proceeding</w:t>
      </w:r>
      <w:r>
        <w:rPr>
          <w:rFonts w:cs="Arial"/>
          <w:szCs w:val="24"/>
        </w:rPr>
        <w:t xml:space="preserve">s </w:t>
      </w:r>
      <w:r w:rsidRPr="009D52DE">
        <w:rPr>
          <w:rFonts w:cs="Arial"/>
          <w:szCs w:val="24"/>
        </w:rPr>
        <w:t xml:space="preserve">in the Supreme Court of Victoria </w:t>
      </w:r>
      <w:r>
        <w:rPr>
          <w:rFonts w:cs="Arial"/>
          <w:szCs w:val="24"/>
        </w:rPr>
        <w:t>in August 2020,</w:t>
      </w:r>
      <w:r w:rsidRPr="009D52DE">
        <w:rPr>
          <w:rFonts w:cs="Arial"/>
          <w:szCs w:val="24"/>
        </w:rPr>
        <w:t xml:space="preserve"> </w:t>
      </w:r>
      <w:r>
        <w:rPr>
          <w:rFonts w:cs="Arial"/>
          <w:szCs w:val="24"/>
        </w:rPr>
        <w:t xml:space="preserve">alleging amongst other things, misleading or deceptive conduct by the respondents, contrary to </w:t>
      </w:r>
      <w:r w:rsidRPr="009D52DE">
        <w:rPr>
          <w:rFonts w:cs="Arial"/>
          <w:szCs w:val="24"/>
        </w:rPr>
        <w:t xml:space="preserve">the </w:t>
      </w:r>
      <w:r w:rsidRPr="009D52DE">
        <w:rPr>
          <w:rFonts w:cs="Arial"/>
          <w:i/>
          <w:iCs/>
          <w:szCs w:val="24"/>
        </w:rPr>
        <w:t>Corporations Act 2001</w:t>
      </w:r>
      <w:r w:rsidRPr="009D52DE">
        <w:rPr>
          <w:rFonts w:cs="Arial"/>
          <w:szCs w:val="24"/>
        </w:rPr>
        <w:t xml:space="preserve"> (Cth)</w:t>
      </w:r>
      <w:r>
        <w:rPr>
          <w:rFonts w:cs="Arial"/>
          <w:szCs w:val="24"/>
        </w:rPr>
        <w:t xml:space="preserve"> </w:t>
      </w:r>
      <w:r w:rsidR="009E5214">
        <w:rPr>
          <w:rFonts w:cs="Arial"/>
          <w:szCs w:val="24"/>
        </w:rPr>
        <w:br/>
      </w:r>
      <w:r>
        <w:rPr>
          <w:rFonts w:cs="Arial"/>
          <w:szCs w:val="24"/>
        </w:rPr>
        <w:t xml:space="preserve">(“the Corporations Act”).  The group or class comprises people who acquired an interest in Arrium Ltd </w:t>
      </w:r>
      <w:r w:rsidRPr="004C6704">
        <w:rPr>
          <w:rFonts w:cs="Arial"/>
          <w:szCs w:val="24"/>
        </w:rPr>
        <w:t xml:space="preserve">through shares </w:t>
      </w:r>
      <w:r>
        <w:rPr>
          <w:rFonts w:cs="Arial"/>
          <w:szCs w:val="24"/>
        </w:rPr>
        <w:t xml:space="preserve">between August 2014 and April 2016.  </w:t>
      </w:r>
      <w:r w:rsidR="009E5214">
        <w:rPr>
          <w:rFonts w:cs="Arial"/>
          <w:szCs w:val="24"/>
        </w:rPr>
        <w:br/>
      </w:r>
      <w:r>
        <w:rPr>
          <w:rFonts w:cs="Arial"/>
          <w:szCs w:val="24"/>
        </w:rPr>
        <w:t xml:space="preserve">The first to fourth respondents (“the director respondents”) were directors of </w:t>
      </w:r>
      <w:r w:rsidR="009E5214">
        <w:rPr>
          <w:rFonts w:cs="Arial"/>
          <w:szCs w:val="24"/>
        </w:rPr>
        <w:br/>
      </w:r>
      <w:r>
        <w:rPr>
          <w:rFonts w:cs="Arial"/>
          <w:szCs w:val="24"/>
        </w:rPr>
        <w:t>Arrium Ltd during the relevant period and the fifth respondent (“KPMG”) had been retained by Arrium Ltd during the relevant period as its auditor.</w:t>
      </w:r>
    </w:p>
    <w:p w14:paraId="0B8B31DC" w14:textId="77777777" w:rsidR="008168E1" w:rsidRDefault="008168E1" w:rsidP="008168E1">
      <w:pPr>
        <w:tabs>
          <w:tab w:val="left" w:pos="0"/>
        </w:tabs>
        <w:jc w:val="both"/>
        <w:rPr>
          <w:rFonts w:cs="Arial"/>
          <w:szCs w:val="24"/>
        </w:rPr>
      </w:pPr>
    </w:p>
    <w:p w14:paraId="76048DC0" w14:textId="0BB04D32" w:rsidR="008168E1" w:rsidRDefault="008168E1" w:rsidP="008168E1">
      <w:pPr>
        <w:tabs>
          <w:tab w:val="left" w:pos="0"/>
        </w:tabs>
        <w:jc w:val="both"/>
        <w:rPr>
          <w:rFonts w:cs="Arial"/>
          <w:szCs w:val="24"/>
        </w:rPr>
      </w:pPr>
      <w:r>
        <w:rPr>
          <w:rFonts w:cs="Arial"/>
          <w:szCs w:val="24"/>
        </w:rPr>
        <w:t xml:space="preserve">As of 1 July </w:t>
      </w:r>
      <w:r w:rsidRPr="009D52DE">
        <w:rPr>
          <w:rFonts w:cs="Arial"/>
          <w:szCs w:val="24"/>
        </w:rPr>
        <w:t xml:space="preserve">2020, the </w:t>
      </w:r>
      <w:r w:rsidRPr="009D52DE">
        <w:rPr>
          <w:rFonts w:cs="Arial"/>
          <w:i/>
          <w:iCs/>
          <w:szCs w:val="24"/>
        </w:rPr>
        <w:t>Supreme Court Act 1986</w:t>
      </w:r>
      <w:r>
        <w:rPr>
          <w:rFonts w:cs="Arial"/>
          <w:szCs w:val="24"/>
        </w:rPr>
        <w:t xml:space="preserve"> (Vic) (“the Supreme Court Act”) </w:t>
      </w:r>
      <w:r w:rsidRPr="009D52DE">
        <w:rPr>
          <w:rFonts w:cs="Arial"/>
          <w:szCs w:val="24"/>
        </w:rPr>
        <w:t>was amended to introduce</w:t>
      </w:r>
      <w:r>
        <w:rPr>
          <w:rFonts w:cs="Arial"/>
          <w:szCs w:val="24"/>
        </w:rPr>
        <w:t xml:space="preserve"> </w:t>
      </w:r>
      <w:r w:rsidRPr="009D52DE">
        <w:rPr>
          <w:rFonts w:cs="Arial"/>
          <w:szCs w:val="24"/>
        </w:rPr>
        <w:t>the concept of a ‘group costs order’ (</w:t>
      </w:r>
      <w:r>
        <w:rPr>
          <w:rFonts w:cs="Arial"/>
          <w:szCs w:val="24"/>
        </w:rPr>
        <w:t>“</w:t>
      </w:r>
      <w:r w:rsidRPr="009D52DE">
        <w:rPr>
          <w:rFonts w:cs="Arial"/>
          <w:szCs w:val="24"/>
        </w:rPr>
        <w:t>GCO</w:t>
      </w:r>
      <w:r>
        <w:rPr>
          <w:rFonts w:cs="Arial"/>
          <w:szCs w:val="24"/>
        </w:rPr>
        <w:t>”</w:t>
      </w:r>
      <w:r w:rsidRPr="009D52DE">
        <w:rPr>
          <w:rFonts w:cs="Arial"/>
          <w:szCs w:val="24"/>
        </w:rPr>
        <w:t>)</w:t>
      </w:r>
      <w:r>
        <w:rPr>
          <w:rFonts w:cs="Arial"/>
          <w:szCs w:val="24"/>
        </w:rPr>
        <w:t>,</w:t>
      </w:r>
      <w:r w:rsidRPr="009D52DE">
        <w:rPr>
          <w:rFonts w:cs="Arial"/>
          <w:szCs w:val="24"/>
        </w:rPr>
        <w:t xml:space="preserve"> which applies in group proceedings and</w:t>
      </w:r>
      <w:r>
        <w:rPr>
          <w:rFonts w:cs="Arial"/>
          <w:szCs w:val="24"/>
        </w:rPr>
        <w:t xml:space="preserve"> </w:t>
      </w:r>
      <w:r w:rsidRPr="009D52DE">
        <w:rPr>
          <w:rFonts w:cs="Arial"/>
          <w:szCs w:val="24"/>
        </w:rPr>
        <w:t>allows the Court to order that the legal costs payable to a law practice in a group</w:t>
      </w:r>
      <w:r>
        <w:rPr>
          <w:rFonts w:cs="Arial"/>
          <w:szCs w:val="24"/>
        </w:rPr>
        <w:t xml:space="preserve"> </w:t>
      </w:r>
      <w:r w:rsidRPr="009D52DE">
        <w:rPr>
          <w:rFonts w:cs="Arial"/>
          <w:szCs w:val="24"/>
        </w:rPr>
        <w:t>proceeding may be calculated as a percentage of the amount of any award or settlement</w:t>
      </w:r>
      <w:r w:rsidRPr="009D52DE">
        <w:t xml:space="preserve"> </w:t>
      </w:r>
      <w:r w:rsidRPr="009D52DE">
        <w:rPr>
          <w:rFonts w:cs="Arial"/>
          <w:szCs w:val="24"/>
        </w:rPr>
        <w:t>recovered</w:t>
      </w:r>
      <w:r>
        <w:rPr>
          <w:rFonts w:cs="Arial"/>
          <w:szCs w:val="24"/>
        </w:rPr>
        <w:t xml:space="preserve"> (also referred to as contingency fees). </w:t>
      </w:r>
      <w:r w:rsidRPr="009D52DE">
        <w:rPr>
          <w:rFonts w:cs="Arial"/>
          <w:szCs w:val="24"/>
        </w:rPr>
        <w:t xml:space="preserve"> </w:t>
      </w:r>
      <w:r>
        <w:rPr>
          <w:rFonts w:cs="Arial"/>
          <w:szCs w:val="24"/>
        </w:rPr>
        <w:t xml:space="preserve">Such fees are otherwise prohibited throughout Australia.  Justice John Dixon in the Supreme Court of Victoria </w:t>
      </w:r>
      <w:r w:rsidRPr="009D52DE">
        <w:rPr>
          <w:rFonts w:cs="Arial"/>
          <w:szCs w:val="24"/>
        </w:rPr>
        <w:t xml:space="preserve">made a GCO, </w:t>
      </w:r>
      <w:r>
        <w:rPr>
          <w:rFonts w:cs="Arial"/>
          <w:szCs w:val="24"/>
        </w:rPr>
        <w:t xml:space="preserve">setting </w:t>
      </w:r>
      <w:r w:rsidRPr="009D52DE">
        <w:rPr>
          <w:rFonts w:cs="Arial"/>
          <w:szCs w:val="24"/>
        </w:rPr>
        <w:t>the</w:t>
      </w:r>
      <w:r>
        <w:rPr>
          <w:rFonts w:cs="Arial"/>
          <w:szCs w:val="24"/>
        </w:rPr>
        <w:t xml:space="preserve"> </w:t>
      </w:r>
      <w:r w:rsidRPr="009D52DE">
        <w:rPr>
          <w:rFonts w:cs="Arial"/>
          <w:szCs w:val="24"/>
        </w:rPr>
        <w:t xml:space="preserve">legal costs payable to the solicitors for the </w:t>
      </w:r>
      <w:r>
        <w:rPr>
          <w:rFonts w:cs="Arial"/>
          <w:szCs w:val="24"/>
        </w:rPr>
        <w:t>applicants</w:t>
      </w:r>
      <w:r w:rsidRPr="009D52DE">
        <w:rPr>
          <w:rFonts w:cs="Arial"/>
          <w:szCs w:val="24"/>
        </w:rPr>
        <w:t xml:space="preserve"> at 40 per cent of the amount</w:t>
      </w:r>
      <w:r>
        <w:rPr>
          <w:rFonts w:cs="Arial"/>
          <w:szCs w:val="24"/>
        </w:rPr>
        <w:t xml:space="preserve"> </w:t>
      </w:r>
      <w:r w:rsidRPr="009D52DE">
        <w:rPr>
          <w:rFonts w:cs="Arial"/>
          <w:szCs w:val="24"/>
        </w:rPr>
        <w:t>of any award or settlement recovered.</w:t>
      </w:r>
      <w:r w:rsidRPr="009D52DE">
        <w:t xml:space="preserve"> </w:t>
      </w:r>
      <w:r>
        <w:t xml:space="preserve"> There is no appeal possible from that GCO.  </w:t>
      </w:r>
      <w:r w:rsidRPr="009D52DE">
        <w:rPr>
          <w:rFonts w:cs="Arial"/>
          <w:szCs w:val="24"/>
        </w:rPr>
        <w:t xml:space="preserve">The </w:t>
      </w:r>
      <w:r>
        <w:rPr>
          <w:rFonts w:cs="Arial"/>
          <w:szCs w:val="24"/>
        </w:rPr>
        <w:t xml:space="preserve">respondents </w:t>
      </w:r>
      <w:r w:rsidRPr="009D52DE">
        <w:rPr>
          <w:rFonts w:cs="Arial"/>
          <w:szCs w:val="24"/>
        </w:rPr>
        <w:t>applied by summons to have the group proceeding transferred to</w:t>
      </w:r>
      <w:r>
        <w:rPr>
          <w:rFonts w:cs="Arial"/>
          <w:szCs w:val="24"/>
        </w:rPr>
        <w:t xml:space="preserve"> </w:t>
      </w:r>
      <w:r w:rsidRPr="009D52DE">
        <w:rPr>
          <w:rFonts w:cs="Arial"/>
          <w:szCs w:val="24"/>
        </w:rPr>
        <w:t>the Supreme Court of N</w:t>
      </w:r>
      <w:r>
        <w:rPr>
          <w:rFonts w:cs="Arial"/>
          <w:szCs w:val="24"/>
        </w:rPr>
        <w:t xml:space="preserve">ew </w:t>
      </w:r>
      <w:r w:rsidRPr="009D52DE">
        <w:rPr>
          <w:rFonts w:cs="Arial"/>
          <w:szCs w:val="24"/>
        </w:rPr>
        <w:t>S</w:t>
      </w:r>
      <w:r>
        <w:rPr>
          <w:rFonts w:cs="Arial"/>
          <w:szCs w:val="24"/>
        </w:rPr>
        <w:t xml:space="preserve">outh </w:t>
      </w:r>
      <w:r w:rsidRPr="009D52DE">
        <w:rPr>
          <w:rFonts w:cs="Arial"/>
          <w:szCs w:val="24"/>
        </w:rPr>
        <w:t>W</w:t>
      </w:r>
      <w:r>
        <w:rPr>
          <w:rFonts w:cs="Arial"/>
          <w:szCs w:val="24"/>
        </w:rPr>
        <w:t>ales,</w:t>
      </w:r>
      <w:r w:rsidRPr="009D52DE">
        <w:rPr>
          <w:rFonts w:cs="Arial"/>
          <w:szCs w:val="24"/>
        </w:rPr>
        <w:t xml:space="preserve"> pursuant to an express statutory power in the</w:t>
      </w:r>
      <w:r>
        <w:rPr>
          <w:rFonts w:cs="Arial"/>
          <w:szCs w:val="24"/>
        </w:rPr>
        <w:t xml:space="preserve"> </w:t>
      </w:r>
      <w:r w:rsidRPr="00EE4FAB">
        <w:rPr>
          <w:rFonts w:cs="Arial"/>
          <w:szCs w:val="24"/>
        </w:rPr>
        <w:t>Corporations Act</w:t>
      </w:r>
      <w:r w:rsidRPr="009D52DE">
        <w:rPr>
          <w:rFonts w:cs="Arial"/>
          <w:szCs w:val="24"/>
        </w:rPr>
        <w:t xml:space="preserve"> on the ground that the </w:t>
      </w:r>
      <w:r>
        <w:rPr>
          <w:rFonts w:cs="Arial"/>
          <w:szCs w:val="24"/>
        </w:rPr>
        <w:t xml:space="preserve">Supreme </w:t>
      </w:r>
      <w:r w:rsidRPr="009D52DE">
        <w:rPr>
          <w:rFonts w:cs="Arial"/>
          <w:szCs w:val="24"/>
        </w:rPr>
        <w:t xml:space="preserve">Court </w:t>
      </w:r>
      <w:r>
        <w:rPr>
          <w:rFonts w:cs="Arial"/>
          <w:szCs w:val="24"/>
        </w:rPr>
        <w:t xml:space="preserve">of New South Wales </w:t>
      </w:r>
      <w:r w:rsidRPr="009D52DE">
        <w:rPr>
          <w:rFonts w:cs="Arial"/>
          <w:szCs w:val="24"/>
        </w:rPr>
        <w:t>is the more appropriate forum.</w:t>
      </w:r>
      <w:r>
        <w:rPr>
          <w:rFonts w:cs="Arial"/>
          <w:szCs w:val="24"/>
        </w:rPr>
        <w:t xml:space="preserve">  </w:t>
      </w:r>
      <w:r w:rsidRPr="009D52DE">
        <w:rPr>
          <w:rFonts w:cs="Arial"/>
          <w:szCs w:val="24"/>
        </w:rPr>
        <w:t xml:space="preserve">Questions </w:t>
      </w:r>
      <w:r>
        <w:rPr>
          <w:rFonts w:cs="Arial"/>
          <w:szCs w:val="24"/>
        </w:rPr>
        <w:t xml:space="preserve">arose </w:t>
      </w:r>
      <w:r w:rsidRPr="009D52DE">
        <w:rPr>
          <w:rFonts w:cs="Arial"/>
          <w:szCs w:val="24"/>
        </w:rPr>
        <w:t xml:space="preserve">as to whether, in determining the transfer application, </w:t>
      </w:r>
      <w:r w:rsidR="009E5214">
        <w:rPr>
          <w:rFonts w:cs="Arial"/>
          <w:szCs w:val="24"/>
        </w:rPr>
        <w:br/>
      </w:r>
      <w:r w:rsidRPr="009D52DE">
        <w:rPr>
          <w:rFonts w:cs="Arial"/>
          <w:szCs w:val="24"/>
        </w:rPr>
        <w:t>the fact</w:t>
      </w:r>
      <w:r>
        <w:rPr>
          <w:rFonts w:cs="Arial"/>
          <w:szCs w:val="24"/>
        </w:rPr>
        <w:t xml:space="preserve"> </w:t>
      </w:r>
      <w:r w:rsidRPr="009D52DE">
        <w:rPr>
          <w:rFonts w:cs="Arial"/>
          <w:szCs w:val="24"/>
        </w:rPr>
        <w:t>that a GCO ha</w:t>
      </w:r>
      <w:r>
        <w:rPr>
          <w:rFonts w:cs="Arial"/>
          <w:szCs w:val="24"/>
        </w:rPr>
        <w:t>d</w:t>
      </w:r>
      <w:r w:rsidRPr="009D52DE">
        <w:rPr>
          <w:rFonts w:cs="Arial"/>
          <w:szCs w:val="24"/>
        </w:rPr>
        <w:t xml:space="preserve"> been made is relevant to the exercise of the transfer power and, if the</w:t>
      </w:r>
      <w:r>
        <w:rPr>
          <w:rFonts w:cs="Arial"/>
          <w:szCs w:val="24"/>
        </w:rPr>
        <w:t xml:space="preserve"> </w:t>
      </w:r>
      <w:r w:rsidRPr="009D52DE">
        <w:rPr>
          <w:rFonts w:cs="Arial"/>
          <w:szCs w:val="24"/>
        </w:rPr>
        <w:t xml:space="preserve">proceeding </w:t>
      </w:r>
      <w:r>
        <w:rPr>
          <w:rFonts w:cs="Arial"/>
          <w:szCs w:val="24"/>
        </w:rPr>
        <w:t>were</w:t>
      </w:r>
      <w:r w:rsidRPr="009D52DE">
        <w:rPr>
          <w:rFonts w:cs="Arial"/>
          <w:szCs w:val="24"/>
        </w:rPr>
        <w:t xml:space="preserve"> transferred, whether the GCO w</w:t>
      </w:r>
      <w:r>
        <w:rPr>
          <w:rFonts w:cs="Arial"/>
          <w:szCs w:val="24"/>
        </w:rPr>
        <w:t>ould</w:t>
      </w:r>
      <w:r w:rsidRPr="009D52DE">
        <w:rPr>
          <w:rFonts w:cs="Arial"/>
          <w:szCs w:val="24"/>
        </w:rPr>
        <w:t xml:space="preserve"> apply in </w:t>
      </w:r>
      <w:r w:rsidR="009E5214">
        <w:rPr>
          <w:rFonts w:cs="Arial"/>
          <w:szCs w:val="24"/>
        </w:rPr>
        <w:br/>
      </w:r>
      <w:r w:rsidRPr="009D52DE">
        <w:rPr>
          <w:rFonts w:cs="Arial"/>
          <w:szCs w:val="24"/>
        </w:rPr>
        <w:t>N</w:t>
      </w:r>
      <w:r>
        <w:rPr>
          <w:rFonts w:cs="Arial"/>
          <w:szCs w:val="24"/>
        </w:rPr>
        <w:t xml:space="preserve">ew </w:t>
      </w:r>
      <w:r w:rsidRPr="009D52DE">
        <w:rPr>
          <w:rFonts w:cs="Arial"/>
          <w:szCs w:val="24"/>
        </w:rPr>
        <w:t>S</w:t>
      </w:r>
      <w:r>
        <w:rPr>
          <w:rFonts w:cs="Arial"/>
          <w:szCs w:val="24"/>
        </w:rPr>
        <w:t xml:space="preserve">outh </w:t>
      </w:r>
      <w:r w:rsidRPr="009D52DE">
        <w:rPr>
          <w:rFonts w:cs="Arial"/>
          <w:szCs w:val="24"/>
        </w:rPr>
        <w:t>W</w:t>
      </w:r>
      <w:r>
        <w:rPr>
          <w:rFonts w:cs="Arial"/>
          <w:szCs w:val="24"/>
        </w:rPr>
        <w:t>ales</w:t>
      </w:r>
      <w:r w:rsidRPr="009D52DE">
        <w:rPr>
          <w:rFonts w:cs="Arial"/>
          <w:szCs w:val="24"/>
        </w:rPr>
        <w:t xml:space="preserve"> thereafter. </w:t>
      </w:r>
      <w:r>
        <w:rPr>
          <w:rFonts w:cs="Arial"/>
          <w:szCs w:val="24"/>
        </w:rPr>
        <w:t xml:space="preserve">  </w:t>
      </w:r>
      <w:r w:rsidRPr="009D52DE">
        <w:rPr>
          <w:rFonts w:cs="Arial"/>
          <w:szCs w:val="24"/>
        </w:rPr>
        <w:t>N</w:t>
      </w:r>
      <w:r>
        <w:rPr>
          <w:rFonts w:cs="Arial"/>
          <w:szCs w:val="24"/>
        </w:rPr>
        <w:t xml:space="preserve">ew </w:t>
      </w:r>
      <w:r w:rsidRPr="009D52DE">
        <w:rPr>
          <w:rFonts w:cs="Arial"/>
          <w:szCs w:val="24"/>
        </w:rPr>
        <w:t>S</w:t>
      </w:r>
      <w:r>
        <w:rPr>
          <w:rFonts w:cs="Arial"/>
          <w:szCs w:val="24"/>
        </w:rPr>
        <w:t xml:space="preserve">outh </w:t>
      </w:r>
      <w:r w:rsidRPr="009D52DE">
        <w:rPr>
          <w:rFonts w:cs="Arial"/>
          <w:szCs w:val="24"/>
        </w:rPr>
        <w:t>W</w:t>
      </w:r>
      <w:r>
        <w:rPr>
          <w:rFonts w:cs="Arial"/>
          <w:szCs w:val="24"/>
        </w:rPr>
        <w:t>ales</w:t>
      </w:r>
      <w:r w:rsidRPr="009D52DE">
        <w:rPr>
          <w:rFonts w:cs="Arial"/>
          <w:szCs w:val="24"/>
        </w:rPr>
        <w:t xml:space="preserve"> prohibits lawyers charging contingency fees and</w:t>
      </w:r>
      <w:r>
        <w:rPr>
          <w:rFonts w:cs="Arial"/>
          <w:szCs w:val="24"/>
        </w:rPr>
        <w:t xml:space="preserve"> </w:t>
      </w:r>
      <w:r w:rsidRPr="009D52DE">
        <w:rPr>
          <w:rFonts w:cs="Arial"/>
          <w:szCs w:val="24"/>
        </w:rPr>
        <w:t>makes no exception for group proceedings</w:t>
      </w:r>
      <w:r>
        <w:rPr>
          <w:rFonts w:cs="Arial"/>
          <w:szCs w:val="24"/>
        </w:rPr>
        <w:t xml:space="preserve">, so </w:t>
      </w:r>
      <w:r w:rsidRPr="009D52DE">
        <w:rPr>
          <w:rFonts w:cs="Arial"/>
          <w:szCs w:val="24"/>
        </w:rPr>
        <w:t>had the group proceeding been</w:t>
      </w:r>
      <w:r>
        <w:rPr>
          <w:rFonts w:cs="Arial"/>
          <w:szCs w:val="24"/>
        </w:rPr>
        <w:t xml:space="preserve"> </w:t>
      </w:r>
      <w:r w:rsidRPr="009D52DE">
        <w:rPr>
          <w:rFonts w:cs="Arial"/>
          <w:szCs w:val="24"/>
        </w:rPr>
        <w:t>brought in N</w:t>
      </w:r>
      <w:r>
        <w:rPr>
          <w:rFonts w:cs="Arial"/>
          <w:szCs w:val="24"/>
        </w:rPr>
        <w:t xml:space="preserve">ew </w:t>
      </w:r>
      <w:r w:rsidRPr="009D52DE">
        <w:rPr>
          <w:rFonts w:cs="Arial"/>
          <w:szCs w:val="24"/>
        </w:rPr>
        <w:t>S</w:t>
      </w:r>
      <w:r>
        <w:rPr>
          <w:rFonts w:cs="Arial"/>
          <w:szCs w:val="24"/>
        </w:rPr>
        <w:t xml:space="preserve">outh </w:t>
      </w:r>
      <w:r w:rsidRPr="009D52DE">
        <w:rPr>
          <w:rFonts w:cs="Arial"/>
          <w:szCs w:val="24"/>
        </w:rPr>
        <w:t>W</w:t>
      </w:r>
      <w:r>
        <w:rPr>
          <w:rFonts w:cs="Arial"/>
          <w:szCs w:val="24"/>
        </w:rPr>
        <w:t>ales</w:t>
      </w:r>
      <w:r w:rsidRPr="009D52DE">
        <w:rPr>
          <w:rFonts w:cs="Arial"/>
          <w:szCs w:val="24"/>
        </w:rPr>
        <w:t xml:space="preserve"> there would have been no power to make a GCO</w:t>
      </w:r>
      <w:r>
        <w:rPr>
          <w:rFonts w:cs="Arial"/>
          <w:szCs w:val="24"/>
        </w:rPr>
        <w:t>.</w:t>
      </w:r>
    </w:p>
    <w:p w14:paraId="27BEF95F" w14:textId="77777777" w:rsidR="008168E1" w:rsidRDefault="008168E1" w:rsidP="008168E1">
      <w:pPr>
        <w:tabs>
          <w:tab w:val="left" w:pos="0"/>
        </w:tabs>
        <w:jc w:val="both"/>
        <w:rPr>
          <w:rFonts w:cs="Arial"/>
          <w:szCs w:val="24"/>
        </w:rPr>
      </w:pPr>
    </w:p>
    <w:p w14:paraId="6471820F" w14:textId="02E50905" w:rsidR="008168E1" w:rsidRDefault="008168E1" w:rsidP="008168E1">
      <w:pPr>
        <w:tabs>
          <w:tab w:val="left" w:pos="0"/>
        </w:tabs>
        <w:jc w:val="both"/>
        <w:rPr>
          <w:rFonts w:cs="Arial"/>
          <w:szCs w:val="24"/>
        </w:rPr>
      </w:pPr>
      <w:r>
        <w:rPr>
          <w:rFonts w:cs="Arial"/>
          <w:szCs w:val="24"/>
        </w:rPr>
        <w:t xml:space="preserve">Justice Nichols of the Supreme Court of Victoria reserved three questions for the consideration of the Court of Appeal (which are set out below as the questions reserved in this Court).  The Court of Appeal found that because a GCO had been made, the litigation funder involved would probably not continue to fund the proceeding without the GCO; and because the GCO could not “travel” to </w:t>
      </w:r>
      <w:r w:rsidR="009E5214">
        <w:rPr>
          <w:rFonts w:cs="Arial"/>
          <w:szCs w:val="24"/>
        </w:rPr>
        <w:br/>
      </w:r>
      <w:r>
        <w:rPr>
          <w:rFonts w:cs="Arial"/>
          <w:szCs w:val="24"/>
        </w:rPr>
        <w:t>New South Wales, the GCO in effect tied the proceeding to Victoria and no transfer should be ordered.  The Court indicated they would answer the questions as follows:</w:t>
      </w:r>
    </w:p>
    <w:p w14:paraId="71975D67" w14:textId="77777777" w:rsidR="008168E1" w:rsidRDefault="008168E1" w:rsidP="008168E1">
      <w:pPr>
        <w:tabs>
          <w:tab w:val="left" w:pos="0"/>
        </w:tabs>
        <w:jc w:val="both"/>
        <w:rPr>
          <w:rFonts w:cs="Arial"/>
          <w:szCs w:val="24"/>
        </w:rPr>
      </w:pPr>
    </w:p>
    <w:p w14:paraId="56E71E18" w14:textId="77777777" w:rsidR="008168E1" w:rsidRDefault="008168E1" w:rsidP="008168E1">
      <w:pPr>
        <w:pStyle w:val="ListParagraph"/>
        <w:numPr>
          <w:ilvl w:val="0"/>
          <w:numId w:val="16"/>
        </w:numPr>
        <w:tabs>
          <w:tab w:val="left" w:pos="0"/>
        </w:tabs>
        <w:ind w:left="426" w:hanging="426"/>
        <w:rPr>
          <w:rFonts w:cs="Arial"/>
          <w:szCs w:val="24"/>
        </w:rPr>
      </w:pPr>
      <w:proofErr w:type="gramStart"/>
      <w:r w:rsidRPr="007D2386">
        <w:rPr>
          <w:rFonts w:cs="Arial"/>
          <w:szCs w:val="24"/>
        </w:rPr>
        <w:t>Yes;</w:t>
      </w:r>
      <w:proofErr w:type="gramEnd"/>
      <w:r w:rsidRPr="007D2386">
        <w:rPr>
          <w:rFonts w:cs="Arial"/>
          <w:szCs w:val="24"/>
        </w:rPr>
        <w:t xml:space="preserve"> </w:t>
      </w:r>
    </w:p>
    <w:p w14:paraId="7B7A6B49" w14:textId="77777777" w:rsidR="008168E1" w:rsidRDefault="008168E1" w:rsidP="008168E1">
      <w:pPr>
        <w:pStyle w:val="ListParagraph"/>
        <w:tabs>
          <w:tab w:val="left" w:pos="0"/>
        </w:tabs>
        <w:ind w:left="426" w:hanging="426"/>
        <w:rPr>
          <w:rFonts w:cs="Arial"/>
          <w:szCs w:val="24"/>
        </w:rPr>
      </w:pPr>
    </w:p>
    <w:p w14:paraId="2272D74B" w14:textId="77777777" w:rsidR="008168E1" w:rsidRDefault="008168E1" w:rsidP="008168E1">
      <w:pPr>
        <w:pStyle w:val="ListParagraph"/>
        <w:numPr>
          <w:ilvl w:val="0"/>
          <w:numId w:val="16"/>
        </w:numPr>
        <w:tabs>
          <w:tab w:val="left" w:pos="0"/>
        </w:tabs>
        <w:ind w:left="426" w:hanging="426"/>
        <w:rPr>
          <w:rFonts w:cs="Arial"/>
          <w:szCs w:val="24"/>
        </w:rPr>
      </w:pPr>
      <w:r w:rsidRPr="007D2386">
        <w:rPr>
          <w:rFonts w:cs="Arial"/>
          <w:szCs w:val="24"/>
        </w:rPr>
        <w:t xml:space="preserve">(a) </w:t>
      </w:r>
      <w:proofErr w:type="gramStart"/>
      <w:r w:rsidRPr="007D2386">
        <w:rPr>
          <w:rFonts w:cs="Arial"/>
          <w:szCs w:val="24"/>
        </w:rPr>
        <w:t>No;</w:t>
      </w:r>
      <w:proofErr w:type="gramEnd"/>
      <w:r w:rsidRPr="007D2386">
        <w:rPr>
          <w:rFonts w:cs="Arial"/>
          <w:szCs w:val="24"/>
        </w:rPr>
        <w:t xml:space="preserve"> </w:t>
      </w:r>
    </w:p>
    <w:p w14:paraId="2ABA10D2" w14:textId="77777777" w:rsidR="008168E1" w:rsidRPr="007936D3" w:rsidRDefault="008168E1" w:rsidP="008168E1">
      <w:pPr>
        <w:tabs>
          <w:tab w:val="left" w:pos="0"/>
        </w:tabs>
        <w:ind w:left="426" w:hanging="426"/>
        <w:jc w:val="both"/>
        <w:rPr>
          <w:rFonts w:cs="Arial"/>
          <w:szCs w:val="24"/>
        </w:rPr>
      </w:pPr>
    </w:p>
    <w:p w14:paraId="3F240116" w14:textId="77777777" w:rsidR="008168E1" w:rsidRPr="007936D3" w:rsidRDefault="008168E1" w:rsidP="008168E1">
      <w:pPr>
        <w:pStyle w:val="ListParagraph"/>
        <w:numPr>
          <w:ilvl w:val="0"/>
          <w:numId w:val="18"/>
        </w:numPr>
        <w:tabs>
          <w:tab w:val="left" w:pos="0"/>
        </w:tabs>
        <w:rPr>
          <w:rFonts w:cs="Arial"/>
          <w:szCs w:val="24"/>
        </w:rPr>
      </w:pPr>
      <w:r>
        <w:rPr>
          <w:rFonts w:cs="Arial"/>
          <w:szCs w:val="24"/>
        </w:rPr>
        <w:t xml:space="preserve"> </w:t>
      </w:r>
      <w:r w:rsidRPr="007936D3">
        <w:rPr>
          <w:rFonts w:cs="Arial"/>
          <w:szCs w:val="24"/>
        </w:rPr>
        <w:t xml:space="preserve">(b) Does not arise; and </w:t>
      </w:r>
    </w:p>
    <w:p w14:paraId="634A76B1" w14:textId="77777777" w:rsidR="008168E1" w:rsidRPr="007936D3" w:rsidRDefault="008168E1" w:rsidP="008168E1">
      <w:pPr>
        <w:tabs>
          <w:tab w:val="left" w:pos="0"/>
        </w:tabs>
        <w:ind w:left="426" w:hanging="426"/>
        <w:jc w:val="both"/>
        <w:rPr>
          <w:rFonts w:cs="Arial"/>
          <w:szCs w:val="24"/>
        </w:rPr>
      </w:pPr>
    </w:p>
    <w:p w14:paraId="3AB84C01" w14:textId="77777777" w:rsidR="008168E1" w:rsidRPr="001171DC" w:rsidRDefault="008168E1" w:rsidP="008168E1">
      <w:pPr>
        <w:pStyle w:val="ListParagraph"/>
        <w:numPr>
          <w:ilvl w:val="0"/>
          <w:numId w:val="18"/>
        </w:numPr>
        <w:tabs>
          <w:tab w:val="left" w:pos="0"/>
          <w:tab w:val="left" w:pos="426"/>
        </w:tabs>
        <w:ind w:left="426" w:hanging="426"/>
        <w:rPr>
          <w:rFonts w:cs="Arial"/>
          <w:szCs w:val="24"/>
        </w:rPr>
      </w:pPr>
      <w:r w:rsidRPr="001171DC">
        <w:rPr>
          <w:rFonts w:cs="Arial"/>
          <w:szCs w:val="24"/>
        </w:rPr>
        <w:t xml:space="preserve">No. </w:t>
      </w:r>
    </w:p>
    <w:p w14:paraId="4B4884D3" w14:textId="77777777" w:rsidR="008168E1" w:rsidRPr="001171DC" w:rsidRDefault="008168E1" w:rsidP="008168E1">
      <w:pPr>
        <w:tabs>
          <w:tab w:val="left" w:pos="0"/>
          <w:tab w:val="left" w:pos="426"/>
        </w:tabs>
        <w:jc w:val="both"/>
        <w:rPr>
          <w:rFonts w:cs="Arial"/>
          <w:szCs w:val="24"/>
        </w:rPr>
      </w:pPr>
    </w:p>
    <w:p w14:paraId="381C70EA" w14:textId="02214B73" w:rsidR="008168E1" w:rsidRDefault="008168E1" w:rsidP="008168E1">
      <w:pPr>
        <w:tabs>
          <w:tab w:val="left" w:pos="0"/>
        </w:tabs>
        <w:jc w:val="both"/>
        <w:rPr>
          <w:rFonts w:cs="Arial"/>
          <w:szCs w:val="24"/>
        </w:rPr>
      </w:pPr>
      <w:r w:rsidRPr="007D2386">
        <w:rPr>
          <w:rFonts w:cs="Arial"/>
          <w:szCs w:val="24"/>
        </w:rPr>
        <w:t xml:space="preserve">The Court did not make orders reflecting their reasons.  Had any orders been made embodying those answers, they may not have been appealable by virtue of </w:t>
      </w:r>
      <w:r w:rsidR="009E5214">
        <w:rPr>
          <w:rFonts w:cs="Arial"/>
          <w:szCs w:val="24"/>
        </w:rPr>
        <w:br/>
      </w:r>
      <w:r w:rsidRPr="007D2386">
        <w:rPr>
          <w:rFonts w:cs="Arial"/>
          <w:szCs w:val="24"/>
        </w:rPr>
        <w:t>s</w:t>
      </w:r>
      <w:r>
        <w:rPr>
          <w:rFonts w:cs="Arial"/>
          <w:szCs w:val="24"/>
        </w:rPr>
        <w:t>ection</w:t>
      </w:r>
      <w:r w:rsidRPr="007D2386">
        <w:rPr>
          <w:rFonts w:cs="Arial"/>
          <w:szCs w:val="24"/>
        </w:rPr>
        <w:t xml:space="preserve"> </w:t>
      </w:r>
      <w:r w:rsidRPr="007D2386">
        <w:rPr>
          <w:rFonts w:cs="Arial"/>
          <w:szCs w:val="24"/>
        </w:rPr>
        <w:lastRenderedPageBreak/>
        <w:t xml:space="preserve">1337R(a) of the </w:t>
      </w:r>
      <w:r w:rsidRPr="00EE4FAB">
        <w:rPr>
          <w:rFonts w:cs="Arial"/>
          <w:szCs w:val="24"/>
        </w:rPr>
        <w:t>Corporations Act.</w:t>
      </w:r>
      <w:r w:rsidRPr="007D2386">
        <w:rPr>
          <w:rFonts w:cs="Arial"/>
          <w:szCs w:val="24"/>
        </w:rPr>
        <w:t xml:space="preserve"> </w:t>
      </w:r>
      <w:r>
        <w:rPr>
          <w:rFonts w:cs="Arial"/>
          <w:szCs w:val="24"/>
        </w:rPr>
        <w:t xml:space="preserve"> </w:t>
      </w:r>
      <w:r w:rsidRPr="007D2386">
        <w:rPr>
          <w:rFonts w:cs="Arial"/>
          <w:szCs w:val="24"/>
        </w:rPr>
        <w:t xml:space="preserve">Upon the application of KPMG, </w:t>
      </w:r>
      <w:r w:rsidR="009E5214">
        <w:rPr>
          <w:rFonts w:cs="Arial"/>
          <w:szCs w:val="24"/>
        </w:rPr>
        <w:br/>
      </w:r>
      <w:r w:rsidRPr="007D2386">
        <w:rPr>
          <w:rFonts w:cs="Arial"/>
          <w:szCs w:val="24"/>
        </w:rPr>
        <w:t xml:space="preserve">the proceedings have been removed into the High Court. </w:t>
      </w:r>
    </w:p>
    <w:p w14:paraId="362487D1" w14:textId="77777777" w:rsidR="008168E1" w:rsidRDefault="008168E1" w:rsidP="008168E1">
      <w:pPr>
        <w:tabs>
          <w:tab w:val="left" w:pos="0"/>
        </w:tabs>
        <w:jc w:val="both"/>
        <w:rPr>
          <w:rFonts w:cs="Arial"/>
          <w:szCs w:val="24"/>
        </w:rPr>
      </w:pPr>
    </w:p>
    <w:p w14:paraId="327B295B" w14:textId="03E086DD" w:rsidR="008168E1" w:rsidRDefault="008168E1" w:rsidP="008168E1">
      <w:pPr>
        <w:tabs>
          <w:tab w:val="left" w:pos="0"/>
        </w:tabs>
        <w:jc w:val="both"/>
        <w:rPr>
          <w:rFonts w:cs="Arial"/>
          <w:szCs w:val="24"/>
        </w:rPr>
      </w:pPr>
      <w:r>
        <w:rPr>
          <w:rFonts w:cs="Arial"/>
          <w:szCs w:val="24"/>
        </w:rPr>
        <w:t xml:space="preserve">KPMG challenges the correctness of each of the Court of Appeal’s conclusions.   KPMG submits that having removed the proceedings, the High Court may do whatever is necessary for the complete adjudication of the cause, including giving answers to the reserved questions which are different to those given by the </w:t>
      </w:r>
      <w:r w:rsidR="009E5214">
        <w:rPr>
          <w:rFonts w:cs="Arial"/>
          <w:szCs w:val="24"/>
        </w:rPr>
        <w:br/>
      </w:r>
      <w:r>
        <w:rPr>
          <w:rFonts w:cs="Arial"/>
          <w:szCs w:val="24"/>
        </w:rPr>
        <w:t xml:space="preserve">Court of Appeal.  The director respondents generally support KPMG, including that the questions reserved are to be reconsidered </w:t>
      </w:r>
      <w:r w:rsidRPr="00F3472E">
        <w:rPr>
          <w:rFonts w:cs="Arial"/>
          <w:i/>
          <w:iCs/>
          <w:szCs w:val="24"/>
        </w:rPr>
        <w:t>de novo</w:t>
      </w:r>
      <w:r>
        <w:rPr>
          <w:rFonts w:cs="Arial"/>
          <w:szCs w:val="24"/>
        </w:rPr>
        <w:t>.  The applicants however submit that this Court should not depart from the reasons of the Court of Appeal unless it finds error.</w:t>
      </w:r>
    </w:p>
    <w:p w14:paraId="39EE4606" w14:textId="77777777" w:rsidR="008168E1" w:rsidRDefault="008168E1" w:rsidP="008168E1">
      <w:pPr>
        <w:tabs>
          <w:tab w:val="left" w:pos="0"/>
        </w:tabs>
        <w:jc w:val="both"/>
        <w:rPr>
          <w:rFonts w:cs="Arial"/>
          <w:szCs w:val="24"/>
        </w:rPr>
      </w:pPr>
    </w:p>
    <w:p w14:paraId="05013657" w14:textId="57A27E69" w:rsidR="008168E1" w:rsidRDefault="008168E1" w:rsidP="008168E1">
      <w:pPr>
        <w:tabs>
          <w:tab w:val="left" w:pos="0"/>
        </w:tabs>
        <w:jc w:val="both"/>
        <w:rPr>
          <w:rFonts w:cs="Arial"/>
          <w:szCs w:val="24"/>
        </w:rPr>
      </w:pPr>
      <w:r>
        <w:rPr>
          <w:rFonts w:cs="Arial"/>
          <w:szCs w:val="24"/>
        </w:rPr>
        <w:t xml:space="preserve">The applicants have filed a notice of a constitutional matter and the </w:t>
      </w:r>
      <w:r w:rsidR="009E5214">
        <w:rPr>
          <w:rFonts w:cs="Arial"/>
          <w:szCs w:val="24"/>
        </w:rPr>
        <w:br/>
      </w:r>
      <w:r>
        <w:rPr>
          <w:rFonts w:cs="Arial"/>
          <w:szCs w:val="24"/>
        </w:rPr>
        <w:t>Attorney-General of the Commonwealth has intervened, generally in support of the respondents.  The Attorney-General of the Commonwealth has also filed an additional notice of a constitutional matter.</w:t>
      </w:r>
    </w:p>
    <w:p w14:paraId="1A8E5923" w14:textId="77777777" w:rsidR="008168E1" w:rsidRDefault="008168E1" w:rsidP="008168E1">
      <w:pPr>
        <w:autoSpaceDE w:val="0"/>
        <w:autoSpaceDN w:val="0"/>
        <w:adjustRightInd w:val="0"/>
        <w:jc w:val="both"/>
        <w:rPr>
          <w:rFonts w:cs="Arial"/>
          <w:szCs w:val="24"/>
        </w:rPr>
      </w:pPr>
    </w:p>
    <w:p w14:paraId="61FE49A9" w14:textId="77777777" w:rsidR="008168E1" w:rsidRDefault="008168E1" w:rsidP="008168E1">
      <w:pPr>
        <w:autoSpaceDE w:val="0"/>
        <w:autoSpaceDN w:val="0"/>
        <w:adjustRightInd w:val="0"/>
        <w:jc w:val="both"/>
        <w:rPr>
          <w:rFonts w:cs="Arial"/>
          <w:szCs w:val="24"/>
          <w:lang w:val="en-AU"/>
        </w:rPr>
      </w:pPr>
      <w:r>
        <w:rPr>
          <w:rFonts w:cs="Arial"/>
          <w:szCs w:val="24"/>
        </w:rPr>
        <w:t xml:space="preserve">The applicants also seek to contend that </w:t>
      </w:r>
      <w:r w:rsidRPr="001C3683">
        <w:rPr>
          <w:rFonts w:cs="Arial"/>
          <w:szCs w:val="24"/>
          <w:lang w:val="en-AU"/>
        </w:rPr>
        <w:t>the decision of the</w:t>
      </w:r>
      <w:r>
        <w:rPr>
          <w:rFonts w:cs="Arial"/>
          <w:szCs w:val="24"/>
          <w:lang w:val="en-AU"/>
        </w:rPr>
        <w:t xml:space="preserve"> </w:t>
      </w:r>
      <w:r w:rsidRPr="001C3683">
        <w:rPr>
          <w:rFonts w:cs="Arial"/>
          <w:szCs w:val="24"/>
          <w:lang w:val="en-AU"/>
        </w:rPr>
        <w:t xml:space="preserve">Court below should be affirmed </w:t>
      </w:r>
      <w:proofErr w:type="gramStart"/>
      <w:r w:rsidRPr="001C3683">
        <w:rPr>
          <w:rFonts w:cs="Arial"/>
          <w:szCs w:val="24"/>
          <w:lang w:val="en-AU"/>
        </w:rPr>
        <w:t xml:space="preserve">on the </w:t>
      </w:r>
      <w:r>
        <w:rPr>
          <w:rFonts w:cs="Arial"/>
          <w:szCs w:val="24"/>
          <w:lang w:val="en-AU"/>
        </w:rPr>
        <w:t>basis of</w:t>
      </w:r>
      <w:proofErr w:type="gramEnd"/>
      <w:r>
        <w:rPr>
          <w:rFonts w:cs="Arial"/>
          <w:szCs w:val="24"/>
          <w:lang w:val="en-AU"/>
        </w:rPr>
        <w:t xml:space="preserve"> the additional grounds identified in their document.  </w:t>
      </w:r>
    </w:p>
    <w:p w14:paraId="735CD034" w14:textId="77777777" w:rsidR="008168E1" w:rsidRPr="001C3683" w:rsidRDefault="008168E1" w:rsidP="008168E1">
      <w:pPr>
        <w:autoSpaceDE w:val="0"/>
        <w:autoSpaceDN w:val="0"/>
        <w:adjustRightInd w:val="0"/>
        <w:jc w:val="both"/>
        <w:rPr>
          <w:rFonts w:cs="Arial"/>
          <w:szCs w:val="24"/>
          <w:lang w:val="en-AU"/>
        </w:rPr>
      </w:pPr>
    </w:p>
    <w:p w14:paraId="4AAC45BD" w14:textId="77777777" w:rsidR="008168E1" w:rsidRDefault="008168E1" w:rsidP="008168E1">
      <w:pPr>
        <w:tabs>
          <w:tab w:val="left" w:pos="0"/>
        </w:tabs>
        <w:jc w:val="both"/>
        <w:rPr>
          <w:rFonts w:cs="Arial"/>
          <w:szCs w:val="24"/>
        </w:rPr>
      </w:pPr>
      <w:r w:rsidRPr="00872ECB">
        <w:rPr>
          <w:rFonts w:cs="Arial"/>
          <w:szCs w:val="24"/>
        </w:rPr>
        <w:t>The</w:t>
      </w:r>
      <w:r>
        <w:rPr>
          <w:rFonts w:cs="Arial"/>
          <w:szCs w:val="24"/>
        </w:rPr>
        <w:t xml:space="preserve"> questions reserved are</w:t>
      </w:r>
      <w:r w:rsidRPr="00872ECB">
        <w:rPr>
          <w:rFonts w:cs="Arial"/>
          <w:szCs w:val="24"/>
        </w:rPr>
        <w:t>:</w:t>
      </w:r>
    </w:p>
    <w:p w14:paraId="4DFC3E66" w14:textId="77777777" w:rsidR="008168E1" w:rsidRDefault="008168E1" w:rsidP="008168E1">
      <w:pPr>
        <w:tabs>
          <w:tab w:val="left" w:pos="0"/>
        </w:tabs>
        <w:jc w:val="both"/>
        <w:rPr>
          <w:rFonts w:cs="Arial"/>
          <w:szCs w:val="24"/>
        </w:rPr>
      </w:pPr>
    </w:p>
    <w:p w14:paraId="60F2A79E" w14:textId="0FD86FD8" w:rsidR="008168E1" w:rsidRDefault="008168E1" w:rsidP="008168E1">
      <w:pPr>
        <w:pStyle w:val="ListParagraph"/>
        <w:numPr>
          <w:ilvl w:val="0"/>
          <w:numId w:val="15"/>
        </w:numPr>
        <w:autoSpaceDE w:val="0"/>
        <w:autoSpaceDN w:val="0"/>
        <w:adjustRightInd w:val="0"/>
        <w:ind w:left="426" w:hanging="426"/>
        <w:rPr>
          <w:rFonts w:cs="Arial"/>
          <w:szCs w:val="24"/>
          <w:lang w:val="en-AU"/>
        </w:rPr>
      </w:pPr>
      <w:r w:rsidRPr="008F49BF">
        <w:rPr>
          <w:rFonts w:cs="Arial"/>
          <w:szCs w:val="24"/>
          <w:lang w:val="en-AU"/>
        </w:rPr>
        <w:t>In exercising the discretion to transfer proceedings to another court under</w:t>
      </w:r>
      <w:r>
        <w:rPr>
          <w:rFonts w:cs="Arial"/>
          <w:szCs w:val="24"/>
          <w:lang w:val="en-AU"/>
        </w:rPr>
        <w:t xml:space="preserve"> </w:t>
      </w:r>
      <w:r w:rsidR="009E5214">
        <w:rPr>
          <w:rFonts w:cs="Arial"/>
          <w:szCs w:val="24"/>
          <w:lang w:val="en-AU"/>
        </w:rPr>
        <w:br/>
      </w:r>
      <w:r w:rsidRPr="008F49BF">
        <w:rPr>
          <w:rFonts w:cs="Arial"/>
          <w:szCs w:val="24"/>
          <w:lang w:val="en-AU"/>
        </w:rPr>
        <w:t>s 1337</w:t>
      </w:r>
      <w:proofErr w:type="gramStart"/>
      <w:r w:rsidRPr="008F49BF">
        <w:rPr>
          <w:rFonts w:cs="Arial"/>
          <w:szCs w:val="24"/>
          <w:lang w:val="en-AU"/>
        </w:rPr>
        <w:t>H(</w:t>
      </w:r>
      <w:proofErr w:type="gramEnd"/>
      <w:r w:rsidRPr="008F49BF">
        <w:rPr>
          <w:rFonts w:cs="Arial"/>
          <w:szCs w:val="24"/>
          <w:lang w:val="en-AU"/>
        </w:rPr>
        <w:t xml:space="preserve">2) of the </w:t>
      </w:r>
      <w:r w:rsidRPr="00C90338">
        <w:rPr>
          <w:rFonts w:cs="Arial"/>
          <w:szCs w:val="24"/>
          <w:lang w:val="en-AU"/>
        </w:rPr>
        <w:t>Corporations Act</w:t>
      </w:r>
      <w:r w:rsidRPr="008F49BF">
        <w:rPr>
          <w:rFonts w:cs="Arial"/>
          <w:szCs w:val="24"/>
          <w:lang w:val="en-AU"/>
        </w:rPr>
        <w:t xml:space="preserve">, is the fact that the Supreme Court of Victoria has made a GCO under s 33ZDA of the </w:t>
      </w:r>
      <w:r w:rsidRPr="00C90338">
        <w:rPr>
          <w:rFonts w:cs="Arial"/>
          <w:szCs w:val="24"/>
          <w:lang w:val="en-AU"/>
        </w:rPr>
        <w:t>Supreme Court Act</w:t>
      </w:r>
      <w:r>
        <w:rPr>
          <w:rFonts w:cs="Arial"/>
          <w:i/>
          <w:iCs/>
          <w:szCs w:val="24"/>
          <w:lang w:val="en-AU"/>
        </w:rPr>
        <w:t xml:space="preserve"> </w:t>
      </w:r>
      <w:r w:rsidRPr="008F49BF">
        <w:rPr>
          <w:rFonts w:cs="Arial"/>
          <w:szCs w:val="24"/>
          <w:lang w:val="en-AU"/>
        </w:rPr>
        <w:t>relevant?</w:t>
      </w:r>
    </w:p>
    <w:p w14:paraId="58154D10" w14:textId="77777777" w:rsidR="008168E1" w:rsidRPr="008F49BF" w:rsidRDefault="008168E1" w:rsidP="008168E1">
      <w:pPr>
        <w:pStyle w:val="ListParagraph"/>
        <w:autoSpaceDE w:val="0"/>
        <w:autoSpaceDN w:val="0"/>
        <w:adjustRightInd w:val="0"/>
        <w:ind w:left="426" w:hanging="426"/>
        <w:rPr>
          <w:rFonts w:cs="Arial"/>
          <w:szCs w:val="24"/>
          <w:lang w:val="en-AU"/>
        </w:rPr>
      </w:pPr>
    </w:p>
    <w:p w14:paraId="443A3189" w14:textId="77777777" w:rsidR="008168E1" w:rsidRDefault="008168E1" w:rsidP="008168E1">
      <w:pPr>
        <w:pStyle w:val="ListParagraph"/>
        <w:numPr>
          <w:ilvl w:val="0"/>
          <w:numId w:val="15"/>
        </w:numPr>
        <w:autoSpaceDE w:val="0"/>
        <w:autoSpaceDN w:val="0"/>
        <w:adjustRightInd w:val="0"/>
        <w:ind w:left="426" w:hanging="426"/>
        <w:rPr>
          <w:rFonts w:cs="Arial"/>
          <w:szCs w:val="24"/>
          <w:lang w:val="en-AU"/>
        </w:rPr>
      </w:pPr>
      <w:r w:rsidRPr="008F49BF">
        <w:rPr>
          <w:rFonts w:cs="Arial"/>
          <w:szCs w:val="24"/>
          <w:lang w:val="en-AU"/>
        </w:rPr>
        <w:t>If the proceedings are transferred to the Supreme Court of N</w:t>
      </w:r>
      <w:r>
        <w:rPr>
          <w:rFonts w:cs="Arial"/>
          <w:szCs w:val="24"/>
          <w:lang w:val="en-AU"/>
        </w:rPr>
        <w:t xml:space="preserve">ew </w:t>
      </w:r>
      <w:r w:rsidRPr="008F49BF">
        <w:rPr>
          <w:rFonts w:cs="Arial"/>
          <w:szCs w:val="24"/>
          <w:lang w:val="en-AU"/>
        </w:rPr>
        <w:t>S</w:t>
      </w:r>
      <w:r>
        <w:rPr>
          <w:rFonts w:cs="Arial"/>
          <w:szCs w:val="24"/>
          <w:lang w:val="en-AU"/>
        </w:rPr>
        <w:t xml:space="preserve">outh </w:t>
      </w:r>
      <w:r w:rsidRPr="008F49BF">
        <w:rPr>
          <w:rFonts w:cs="Arial"/>
          <w:szCs w:val="24"/>
          <w:lang w:val="en-AU"/>
        </w:rPr>
        <w:t>W</w:t>
      </w:r>
      <w:r>
        <w:rPr>
          <w:rFonts w:cs="Arial"/>
          <w:szCs w:val="24"/>
          <w:lang w:val="en-AU"/>
        </w:rPr>
        <w:t>ales</w:t>
      </w:r>
      <w:r w:rsidRPr="008F49BF">
        <w:rPr>
          <w:rFonts w:cs="Arial"/>
          <w:szCs w:val="24"/>
          <w:lang w:val="en-AU"/>
        </w:rPr>
        <w:t>:</w:t>
      </w:r>
    </w:p>
    <w:p w14:paraId="078B1CA1" w14:textId="77777777" w:rsidR="008168E1" w:rsidRPr="003049A8" w:rsidRDefault="008168E1" w:rsidP="008168E1">
      <w:pPr>
        <w:pStyle w:val="ListParagraph"/>
        <w:rPr>
          <w:rFonts w:cs="Arial"/>
          <w:szCs w:val="24"/>
          <w:lang w:val="en-AU"/>
        </w:rPr>
      </w:pPr>
    </w:p>
    <w:p w14:paraId="7ED60761" w14:textId="7D4761F2" w:rsidR="008168E1" w:rsidRDefault="008168E1" w:rsidP="008168E1">
      <w:pPr>
        <w:pStyle w:val="ListParagraph"/>
        <w:numPr>
          <w:ilvl w:val="0"/>
          <w:numId w:val="17"/>
        </w:numPr>
        <w:autoSpaceDE w:val="0"/>
        <w:autoSpaceDN w:val="0"/>
        <w:adjustRightInd w:val="0"/>
        <w:ind w:left="851" w:hanging="425"/>
        <w:rPr>
          <w:rFonts w:cs="Arial"/>
          <w:szCs w:val="24"/>
          <w:lang w:val="en-AU"/>
        </w:rPr>
      </w:pPr>
      <w:r w:rsidRPr="008F49BF">
        <w:rPr>
          <w:rFonts w:cs="Arial"/>
          <w:szCs w:val="24"/>
          <w:lang w:val="en-AU"/>
        </w:rPr>
        <w:t>will the GCO</w:t>
      </w:r>
      <w:r>
        <w:rPr>
          <w:rFonts w:cs="Arial"/>
          <w:szCs w:val="24"/>
          <w:lang w:val="en-AU"/>
        </w:rPr>
        <w:t xml:space="preserve"> made by the Supreme Court of Victoria on 3 May 2022 </w:t>
      </w:r>
      <w:r w:rsidRPr="008F49BF">
        <w:rPr>
          <w:rFonts w:cs="Arial"/>
          <w:szCs w:val="24"/>
          <w:lang w:val="en-AU"/>
        </w:rPr>
        <w:t xml:space="preserve">remain in force and be capable of being enforced by the Supreme Court of </w:t>
      </w:r>
      <w:r w:rsidR="009E5214">
        <w:rPr>
          <w:rFonts w:cs="Arial"/>
          <w:szCs w:val="24"/>
          <w:lang w:val="en-AU"/>
        </w:rPr>
        <w:br/>
      </w:r>
      <w:r w:rsidRPr="008F49BF">
        <w:rPr>
          <w:rFonts w:cs="Arial"/>
          <w:szCs w:val="24"/>
          <w:lang w:val="en-AU"/>
        </w:rPr>
        <w:t>N</w:t>
      </w:r>
      <w:r>
        <w:rPr>
          <w:rFonts w:cs="Arial"/>
          <w:szCs w:val="24"/>
          <w:lang w:val="en-AU"/>
        </w:rPr>
        <w:t xml:space="preserve">ew </w:t>
      </w:r>
      <w:r w:rsidRPr="008F49BF">
        <w:rPr>
          <w:rFonts w:cs="Arial"/>
          <w:szCs w:val="24"/>
          <w:lang w:val="en-AU"/>
        </w:rPr>
        <w:t>S</w:t>
      </w:r>
      <w:r>
        <w:rPr>
          <w:rFonts w:cs="Arial"/>
          <w:szCs w:val="24"/>
          <w:lang w:val="en-AU"/>
        </w:rPr>
        <w:t xml:space="preserve">outh </w:t>
      </w:r>
      <w:r w:rsidRPr="008F49BF">
        <w:rPr>
          <w:rFonts w:cs="Arial"/>
          <w:szCs w:val="24"/>
          <w:lang w:val="en-AU"/>
        </w:rPr>
        <w:t>W</w:t>
      </w:r>
      <w:r>
        <w:rPr>
          <w:rFonts w:cs="Arial"/>
          <w:szCs w:val="24"/>
          <w:lang w:val="en-AU"/>
        </w:rPr>
        <w:t xml:space="preserve">ales, </w:t>
      </w:r>
      <w:r w:rsidRPr="008F49BF">
        <w:rPr>
          <w:rFonts w:cs="Arial"/>
          <w:szCs w:val="24"/>
          <w:lang w:val="en-AU"/>
        </w:rPr>
        <w:t xml:space="preserve">subject to any order of that Court; and </w:t>
      </w:r>
    </w:p>
    <w:p w14:paraId="73E60B99" w14:textId="77777777" w:rsidR="008168E1" w:rsidRPr="003049A8" w:rsidRDefault="008168E1" w:rsidP="008168E1">
      <w:pPr>
        <w:pStyle w:val="ListParagraph"/>
        <w:ind w:left="851" w:hanging="425"/>
        <w:rPr>
          <w:rFonts w:cs="Arial"/>
          <w:szCs w:val="24"/>
          <w:lang w:val="en-AU"/>
        </w:rPr>
      </w:pPr>
    </w:p>
    <w:p w14:paraId="5B57D40F" w14:textId="492B12B2" w:rsidR="008168E1" w:rsidRDefault="008168E1" w:rsidP="008168E1">
      <w:pPr>
        <w:pStyle w:val="ListParagraph"/>
        <w:numPr>
          <w:ilvl w:val="0"/>
          <w:numId w:val="17"/>
        </w:numPr>
        <w:autoSpaceDE w:val="0"/>
        <w:autoSpaceDN w:val="0"/>
        <w:adjustRightInd w:val="0"/>
        <w:ind w:left="851" w:hanging="425"/>
        <w:rPr>
          <w:rFonts w:cs="Arial"/>
          <w:szCs w:val="24"/>
          <w:lang w:val="en-AU"/>
        </w:rPr>
      </w:pPr>
      <w:r w:rsidRPr="008F49BF">
        <w:rPr>
          <w:rFonts w:cs="Arial"/>
          <w:szCs w:val="24"/>
          <w:lang w:val="en-AU"/>
        </w:rPr>
        <w:t>if the GCO will remain in force, doe</w:t>
      </w:r>
      <w:r>
        <w:rPr>
          <w:rFonts w:cs="Arial"/>
          <w:szCs w:val="24"/>
          <w:lang w:val="en-AU"/>
        </w:rPr>
        <w:t xml:space="preserve">s </w:t>
      </w:r>
      <w:r w:rsidRPr="008F49BF">
        <w:rPr>
          <w:rFonts w:cs="Arial"/>
          <w:szCs w:val="24"/>
          <w:lang w:val="en-AU"/>
        </w:rPr>
        <w:t>the Supreme Court of N</w:t>
      </w:r>
      <w:r>
        <w:rPr>
          <w:rFonts w:cs="Arial"/>
          <w:szCs w:val="24"/>
          <w:lang w:val="en-AU"/>
        </w:rPr>
        <w:t xml:space="preserve">ew </w:t>
      </w:r>
      <w:r w:rsidRPr="008F49BF">
        <w:rPr>
          <w:rFonts w:cs="Arial"/>
          <w:szCs w:val="24"/>
          <w:lang w:val="en-AU"/>
        </w:rPr>
        <w:t>S</w:t>
      </w:r>
      <w:r>
        <w:rPr>
          <w:rFonts w:cs="Arial"/>
          <w:szCs w:val="24"/>
          <w:lang w:val="en-AU"/>
        </w:rPr>
        <w:t xml:space="preserve">outh </w:t>
      </w:r>
      <w:r w:rsidRPr="008F49BF">
        <w:rPr>
          <w:rFonts w:cs="Arial"/>
          <w:szCs w:val="24"/>
          <w:lang w:val="en-AU"/>
        </w:rPr>
        <w:t>W</w:t>
      </w:r>
      <w:r>
        <w:rPr>
          <w:rFonts w:cs="Arial"/>
          <w:szCs w:val="24"/>
          <w:lang w:val="en-AU"/>
        </w:rPr>
        <w:t>ales</w:t>
      </w:r>
      <w:r w:rsidRPr="008F49BF">
        <w:rPr>
          <w:rFonts w:cs="Arial"/>
          <w:szCs w:val="24"/>
          <w:lang w:val="en-AU"/>
        </w:rPr>
        <w:t xml:space="preserve"> have power to vary or revoke the GCO?</w:t>
      </w:r>
    </w:p>
    <w:p w14:paraId="536F1771" w14:textId="77777777" w:rsidR="008168E1" w:rsidRPr="002A6FDA" w:rsidRDefault="008168E1" w:rsidP="008168E1">
      <w:pPr>
        <w:autoSpaceDE w:val="0"/>
        <w:autoSpaceDN w:val="0"/>
        <w:adjustRightInd w:val="0"/>
        <w:ind w:left="426" w:hanging="426"/>
        <w:jc w:val="both"/>
        <w:rPr>
          <w:rFonts w:cs="Arial"/>
          <w:szCs w:val="24"/>
          <w:lang w:val="en-AU"/>
        </w:rPr>
      </w:pPr>
    </w:p>
    <w:p w14:paraId="67E33BA4" w14:textId="37F6ED68" w:rsidR="008168E1" w:rsidRPr="008F49BF" w:rsidRDefault="008168E1" w:rsidP="008168E1">
      <w:pPr>
        <w:pStyle w:val="ListParagraph"/>
        <w:numPr>
          <w:ilvl w:val="0"/>
          <w:numId w:val="15"/>
        </w:numPr>
        <w:autoSpaceDE w:val="0"/>
        <w:autoSpaceDN w:val="0"/>
        <w:adjustRightInd w:val="0"/>
        <w:ind w:left="426" w:hanging="426"/>
        <w:rPr>
          <w:rFonts w:cs="Arial"/>
          <w:szCs w:val="24"/>
          <w:lang w:val="en-AU"/>
        </w:rPr>
      </w:pPr>
      <w:r w:rsidRPr="008F49BF">
        <w:rPr>
          <w:rFonts w:cs="Arial"/>
          <w:szCs w:val="24"/>
          <w:lang w:val="en-AU"/>
        </w:rPr>
        <w:t xml:space="preserve">Should this proceeding (S ECI 2020 03281) be transferred to the </w:t>
      </w:r>
      <w:r w:rsidR="009E5214">
        <w:rPr>
          <w:rFonts w:cs="Arial"/>
          <w:szCs w:val="24"/>
          <w:lang w:val="en-AU"/>
        </w:rPr>
        <w:br/>
      </w:r>
      <w:r w:rsidRPr="008F49BF">
        <w:rPr>
          <w:rFonts w:cs="Arial"/>
          <w:szCs w:val="24"/>
          <w:lang w:val="en-AU"/>
        </w:rPr>
        <w:t>Supreme Court</w:t>
      </w:r>
      <w:r>
        <w:rPr>
          <w:rFonts w:cs="Arial"/>
          <w:szCs w:val="24"/>
          <w:lang w:val="en-AU"/>
        </w:rPr>
        <w:t xml:space="preserve"> </w:t>
      </w:r>
      <w:r w:rsidRPr="008F49BF">
        <w:rPr>
          <w:rFonts w:cs="Arial"/>
          <w:szCs w:val="24"/>
          <w:lang w:val="en-AU"/>
        </w:rPr>
        <w:t>of N</w:t>
      </w:r>
      <w:r>
        <w:rPr>
          <w:rFonts w:cs="Arial"/>
          <w:szCs w:val="24"/>
          <w:lang w:val="en-AU"/>
        </w:rPr>
        <w:t xml:space="preserve">ew </w:t>
      </w:r>
      <w:r w:rsidRPr="008F49BF">
        <w:rPr>
          <w:rFonts w:cs="Arial"/>
          <w:szCs w:val="24"/>
          <w:lang w:val="en-AU"/>
        </w:rPr>
        <w:t>S</w:t>
      </w:r>
      <w:r>
        <w:rPr>
          <w:rFonts w:cs="Arial"/>
          <w:szCs w:val="24"/>
          <w:lang w:val="en-AU"/>
        </w:rPr>
        <w:t xml:space="preserve">outh </w:t>
      </w:r>
      <w:r w:rsidRPr="008F49BF">
        <w:rPr>
          <w:rFonts w:cs="Arial"/>
          <w:szCs w:val="24"/>
          <w:lang w:val="en-AU"/>
        </w:rPr>
        <w:t>W</w:t>
      </w:r>
      <w:r>
        <w:rPr>
          <w:rFonts w:cs="Arial"/>
          <w:szCs w:val="24"/>
          <w:lang w:val="en-AU"/>
        </w:rPr>
        <w:t>ales</w:t>
      </w:r>
      <w:r w:rsidRPr="008F49BF">
        <w:rPr>
          <w:rFonts w:cs="Arial"/>
          <w:szCs w:val="24"/>
          <w:lang w:val="en-AU"/>
        </w:rPr>
        <w:t xml:space="preserve"> pursuant to s 1337H of </w:t>
      </w:r>
      <w:r w:rsidRPr="00C90338">
        <w:rPr>
          <w:rFonts w:cs="Arial"/>
          <w:szCs w:val="24"/>
          <w:lang w:val="en-AU"/>
        </w:rPr>
        <w:t xml:space="preserve">the </w:t>
      </w:r>
      <w:r w:rsidR="009E5214">
        <w:rPr>
          <w:rFonts w:cs="Arial"/>
          <w:szCs w:val="24"/>
          <w:lang w:val="en-AU"/>
        </w:rPr>
        <w:br/>
      </w:r>
      <w:r w:rsidRPr="00C90338">
        <w:rPr>
          <w:rFonts w:cs="Arial"/>
          <w:szCs w:val="24"/>
          <w:lang w:val="en-AU"/>
        </w:rPr>
        <w:t>Corporations Act?</w:t>
      </w:r>
    </w:p>
    <w:p w14:paraId="2F9AA339" w14:textId="77777777" w:rsidR="00885AE3" w:rsidRPr="00885AE3" w:rsidRDefault="00885AE3" w:rsidP="00885AE3">
      <w:pPr>
        <w:autoSpaceDE w:val="0"/>
        <w:autoSpaceDN w:val="0"/>
        <w:adjustRightInd w:val="0"/>
        <w:rPr>
          <w:rFonts w:cs="Arial"/>
          <w:szCs w:val="24"/>
          <w:lang w:val="en-AU"/>
        </w:rPr>
      </w:pPr>
    </w:p>
    <w:p w14:paraId="75B392B9" w14:textId="77777777" w:rsidR="00735972" w:rsidRPr="00913869" w:rsidRDefault="00735972" w:rsidP="00913869"/>
    <w:sectPr w:rsidR="00735972" w:rsidRPr="00913869" w:rsidSect="00E442CA">
      <w:headerReference w:type="default" r:id="rId8"/>
      <w:headerReference w:type="first" r:id="rId9"/>
      <w:footerReference w:type="first" r:id="rId10"/>
      <w:pgSz w:w="11907" w:h="16840" w:code="9"/>
      <w:pgMar w:top="851" w:right="1467" w:bottom="851" w:left="1701" w:header="244" w:footer="833" w:gutter="0"/>
      <w:paperSrc w:first="15" w:other="15"/>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17645" w14:textId="77777777" w:rsidR="006235D8" w:rsidRDefault="006235D8">
      <w:r>
        <w:separator/>
      </w:r>
    </w:p>
  </w:endnote>
  <w:endnote w:type="continuationSeparator" w:id="0">
    <w:p w14:paraId="4E1855F8" w14:textId="77777777" w:rsidR="006235D8" w:rsidRDefault="0062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601A" w14:textId="77777777" w:rsidR="004B7828" w:rsidRDefault="004B7828">
    <w:pPr>
      <w:tabs>
        <w:tab w:val="left" w:pos="851"/>
        <w:tab w:val="right" w:pos="8505"/>
      </w:tabs>
      <w:jc w:val="cen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1015" w14:textId="77777777" w:rsidR="006235D8" w:rsidRDefault="006235D8">
      <w:r>
        <w:separator/>
      </w:r>
    </w:p>
  </w:footnote>
  <w:footnote w:type="continuationSeparator" w:id="0">
    <w:p w14:paraId="1DD47662" w14:textId="77777777" w:rsidR="006235D8" w:rsidRDefault="00623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089B" w14:textId="77777777" w:rsidR="004B7828" w:rsidRDefault="004B7828">
    <w:pPr>
      <w:pStyle w:val="Header"/>
      <w:pBdr>
        <w:bottom w:val="single" w:sz="4" w:space="1" w:color="auto"/>
      </w:pBdr>
      <w:jc w:val="right"/>
    </w:pPr>
    <w:r>
      <w:rPr>
        <w:rStyle w:val="PageNumber"/>
      </w:rPr>
      <w:fldChar w:fldCharType="begin"/>
    </w:r>
    <w:r>
      <w:rPr>
        <w:rStyle w:val="PageNumber"/>
      </w:rPr>
      <w:instrText xml:space="preserve"> PAGE </w:instrText>
    </w:r>
    <w:r>
      <w:rPr>
        <w:rStyle w:val="PageNumber"/>
      </w:rPr>
      <w:fldChar w:fldCharType="separate"/>
    </w:r>
    <w:r w:rsidR="003C2828">
      <w:rPr>
        <w:rStyle w:val="PageNumber"/>
        <w:noProof/>
      </w:rPr>
      <w:t>0</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8FE2" w14:textId="77777777" w:rsidR="004B7828" w:rsidRDefault="004B7828">
    <w:pPr>
      <w:pStyle w:val="Title"/>
    </w:pPr>
  </w:p>
  <w:p w14:paraId="221B972A" w14:textId="77777777" w:rsidR="004B7828" w:rsidRDefault="004B7828">
    <w:pPr>
      <w:pStyle w:val="Title"/>
    </w:pPr>
    <w:r>
      <w:t>SHORT PARTICULARS OF CASES</w:t>
    </w:r>
  </w:p>
  <w:p w14:paraId="1782DED5" w14:textId="77777777" w:rsidR="004B7828" w:rsidRDefault="004B7828">
    <w:pPr>
      <w:pStyle w:val="Title"/>
    </w:pPr>
    <w:r>
      <w:t>APPEALS</w:t>
    </w:r>
  </w:p>
  <w:p w14:paraId="12AB4A2D" w14:textId="77777777" w:rsidR="004B7828" w:rsidRDefault="004B7828">
    <w:pPr>
      <w:tabs>
        <w:tab w:val="left" w:pos="851"/>
        <w:tab w:val="right" w:pos="8505"/>
      </w:tabs>
      <w:jc w:val="center"/>
      <w:rPr>
        <w:b/>
        <w:u w:val="single"/>
      </w:rPr>
    </w:pPr>
  </w:p>
  <w:p w14:paraId="37ECFEB8" w14:textId="62F01F60" w:rsidR="00542620" w:rsidRDefault="00542620">
    <w:pPr>
      <w:tabs>
        <w:tab w:val="left" w:pos="851"/>
        <w:tab w:val="right" w:pos="8505"/>
      </w:tabs>
      <w:jc w:val="center"/>
      <w:rPr>
        <w:b/>
        <w:u w:val="single"/>
      </w:rPr>
    </w:pPr>
    <w:r>
      <w:rPr>
        <w:b/>
        <w:u w:val="single"/>
      </w:rPr>
      <w:t>ADELAIDE</w:t>
    </w:r>
  </w:p>
  <w:p w14:paraId="50496E0C" w14:textId="72440E7E" w:rsidR="004B7828" w:rsidRDefault="003C59A4">
    <w:pPr>
      <w:tabs>
        <w:tab w:val="left" w:pos="851"/>
        <w:tab w:val="right" w:pos="8505"/>
      </w:tabs>
      <w:jc w:val="center"/>
      <w:rPr>
        <w:b/>
        <w:u w:val="single"/>
      </w:rPr>
    </w:pPr>
    <w:r>
      <w:rPr>
        <w:b/>
        <w:u w:val="single"/>
      </w:rPr>
      <w:t>AUGUST 2024</w:t>
    </w:r>
  </w:p>
  <w:p w14:paraId="2C0FAA10" w14:textId="77777777" w:rsidR="004B7828" w:rsidRDefault="004B7828">
    <w:pPr>
      <w:tabs>
        <w:tab w:val="left" w:pos="851"/>
        <w:tab w:val="right" w:pos="8505"/>
      </w:tabs>
    </w:pPr>
  </w:p>
  <w:p w14:paraId="6FFBEA45" w14:textId="77777777" w:rsidR="004B7828" w:rsidRDefault="004B7828">
    <w:pPr>
      <w:tabs>
        <w:tab w:val="left" w:pos="851"/>
        <w:tab w:val="right" w:pos="8505"/>
      </w:tabs>
      <w:jc w:val="both"/>
    </w:pPr>
    <w:r>
      <w:t>_______________________________________________________________</w:t>
    </w:r>
    <w:r w:rsidR="00E442CA">
      <w:t>_</w:t>
    </w:r>
  </w:p>
  <w:p w14:paraId="2E575DB1" w14:textId="77777777" w:rsidR="004B7828" w:rsidRDefault="004B7828">
    <w:pPr>
      <w:tabs>
        <w:tab w:val="left" w:pos="851"/>
        <w:tab w:val="right" w:pos="8505"/>
      </w:tabs>
      <w:jc w:val="both"/>
    </w:pPr>
  </w:p>
  <w:p w14:paraId="68B21641" w14:textId="77777777" w:rsidR="004B7828" w:rsidRDefault="004B7828">
    <w:pPr>
      <w:tabs>
        <w:tab w:val="left" w:pos="851"/>
        <w:tab w:val="right" w:pos="8505"/>
      </w:tabs>
      <w:jc w:val="both"/>
    </w:pPr>
    <w:r>
      <w:t>No.</w:t>
    </w:r>
    <w:r>
      <w:tab/>
      <w:t>Name of Matter</w:t>
    </w:r>
    <w:r>
      <w:tab/>
      <w:t>Page No</w:t>
    </w:r>
  </w:p>
  <w:p w14:paraId="130CBC58" w14:textId="77777777" w:rsidR="004B7828" w:rsidRDefault="004B7828" w:rsidP="00E442CA">
    <w:pPr>
      <w:tabs>
        <w:tab w:val="left" w:pos="851"/>
        <w:tab w:val="right" w:pos="8505"/>
      </w:tabs>
      <w:jc w:val="both"/>
    </w:pPr>
    <w:r>
      <w:t>_______________________________________________________________</w:t>
    </w:r>
    <w:r w:rsidR="00E442CA">
      <w:t>_</w:t>
    </w:r>
  </w:p>
  <w:p w14:paraId="6AA231B1" w14:textId="77777777" w:rsidR="004B7828" w:rsidRDefault="004B7828">
    <w:pPr>
      <w:tabs>
        <w:tab w:val="left" w:pos="851"/>
        <w:tab w:val="right" w:pos="8505"/>
      </w:tabs>
      <w:jc w:val="both"/>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4A3"/>
    <w:multiLevelType w:val="hybridMultilevel"/>
    <w:tmpl w:val="86F4D406"/>
    <w:lvl w:ilvl="0" w:tplc="1176349E">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276C5D"/>
    <w:multiLevelType w:val="hybridMultilevel"/>
    <w:tmpl w:val="F7AE74E0"/>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62C633D"/>
    <w:multiLevelType w:val="hybridMultilevel"/>
    <w:tmpl w:val="79784E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255C35"/>
    <w:multiLevelType w:val="hybridMultilevel"/>
    <w:tmpl w:val="36E2DC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C6726B"/>
    <w:multiLevelType w:val="hybridMultilevel"/>
    <w:tmpl w:val="CCD0E20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162A14"/>
    <w:multiLevelType w:val="hybridMultilevel"/>
    <w:tmpl w:val="A1526502"/>
    <w:lvl w:ilvl="0" w:tplc="4732C85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DF12913"/>
    <w:multiLevelType w:val="hybridMultilevel"/>
    <w:tmpl w:val="DA7417D2"/>
    <w:lvl w:ilvl="0" w:tplc="C7B2A588">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15:restartNumberingAfterBreak="0">
    <w:nsid w:val="2EA11CDC"/>
    <w:multiLevelType w:val="hybridMultilevel"/>
    <w:tmpl w:val="69E0433A"/>
    <w:lvl w:ilvl="0" w:tplc="0C090001">
      <w:start w:val="1"/>
      <w:numFmt w:val="bullet"/>
      <w:lvlText w:val=""/>
      <w:lvlJc w:val="left"/>
      <w:pPr>
        <w:ind w:left="720" w:hanging="360"/>
      </w:pPr>
      <w:rPr>
        <w:rFonts w:ascii="Symbol" w:hAnsi="Symbol" w:hint="default"/>
      </w:rPr>
    </w:lvl>
    <w:lvl w:ilvl="1" w:tplc="854633DE">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E15D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8384E9D"/>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BA115C6"/>
    <w:multiLevelType w:val="hybridMultilevel"/>
    <w:tmpl w:val="C66223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D4B6FD6"/>
    <w:multiLevelType w:val="hybridMultilevel"/>
    <w:tmpl w:val="7C44A0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21F2EAF"/>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63FF78C0"/>
    <w:multiLevelType w:val="hybridMultilevel"/>
    <w:tmpl w:val="52AC0A34"/>
    <w:lvl w:ilvl="0" w:tplc="854633DE">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66FD3E57"/>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6D22059E"/>
    <w:multiLevelType w:val="hybridMultilevel"/>
    <w:tmpl w:val="BE64A1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69806D6"/>
    <w:multiLevelType w:val="singleLevel"/>
    <w:tmpl w:val="E58EFF88"/>
    <w:lvl w:ilvl="0">
      <w:start w:val="6"/>
      <w:numFmt w:val="decimal"/>
      <w:lvlText w:val="%1."/>
      <w:lvlJc w:val="left"/>
      <w:pPr>
        <w:tabs>
          <w:tab w:val="num" w:pos="852"/>
        </w:tabs>
        <w:ind w:left="852" w:hanging="852"/>
      </w:pPr>
      <w:rPr>
        <w:rFonts w:hint="default"/>
      </w:rPr>
    </w:lvl>
  </w:abstractNum>
  <w:abstractNum w:abstractNumId="17" w15:restartNumberingAfterBreak="0">
    <w:nsid w:val="77721F51"/>
    <w:multiLevelType w:val="singleLevel"/>
    <w:tmpl w:val="1A407722"/>
    <w:lvl w:ilvl="0">
      <w:start w:val="4"/>
      <w:numFmt w:val="decimal"/>
      <w:lvlText w:val="%1."/>
      <w:lvlJc w:val="left"/>
      <w:pPr>
        <w:tabs>
          <w:tab w:val="num" w:pos="852"/>
        </w:tabs>
        <w:ind w:left="852" w:hanging="852"/>
      </w:pPr>
      <w:rPr>
        <w:rFonts w:hint="default"/>
      </w:rPr>
    </w:lvl>
  </w:abstractNum>
  <w:num w:numId="1" w16cid:durableId="1223448536">
    <w:abstractNumId w:val="17"/>
  </w:num>
  <w:num w:numId="2" w16cid:durableId="1864131533">
    <w:abstractNumId w:val="9"/>
  </w:num>
  <w:num w:numId="3" w16cid:durableId="2140566895">
    <w:abstractNumId w:val="8"/>
  </w:num>
  <w:num w:numId="4" w16cid:durableId="945429455">
    <w:abstractNumId w:val="12"/>
  </w:num>
  <w:num w:numId="5" w16cid:durableId="1537503138">
    <w:abstractNumId w:val="16"/>
  </w:num>
  <w:num w:numId="6" w16cid:durableId="1067920724">
    <w:abstractNumId w:val="14"/>
  </w:num>
  <w:num w:numId="7" w16cid:durableId="1613588479">
    <w:abstractNumId w:val="2"/>
  </w:num>
  <w:num w:numId="8" w16cid:durableId="673264733">
    <w:abstractNumId w:val="1"/>
  </w:num>
  <w:num w:numId="9" w16cid:durableId="1925802925">
    <w:abstractNumId w:val="3"/>
  </w:num>
  <w:num w:numId="10" w16cid:durableId="1507091974">
    <w:abstractNumId w:val="11"/>
  </w:num>
  <w:num w:numId="11" w16cid:durableId="1749763042">
    <w:abstractNumId w:val="15"/>
  </w:num>
  <w:num w:numId="12" w16cid:durableId="437024119">
    <w:abstractNumId w:val="7"/>
  </w:num>
  <w:num w:numId="13" w16cid:durableId="699479339">
    <w:abstractNumId w:val="6"/>
  </w:num>
  <w:num w:numId="14" w16cid:durableId="787165182">
    <w:abstractNumId w:val="13"/>
  </w:num>
  <w:num w:numId="15" w16cid:durableId="1349915352">
    <w:abstractNumId w:val="4"/>
  </w:num>
  <w:num w:numId="16" w16cid:durableId="1911691570">
    <w:abstractNumId w:val="10"/>
  </w:num>
  <w:num w:numId="17" w16cid:durableId="1972133989">
    <w:abstractNumId w:val="5"/>
  </w:num>
  <w:num w:numId="18" w16cid:durableId="1875262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CA"/>
    <w:rsid w:val="00007C4E"/>
    <w:rsid w:val="000145E7"/>
    <w:rsid w:val="000B7BD8"/>
    <w:rsid w:val="000D2C5B"/>
    <w:rsid w:val="0017627F"/>
    <w:rsid w:val="001A29AE"/>
    <w:rsid w:val="00271859"/>
    <w:rsid w:val="002E45D0"/>
    <w:rsid w:val="00303F09"/>
    <w:rsid w:val="003C2828"/>
    <w:rsid w:val="003C59A4"/>
    <w:rsid w:val="003C5D88"/>
    <w:rsid w:val="003D1679"/>
    <w:rsid w:val="00423244"/>
    <w:rsid w:val="004B7828"/>
    <w:rsid w:val="005059D7"/>
    <w:rsid w:val="00542620"/>
    <w:rsid w:val="00570096"/>
    <w:rsid w:val="00587378"/>
    <w:rsid w:val="006025D8"/>
    <w:rsid w:val="006235D8"/>
    <w:rsid w:val="00652D06"/>
    <w:rsid w:val="00657BA4"/>
    <w:rsid w:val="00735972"/>
    <w:rsid w:val="00737693"/>
    <w:rsid w:val="007F669F"/>
    <w:rsid w:val="00811E2E"/>
    <w:rsid w:val="008168E1"/>
    <w:rsid w:val="00876107"/>
    <w:rsid w:val="00885AE3"/>
    <w:rsid w:val="00913869"/>
    <w:rsid w:val="009E5214"/>
    <w:rsid w:val="00A414D3"/>
    <w:rsid w:val="00AD704B"/>
    <w:rsid w:val="00AE353D"/>
    <w:rsid w:val="00AF68B2"/>
    <w:rsid w:val="00B522EE"/>
    <w:rsid w:val="00BA02B7"/>
    <w:rsid w:val="00C65A07"/>
    <w:rsid w:val="00D7300E"/>
    <w:rsid w:val="00E20190"/>
    <w:rsid w:val="00E442CA"/>
    <w:rsid w:val="00E6599C"/>
    <w:rsid w:val="00E97535"/>
    <w:rsid w:val="00EC3128"/>
    <w:rsid w:val="00F03117"/>
    <w:rsid w:val="00F051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0DEF5"/>
  <w15:chartTrackingRefBased/>
  <w15:docId w15:val="{19AB1777-7B0E-4DA8-AF62-169DFECC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E2E"/>
    <w:rPr>
      <w:rFonts w:ascii="Arial" w:hAnsi="Arial"/>
      <w:sz w:val="24"/>
      <w:lang w:val="en-US"/>
    </w:rPr>
  </w:style>
  <w:style w:type="paragraph" w:styleId="Heading1">
    <w:name w:val="heading 1"/>
    <w:basedOn w:val="Normal"/>
    <w:next w:val="Normal"/>
    <w:qFormat/>
    <w:pPr>
      <w:keepNext/>
      <w:tabs>
        <w:tab w:val="left" w:pos="851"/>
        <w:tab w:val="right" w:pos="8505"/>
      </w:tabs>
      <w:outlineLvl w:val="0"/>
    </w:pPr>
    <w:rPr>
      <w:u w:val="single"/>
    </w:rPr>
  </w:style>
  <w:style w:type="paragraph" w:styleId="Heading2">
    <w:name w:val="heading 2"/>
    <w:basedOn w:val="Normal"/>
    <w:next w:val="Normal"/>
    <w:qFormat/>
    <w:pPr>
      <w:keepNext/>
      <w:tabs>
        <w:tab w:val="left" w:pos="851"/>
        <w:tab w:val="right" w:pos="8505"/>
      </w:tabs>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851"/>
        <w:tab w:val="right" w:pos="8505"/>
      </w:tabs>
      <w:jc w:val="center"/>
    </w:pPr>
    <w:rPr>
      <w:b/>
      <w:u w:val="single"/>
    </w:rPr>
  </w:style>
  <w:style w:type="paragraph" w:styleId="BodyText">
    <w:name w:val="Body Text"/>
    <w:basedOn w:val="Normal"/>
    <w:pPr>
      <w:tabs>
        <w:tab w:val="left" w:pos="851"/>
        <w:tab w:val="right" w:pos="8505"/>
      </w:tab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rsid w:val="00F03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704B"/>
    <w:pPr>
      <w:ind w:left="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DF76E-953C-4FA3-9043-B5CBB0C20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2768</Words>
  <Characters>13804</Characters>
  <Application>Microsoft Office Word</Application>
  <DocSecurity>0</DocSecurity>
  <Lines>115</Lines>
  <Paragraphs>33</Paragraphs>
  <ScaleCrop>false</ScaleCrop>
  <HeadingPairs>
    <vt:vector size="2" baseType="variant">
      <vt:variant>
        <vt:lpstr>Title</vt:lpstr>
      </vt:variant>
      <vt:variant>
        <vt:i4>1</vt:i4>
      </vt:variant>
    </vt:vector>
  </HeadingPairs>
  <TitlesOfParts>
    <vt:vector size="1" baseType="lpstr">
      <vt:lpstr>SP Appeals</vt:lpstr>
    </vt:vector>
  </TitlesOfParts>
  <Company>High Court of Australia</Company>
  <LinksUpToDate>false</LinksUpToDate>
  <CharactersWithSpaces>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Appeals</dc:title>
  <dc:subject/>
  <dc:creator>Personal Assistant to Senior Registrar</dc:creator>
  <cp:keywords/>
  <cp:lastModifiedBy>Thomas Woodbridge</cp:lastModifiedBy>
  <cp:revision>30</cp:revision>
  <cp:lastPrinted>1999-08-03T02:31:00Z</cp:lastPrinted>
  <dcterms:created xsi:type="dcterms:W3CDTF">2022-03-29T00:10:00Z</dcterms:created>
  <dcterms:modified xsi:type="dcterms:W3CDTF">2024-08-12T23:42:00Z</dcterms:modified>
</cp:coreProperties>
</file>