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8549" w14:textId="77777777" w:rsidR="0080631C" w:rsidRDefault="0080631C" w:rsidP="00913869">
      <w:bookmarkStart w:id="0" w:name="_GoBack"/>
      <w:bookmarkEnd w:id="0"/>
    </w:p>
    <w:tbl>
      <w:tblPr>
        <w:tblW w:w="0" w:type="auto"/>
        <w:tblLook w:val="04A0" w:firstRow="1" w:lastRow="0" w:firstColumn="1" w:lastColumn="0" w:noHBand="0" w:noVBand="1"/>
      </w:tblPr>
      <w:tblGrid>
        <w:gridCol w:w="7890"/>
        <w:gridCol w:w="849"/>
      </w:tblGrid>
      <w:tr w:rsidR="0080631C" w:rsidRPr="00007C4E" w14:paraId="2C4D31F2" w14:textId="77777777" w:rsidTr="00007C4E">
        <w:tc>
          <w:tcPr>
            <w:tcW w:w="8755" w:type="dxa"/>
            <w:gridSpan w:val="2"/>
            <w:shd w:val="clear" w:color="auto" w:fill="auto"/>
          </w:tcPr>
          <w:p w14:paraId="0E31EA22" w14:textId="77777777" w:rsidR="0080631C" w:rsidRPr="00007C4E" w:rsidRDefault="0080631C" w:rsidP="00007C4E">
            <w:pPr>
              <w:tabs>
                <w:tab w:val="left" w:pos="851"/>
                <w:tab w:val="right" w:pos="8505"/>
              </w:tabs>
              <w:jc w:val="both"/>
              <w:rPr>
                <w:u w:val="single"/>
              </w:rPr>
            </w:pPr>
            <w:r w:rsidRPr="00C726FB">
              <w:rPr>
                <w:noProof/>
                <w:u w:val="single"/>
              </w:rPr>
              <w:t>Tuesday, 11 May</w:t>
            </w:r>
            <w:r>
              <w:rPr>
                <w:u w:val="single"/>
              </w:rPr>
              <w:t xml:space="preserve"> </w:t>
            </w:r>
          </w:p>
          <w:p w14:paraId="2BEFDF10" w14:textId="77777777" w:rsidR="0080631C" w:rsidRDefault="0080631C" w:rsidP="00007C4E">
            <w:pPr>
              <w:pStyle w:val="Title"/>
              <w:jc w:val="left"/>
            </w:pPr>
          </w:p>
        </w:tc>
      </w:tr>
      <w:tr w:rsidR="0080631C" w14:paraId="73ED23A4" w14:textId="77777777" w:rsidTr="00007C4E">
        <w:tc>
          <w:tcPr>
            <w:tcW w:w="7905" w:type="dxa"/>
            <w:shd w:val="clear" w:color="auto" w:fill="auto"/>
          </w:tcPr>
          <w:p w14:paraId="2881CF2E" w14:textId="77777777" w:rsidR="0080631C" w:rsidRPr="00913869" w:rsidRDefault="0080631C" w:rsidP="00913869">
            <w:pPr>
              <w:numPr>
                <w:ilvl w:val="0"/>
                <w:numId w:val="9"/>
              </w:numPr>
              <w:ind w:hanging="720"/>
            </w:pPr>
            <w:proofErr w:type="gramStart"/>
            <w:r w:rsidRPr="00C726FB">
              <w:rPr>
                <w:noProof/>
              </w:rPr>
              <w:t xml:space="preserve">Chetcuti </w:t>
            </w:r>
            <w:r w:rsidRPr="00007C4E">
              <w:t xml:space="preserve"> v</w:t>
            </w:r>
            <w:proofErr w:type="gramEnd"/>
            <w:r w:rsidRPr="00007C4E">
              <w:t xml:space="preserve">  </w:t>
            </w:r>
            <w:r w:rsidRPr="00C726FB">
              <w:rPr>
                <w:noProof/>
              </w:rPr>
              <w:t>Commonwealth of Australia</w:t>
            </w:r>
          </w:p>
        </w:tc>
        <w:tc>
          <w:tcPr>
            <w:tcW w:w="850" w:type="dxa"/>
            <w:shd w:val="clear" w:color="auto" w:fill="auto"/>
          </w:tcPr>
          <w:p w14:paraId="16F5EF61" w14:textId="77777777" w:rsidR="0080631C" w:rsidRPr="0080631C" w:rsidRDefault="0080631C" w:rsidP="0080631C">
            <w:pPr>
              <w:pStyle w:val="Title"/>
              <w:rPr>
                <w:u w:val="none"/>
              </w:rPr>
            </w:pPr>
            <w:r>
              <w:rPr>
                <w:u w:val="none"/>
              </w:rPr>
              <w:t>1</w:t>
            </w:r>
          </w:p>
        </w:tc>
      </w:tr>
    </w:tbl>
    <w:p w14:paraId="6B7D4EC0" w14:textId="77777777" w:rsidR="0080631C" w:rsidRDefault="0080631C" w:rsidP="00913869"/>
    <w:p w14:paraId="41430579" w14:textId="77777777" w:rsidR="0080631C" w:rsidRDefault="0080631C" w:rsidP="00913869"/>
    <w:tbl>
      <w:tblPr>
        <w:tblW w:w="0" w:type="auto"/>
        <w:tblLook w:val="04A0" w:firstRow="1" w:lastRow="0" w:firstColumn="1" w:lastColumn="0" w:noHBand="0" w:noVBand="1"/>
      </w:tblPr>
      <w:tblGrid>
        <w:gridCol w:w="7890"/>
        <w:gridCol w:w="849"/>
      </w:tblGrid>
      <w:tr w:rsidR="0080631C" w:rsidRPr="00007C4E" w14:paraId="1547D46E" w14:textId="77777777" w:rsidTr="00007C4E">
        <w:tc>
          <w:tcPr>
            <w:tcW w:w="8755" w:type="dxa"/>
            <w:gridSpan w:val="2"/>
            <w:shd w:val="clear" w:color="auto" w:fill="auto"/>
          </w:tcPr>
          <w:p w14:paraId="4335D82F" w14:textId="77777777" w:rsidR="0080631C" w:rsidRPr="00007C4E" w:rsidRDefault="0080631C" w:rsidP="00007C4E">
            <w:pPr>
              <w:tabs>
                <w:tab w:val="left" w:pos="851"/>
                <w:tab w:val="right" w:pos="8505"/>
              </w:tabs>
              <w:jc w:val="both"/>
              <w:rPr>
                <w:noProof/>
                <w:u w:val="single"/>
              </w:rPr>
            </w:pPr>
            <w:r w:rsidRPr="00C726FB">
              <w:rPr>
                <w:noProof/>
                <w:u w:val="single"/>
              </w:rPr>
              <w:t>Wednesday, 12</w:t>
            </w:r>
            <w:r>
              <w:rPr>
                <w:noProof/>
                <w:u w:val="single"/>
              </w:rPr>
              <w:t xml:space="preserve"> and </w:t>
            </w:r>
            <w:r w:rsidRPr="00C726FB">
              <w:rPr>
                <w:noProof/>
                <w:u w:val="single"/>
              </w:rPr>
              <w:t>Thursday, 13 May</w:t>
            </w:r>
            <w:r>
              <w:rPr>
                <w:u w:val="single"/>
              </w:rPr>
              <w:t xml:space="preserve"> </w:t>
            </w:r>
          </w:p>
          <w:p w14:paraId="03B36C21" w14:textId="77777777" w:rsidR="0080631C" w:rsidRDefault="0080631C" w:rsidP="00007C4E">
            <w:pPr>
              <w:pStyle w:val="Title"/>
              <w:jc w:val="left"/>
            </w:pPr>
          </w:p>
        </w:tc>
      </w:tr>
      <w:tr w:rsidR="0080631C" w:rsidRPr="0080631C" w14:paraId="13F017B9" w14:textId="77777777" w:rsidTr="00007C4E">
        <w:tc>
          <w:tcPr>
            <w:tcW w:w="7905" w:type="dxa"/>
            <w:shd w:val="clear" w:color="auto" w:fill="auto"/>
          </w:tcPr>
          <w:p w14:paraId="7FAD3A67" w14:textId="77777777" w:rsidR="0080631C" w:rsidRPr="0080631C" w:rsidRDefault="0080631C" w:rsidP="00913869">
            <w:pPr>
              <w:numPr>
                <w:ilvl w:val="0"/>
                <w:numId w:val="9"/>
              </w:numPr>
              <w:ind w:hanging="720"/>
            </w:pPr>
            <w:r w:rsidRPr="0080631C">
              <w:rPr>
                <w:noProof/>
              </w:rPr>
              <w:t xml:space="preserve">WorkPac Pty </w:t>
            </w:r>
            <w:proofErr w:type="gramStart"/>
            <w:r w:rsidRPr="0080631C">
              <w:rPr>
                <w:noProof/>
              </w:rPr>
              <w:t xml:space="preserve">Ltd </w:t>
            </w:r>
            <w:r w:rsidRPr="0080631C">
              <w:t xml:space="preserve"> v</w:t>
            </w:r>
            <w:proofErr w:type="gramEnd"/>
            <w:r w:rsidRPr="0080631C">
              <w:t xml:space="preserve">  </w:t>
            </w:r>
            <w:r w:rsidRPr="0080631C">
              <w:rPr>
                <w:noProof/>
              </w:rPr>
              <w:t>Rossato &amp; Ors</w:t>
            </w:r>
          </w:p>
        </w:tc>
        <w:tc>
          <w:tcPr>
            <w:tcW w:w="850" w:type="dxa"/>
            <w:shd w:val="clear" w:color="auto" w:fill="auto"/>
          </w:tcPr>
          <w:p w14:paraId="33A67555" w14:textId="3997B3E6" w:rsidR="0080631C" w:rsidRPr="0080631C" w:rsidRDefault="00DB6DAD" w:rsidP="0080631C">
            <w:pPr>
              <w:pStyle w:val="Title"/>
              <w:rPr>
                <w:u w:val="none"/>
              </w:rPr>
            </w:pPr>
            <w:r>
              <w:rPr>
                <w:u w:val="none"/>
              </w:rPr>
              <w:t>3</w:t>
            </w:r>
          </w:p>
        </w:tc>
      </w:tr>
    </w:tbl>
    <w:p w14:paraId="7CCABF83" w14:textId="70D10365" w:rsidR="0080631C" w:rsidRDefault="0080631C" w:rsidP="00913869"/>
    <w:p w14:paraId="1D7C27EA" w14:textId="77777777" w:rsidR="00776369" w:rsidRPr="0080631C" w:rsidRDefault="00776369" w:rsidP="00913869"/>
    <w:tbl>
      <w:tblPr>
        <w:tblW w:w="0" w:type="auto"/>
        <w:tblLook w:val="04A0" w:firstRow="1" w:lastRow="0" w:firstColumn="1" w:lastColumn="0" w:noHBand="0" w:noVBand="1"/>
      </w:tblPr>
      <w:tblGrid>
        <w:gridCol w:w="7890"/>
        <w:gridCol w:w="849"/>
      </w:tblGrid>
      <w:tr w:rsidR="00776369" w:rsidRPr="00007C4E" w14:paraId="73785E95" w14:textId="77777777" w:rsidTr="00345587">
        <w:tc>
          <w:tcPr>
            <w:tcW w:w="8755" w:type="dxa"/>
            <w:gridSpan w:val="2"/>
            <w:shd w:val="clear" w:color="auto" w:fill="auto"/>
          </w:tcPr>
          <w:p w14:paraId="49847FED" w14:textId="4D1F13EE" w:rsidR="00776369" w:rsidRPr="00007C4E" w:rsidRDefault="00776369" w:rsidP="00345587">
            <w:pPr>
              <w:tabs>
                <w:tab w:val="left" w:pos="851"/>
                <w:tab w:val="right" w:pos="8505"/>
              </w:tabs>
              <w:jc w:val="both"/>
              <w:rPr>
                <w:u w:val="single"/>
              </w:rPr>
            </w:pPr>
            <w:r>
              <w:rPr>
                <w:noProof/>
                <w:u w:val="single"/>
              </w:rPr>
              <w:t>Friday, 14</w:t>
            </w:r>
            <w:r w:rsidRPr="00C726FB">
              <w:rPr>
                <w:noProof/>
                <w:u w:val="single"/>
              </w:rPr>
              <w:t xml:space="preserve"> May</w:t>
            </w:r>
          </w:p>
          <w:p w14:paraId="7B2C7458" w14:textId="77777777" w:rsidR="00776369" w:rsidRDefault="00776369" w:rsidP="00345587">
            <w:pPr>
              <w:pStyle w:val="Title"/>
              <w:jc w:val="left"/>
            </w:pPr>
          </w:p>
        </w:tc>
      </w:tr>
      <w:tr w:rsidR="00776369" w14:paraId="308C805F" w14:textId="77777777" w:rsidTr="00345587">
        <w:tc>
          <w:tcPr>
            <w:tcW w:w="7905" w:type="dxa"/>
            <w:shd w:val="clear" w:color="auto" w:fill="auto"/>
          </w:tcPr>
          <w:p w14:paraId="6BD17BD4" w14:textId="4F7571D0" w:rsidR="00776369" w:rsidRPr="00913869" w:rsidRDefault="00776369" w:rsidP="00345587">
            <w:pPr>
              <w:numPr>
                <w:ilvl w:val="0"/>
                <w:numId w:val="9"/>
              </w:numPr>
              <w:ind w:hanging="720"/>
            </w:pPr>
            <w:r w:rsidRPr="00C726FB">
              <w:rPr>
                <w:noProof/>
              </w:rPr>
              <w:t>Director of Public Prosecutions Reference No</w:t>
            </w:r>
            <w:r w:rsidR="00492666">
              <w:rPr>
                <w:noProof/>
              </w:rPr>
              <w:t xml:space="preserve"> </w:t>
            </w:r>
            <w:r w:rsidRPr="00C726FB">
              <w:rPr>
                <w:noProof/>
              </w:rPr>
              <w:t>1 of 2019</w:t>
            </w:r>
          </w:p>
        </w:tc>
        <w:tc>
          <w:tcPr>
            <w:tcW w:w="850" w:type="dxa"/>
            <w:shd w:val="clear" w:color="auto" w:fill="auto"/>
          </w:tcPr>
          <w:p w14:paraId="5E885E0A" w14:textId="4C26C268" w:rsidR="00776369" w:rsidRPr="00225EBC" w:rsidRDefault="007A0AE7" w:rsidP="00225EBC">
            <w:pPr>
              <w:pStyle w:val="Title"/>
              <w:rPr>
                <w:u w:val="none"/>
              </w:rPr>
            </w:pPr>
            <w:r>
              <w:rPr>
                <w:u w:val="none"/>
              </w:rPr>
              <w:t>4</w:t>
            </w:r>
          </w:p>
        </w:tc>
      </w:tr>
    </w:tbl>
    <w:p w14:paraId="19259514" w14:textId="77777777" w:rsidR="00776369" w:rsidRDefault="00776369" w:rsidP="00776369"/>
    <w:p w14:paraId="7D3A881B" w14:textId="77777777" w:rsidR="00776369" w:rsidRDefault="00776369" w:rsidP="00913869"/>
    <w:tbl>
      <w:tblPr>
        <w:tblW w:w="0" w:type="auto"/>
        <w:tblLook w:val="04A0" w:firstRow="1" w:lastRow="0" w:firstColumn="1" w:lastColumn="0" w:noHBand="0" w:noVBand="1"/>
      </w:tblPr>
      <w:tblGrid>
        <w:gridCol w:w="7890"/>
        <w:gridCol w:w="849"/>
      </w:tblGrid>
      <w:tr w:rsidR="0080631C" w:rsidRPr="00007C4E" w14:paraId="6963743D" w14:textId="77777777" w:rsidTr="00007C4E">
        <w:tc>
          <w:tcPr>
            <w:tcW w:w="8755" w:type="dxa"/>
            <w:gridSpan w:val="2"/>
            <w:shd w:val="clear" w:color="auto" w:fill="auto"/>
          </w:tcPr>
          <w:p w14:paraId="790D7244" w14:textId="77777777" w:rsidR="0080631C" w:rsidRPr="00007C4E" w:rsidRDefault="0080631C" w:rsidP="00007C4E">
            <w:pPr>
              <w:tabs>
                <w:tab w:val="left" w:pos="851"/>
                <w:tab w:val="right" w:pos="8505"/>
              </w:tabs>
              <w:jc w:val="both"/>
              <w:rPr>
                <w:u w:val="single"/>
              </w:rPr>
            </w:pPr>
            <w:r w:rsidRPr="00C726FB">
              <w:rPr>
                <w:noProof/>
                <w:u w:val="single"/>
              </w:rPr>
              <w:t>Tuesday, 18 May</w:t>
            </w:r>
          </w:p>
          <w:p w14:paraId="13E593CA" w14:textId="77777777" w:rsidR="0080631C" w:rsidRDefault="0080631C" w:rsidP="00007C4E">
            <w:pPr>
              <w:pStyle w:val="Title"/>
              <w:jc w:val="left"/>
            </w:pPr>
          </w:p>
        </w:tc>
      </w:tr>
      <w:tr w:rsidR="0080631C" w14:paraId="5B6B320C" w14:textId="77777777" w:rsidTr="00007C4E">
        <w:tc>
          <w:tcPr>
            <w:tcW w:w="7905" w:type="dxa"/>
            <w:shd w:val="clear" w:color="auto" w:fill="auto"/>
          </w:tcPr>
          <w:p w14:paraId="276F296B" w14:textId="77777777" w:rsidR="0080631C" w:rsidRPr="00913869" w:rsidRDefault="0080631C" w:rsidP="00913869">
            <w:pPr>
              <w:numPr>
                <w:ilvl w:val="0"/>
                <w:numId w:val="9"/>
              </w:numPr>
              <w:ind w:hanging="720"/>
            </w:pPr>
            <w:r w:rsidRPr="00C726FB">
              <w:rPr>
                <w:noProof/>
              </w:rPr>
              <w:t xml:space="preserve">Fairfax Media Publications Pty </w:t>
            </w:r>
            <w:proofErr w:type="gramStart"/>
            <w:r w:rsidRPr="00C726FB">
              <w:rPr>
                <w:noProof/>
              </w:rPr>
              <w:t xml:space="preserve">Ltd </w:t>
            </w:r>
            <w:r w:rsidRPr="00007C4E">
              <w:t xml:space="preserve"> v</w:t>
            </w:r>
            <w:proofErr w:type="gramEnd"/>
            <w:r w:rsidRPr="00007C4E">
              <w:t xml:space="preserve">  </w:t>
            </w:r>
            <w:r w:rsidRPr="00C726FB">
              <w:rPr>
                <w:noProof/>
              </w:rPr>
              <w:t>Voller</w:t>
            </w:r>
          </w:p>
        </w:tc>
        <w:tc>
          <w:tcPr>
            <w:tcW w:w="850" w:type="dxa"/>
            <w:shd w:val="clear" w:color="auto" w:fill="auto"/>
          </w:tcPr>
          <w:p w14:paraId="6E94BEDE" w14:textId="54029A44" w:rsidR="0080631C" w:rsidRPr="0080631C" w:rsidRDefault="007A0AE7" w:rsidP="0080631C">
            <w:pPr>
              <w:pStyle w:val="Title"/>
              <w:rPr>
                <w:u w:val="none"/>
              </w:rPr>
            </w:pPr>
            <w:r>
              <w:rPr>
                <w:u w:val="none"/>
              </w:rPr>
              <w:t>5</w:t>
            </w:r>
          </w:p>
        </w:tc>
      </w:tr>
    </w:tbl>
    <w:p w14:paraId="3A6BE9AD" w14:textId="77777777" w:rsidR="0080631C" w:rsidRDefault="0080631C" w:rsidP="00913869"/>
    <w:tbl>
      <w:tblPr>
        <w:tblW w:w="0" w:type="auto"/>
        <w:tblLook w:val="04A0" w:firstRow="1" w:lastRow="0" w:firstColumn="1" w:lastColumn="0" w:noHBand="0" w:noVBand="1"/>
      </w:tblPr>
      <w:tblGrid>
        <w:gridCol w:w="7891"/>
        <w:gridCol w:w="848"/>
      </w:tblGrid>
      <w:tr w:rsidR="0080631C" w14:paraId="1453A98A" w14:textId="77777777" w:rsidTr="00007C4E">
        <w:tc>
          <w:tcPr>
            <w:tcW w:w="7905" w:type="dxa"/>
            <w:shd w:val="clear" w:color="auto" w:fill="auto"/>
          </w:tcPr>
          <w:p w14:paraId="58F05A3A" w14:textId="77777777" w:rsidR="0080631C" w:rsidRPr="00913869" w:rsidRDefault="0080631C" w:rsidP="00225EBC">
            <w:pPr>
              <w:ind w:left="720"/>
            </w:pPr>
            <w:r w:rsidRPr="00C726FB">
              <w:rPr>
                <w:noProof/>
              </w:rPr>
              <w:t xml:space="preserve">Nationwide News Pty </w:t>
            </w:r>
            <w:proofErr w:type="gramStart"/>
            <w:r w:rsidRPr="00C726FB">
              <w:rPr>
                <w:noProof/>
              </w:rPr>
              <w:t xml:space="preserve">Limited </w:t>
            </w:r>
            <w:r w:rsidRPr="00007C4E">
              <w:t xml:space="preserve"> v</w:t>
            </w:r>
            <w:proofErr w:type="gramEnd"/>
            <w:r w:rsidRPr="00007C4E">
              <w:t xml:space="preserve">  </w:t>
            </w:r>
            <w:r w:rsidRPr="00C726FB">
              <w:rPr>
                <w:noProof/>
              </w:rPr>
              <w:t>Voller</w:t>
            </w:r>
          </w:p>
        </w:tc>
        <w:tc>
          <w:tcPr>
            <w:tcW w:w="850" w:type="dxa"/>
            <w:shd w:val="clear" w:color="auto" w:fill="auto"/>
          </w:tcPr>
          <w:p w14:paraId="17C24EBF" w14:textId="77777777" w:rsidR="0080631C" w:rsidRPr="0080631C" w:rsidRDefault="0080631C" w:rsidP="0080631C">
            <w:pPr>
              <w:pStyle w:val="Title"/>
              <w:rPr>
                <w:u w:val="none"/>
              </w:rPr>
            </w:pPr>
          </w:p>
        </w:tc>
      </w:tr>
    </w:tbl>
    <w:p w14:paraId="689BD6CA" w14:textId="77777777" w:rsidR="0080631C" w:rsidRDefault="0080631C" w:rsidP="00913869"/>
    <w:tbl>
      <w:tblPr>
        <w:tblW w:w="0" w:type="auto"/>
        <w:tblLook w:val="04A0" w:firstRow="1" w:lastRow="0" w:firstColumn="1" w:lastColumn="0" w:noHBand="0" w:noVBand="1"/>
      </w:tblPr>
      <w:tblGrid>
        <w:gridCol w:w="7891"/>
        <w:gridCol w:w="848"/>
      </w:tblGrid>
      <w:tr w:rsidR="0080631C" w14:paraId="5F59A871" w14:textId="77777777" w:rsidTr="00007C4E">
        <w:tc>
          <w:tcPr>
            <w:tcW w:w="7905" w:type="dxa"/>
            <w:shd w:val="clear" w:color="auto" w:fill="auto"/>
          </w:tcPr>
          <w:p w14:paraId="3D8C0469" w14:textId="77777777" w:rsidR="0080631C" w:rsidRPr="00913869" w:rsidRDefault="0080631C" w:rsidP="00225EBC">
            <w:pPr>
              <w:ind w:left="720"/>
            </w:pPr>
            <w:r w:rsidRPr="00C726FB">
              <w:rPr>
                <w:noProof/>
              </w:rPr>
              <w:t xml:space="preserve">Australian News Channel Pty </w:t>
            </w:r>
            <w:proofErr w:type="gramStart"/>
            <w:r w:rsidRPr="00C726FB">
              <w:rPr>
                <w:noProof/>
              </w:rPr>
              <w:t>Ltd</w:t>
            </w:r>
            <w:r w:rsidRPr="00007C4E">
              <w:t xml:space="preserve">  v</w:t>
            </w:r>
            <w:proofErr w:type="gramEnd"/>
            <w:r w:rsidRPr="00007C4E">
              <w:t xml:space="preserve">  </w:t>
            </w:r>
            <w:r w:rsidRPr="00C726FB">
              <w:rPr>
                <w:noProof/>
              </w:rPr>
              <w:t>Voller</w:t>
            </w:r>
          </w:p>
        </w:tc>
        <w:tc>
          <w:tcPr>
            <w:tcW w:w="850" w:type="dxa"/>
            <w:shd w:val="clear" w:color="auto" w:fill="auto"/>
          </w:tcPr>
          <w:p w14:paraId="3F9201BE" w14:textId="77777777" w:rsidR="0080631C" w:rsidRPr="0080631C" w:rsidRDefault="0080631C" w:rsidP="0080631C">
            <w:pPr>
              <w:pStyle w:val="Title"/>
              <w:rPr>
                <w:u w:val="none"/>
              </w:rPr>
            </w:pPr>
          </w:p>
        </w:tc>
      </w:tr>
    </w:tbl>
    <w:p w14:paraId="0D9FEFC3" w14:textId="77777777" w:rsidR="0080631C" w:rsidRDefault="0080631C" w:rsidP="00913869"/>
    <w:p w14:paraId="4BBDD738" w14:textId="73258990" w:rsidR="0080631C" w:rsidRDefault="0080631C" w:rsidP="00913869"/>
    <w:tbl>
      <w:tblPr>
        <w:tblW w:w="0" w:type="auto"/>
        <w:tblLook w:val="04A0" w:firstRow="1" w:lastRow="0" w:firstColumn="1" w:lastColumn="0" w:noHBand="0" w:noVBand="1"/>
      </w:tblPr>
      <w:tblGrid>
        <w:gridCol w:w="7890"/>
        <w:gridCol w:w="849"/>
      </w:tblGrid>
      <w:tr w:rsidR="00B43DAB" w14:paraId="37457845" w14:textId="77777777" w:rsidTr="006A642C">
        <w:tc>
          <w:tcPr>
            <w:tcW w:w="8755" w:type="dxa"/>
            <w:gridSpan w:val="2"/>
            <w:shd w:val="clear" w:color="auto" w:fill="auto"/>
          </w:tcPr>
          <w:p w14:paraId="6E658D5A" w14:textId="69AEDEAF" w:rsidR="00B43DAB" w:rsidRPr="00007C4E" w:rsidRDefault="00B43DAB" w:rsidP="006A642C">
            <w:pPr>
              <w:tabs>
                <w:tab w:val="left" w:pos="851"/>
                <w:tab w:val="right" w:pos="8505"/>
              </w:tabs>
              <w:jc w:val="both"/>
              <w:rPr>
                <w:u w:val="single"/>
              </w:rPr>
            </w:pPr>
            <w:r>
              <w:rPr>
                <w:noProof/>
                <w:u w:val="single"/>
              </w:rPr>
              <w:t>Thursday, 20</w:t>
            </w:r>
            <w:r w:rsidRPr="00C726FB">
              <w:rPr>
                <w:noProof/>
                <w:u w:val="single"/>
              </w:rPr>
              <w:t xml:space="preserve"> May</w:t>
            </w:r>
          </w:p>
          <w:p w14:paraId="48EC960E" w14:textId="77777777" w:rsidR="00B43DAB" w:rsidRDefault="00B43DAB" w:rsidP="006A642C">
            <w:pPr>
              <w:pStyle w:val="Title"/>
              <w:jc w:val="left"/>
            </w:pPr>
          </w:p>
        </w:tc>
      </w:tr>
      <w:tr w:rsidR="00B43DAB" w14:paraId="1D4F4C2D" w14:textId="77777777" w:rsidTr="006A642C">
        <w:tc>
          <w:tcPr>
            <w:tcW w:w="7905" w:type="dxa"/>
            <w:shd w:val="clear" w:color="auto" w:fill="auto"/>
          </w:tcPr>
          <w:p w14:paraId="7F23B918" w14:textId="1700B9B1" w:rsidR="00B43DAB" w:rsidRPr="00913869" w:rsidRDefault="00B43DAB" w:rsidP="006A642C">
            <w:pPr>
              <w:numPr>
                <w:ilvl w:val="0"/>
                <w:numId w:val="9"/>
              </w:numPr>
              <w:ind w:hanging="720"/>
            </w:pPr>
            <w:r>
              <w:rPr>
                <w:noProof/>
              </w:rPr>
              <w:t>Edwards  v  The Queen</w:t>
            </w:r>
          </w:p>
        </w:tc>
        <w:tc>
          <w:tcPr>
            <w:tcW w:w="850" w:type="dxa"/>
            <w:shd w:val="clear" w:color="auto" w:fill="auto"/>
          </w:tcPr>
          <w:p w14:paraId="1880B93E" w14:textId="28F22D0E" w:rsidR="00B43DAB" w:rsidRPr="00225EBC" w:rsidRDefault="007A0AE7" w:rsidP="00225EBC">
            <w:pPr>
              <w:pStyle w:val="Title"/>
              <w:rPr>
                <w:u w:val="none"/>
              </w:rPr>
            </w:pPr>
            <w:r>
              <w:rPr>
                <w:u w:val="none"/>
              </w:rPr>
              <w:t>6</w:t>
            </w:r>
          </w:p>
        </w:tc>
      </w:tr>
    </w:tbl>
    <w:p w14:paraId="021B5A58" w14:textId="11E08B7A" w:rsidR="00B43DAB" w:rsidRDefault="00B43DAB" w:rsidP="00913869"/>
    <w:p w14:paraId="6E53886E" w14:textId="77777777" w:rsidR="00B43DAB" w:rsidRDefault="00B43DAB" w:rsidP="00913869"/>
    <w:p w14:paraId="407BA2E2" w14:textId="77777777" w:rsidR="0080631C" w:rsidRDefault="0080631C" w:rsidP="0080631C">
      <w:pPr>
        <w:tabs>
          <w:tab w:val="left" w:pos="851"/>
          <w:tab w:val="right" w:pos="8505"/>
        </w:tabs>
        <w:jc w:val="center"/>
      </w:pPr>
      <w:r>
        <w:t>********************</w:t>
      </w:r>
    </w:p>
    <w:p w14:paraId="0C53722F" w14:textId="77777777" w:rsidR="00DB6DAD" w:rsidRPr="00782D46" w:rsidRDefault="0080631C" w:rsidP="00DB6DAD">
      <w:pPr>
        <w:pStyle w:val="NoSpacing"/>
        <w:jc w:val="both"/>
        <w:rPr>
          <w:rFonts w:ascii="Arial" w:eastAsia="Times New Roman" w:hAnsi="Arial" w:cs="Arial"/>
          <w:b/>
          <w:color w:val="000000"/>
          <w:sz w:val="24"/>
          <w:szCs w:val="24"/>
          <w:u w:val="single"/>
          <w:lang w:eastAsia="en-AU"/>
        </w:rPr>
      </w:pPr>
      <w:r>
        <w:br w:type="page"/>
      </w:r>
      <w:r w:rsidR="00DB6DAD">
        <w:rPr>
          <w:rFonts w:ascii="Arial" w:eastAsia="Times New Roman" w:hAnsi="Arial" w:cs="Arial"/>
          <w:b/>
          <w:color w:val="000000"/>
          <w:sz w:val="24"/>
          <w:szCs w:val="24"/>
          <w:u w:val="single"/>
          <w:lang w:eastAsia="en-AU"/>
        </w:rPr>
        <w:lastRenderedPageBreak/>
        <w:t>CHETCUTI</w:t>
      </w:r>
      <w:r w:rsidR="00DB6DAD" w:rsidRPr="00424975">
        <w:rPr>
          <w:rFonts w:ascii="Arial" w:eastAsia="Times New Roman" w:hAnsi="Arial" w:cs="Arial"/>
          <w:b/>
          <w:color w:val="000000"/>
          <w:sz w:val="24"/>
          <w:szCs w:val="24"/>
          <w:u w:val="single"/>
          <w:lang w:eastAsia="en-AU"/>
        </w:rPr>
        <w:t xml:space="preserve"> </w:t>
      </w:r>
      <w:r w:rsidR="00DB6DAD">
        <w:rPr>
          <w:rFonts w:ascii="Arial" w:eastAsia="Times New Roman" w:hAnsi="Arial" w:cs="Arial"/>
          <w:b/>
          <w:color w:val="000000"/>
          <w:sz w:val="24"/>
          <w:szCs w:val="24"/>
          <w:u w:val="single"/>
          <w:lang w:eastAsia="en-AU"/>
        </w:rPr>
        <w:t>v</w:t>
      </w:r>
      <w:r w:rsidR="00DB6DAD" w:rsidRPr="00424975">
        <w:rPr>
          <w:rFonts w:ascii="Arial" w:eastAsia="Times New Roman" w:hAnsi="Arial" w:cs="Arial"/>
          <w:b/>
          <w:color w:val="000000"/>
          <w:sz w:val="24"/>
          <w:szCs w:val="24"/>
          <w:u w:val="single"/>
          <w:lang w:eastAsia="en-AU"/>
        </w:rPr>
        <w:t xml:space="preserve"> COMMONWEALTH OF </w:t>
      </w:r>
      <w:proofErr w:type="gramStart"/>
      <w:r w:rsidR="00DB6DAD" w:rsidRPr="00424975">
        <w:rPr>
          <w:rFonts w:ascii="Arial" w:eastAsia="Times New Roman" w:hAnsi="Arial" w:cs="Arial"/>
          <w:b/>
          <w:color w:val="000000"/>
          <w:sz w:val="24"/>
          <w:szCs w:val="24"/>
          <w:u w:val="single"/>
          <w:lang w:eastAsia="en-AU"/>
        </w:rPr>
        <w:t>AUSTRALIA</w:t>
      </w:r>
      <w:r w:rsidR="00DB6DAD" w:rsidRPr="00527798">
        <w:rPr>
          <w:rFonts w:ascii="Arial" w:eastAsia="Times New Roman" w:hAnsi="Arial" w:cs="Arial"/>
          <w:b/>
          <w:color w:val="000000"/>
          <w:sz w:val="24"/>
          <w:szCs w:val="24"/>
          <w:lang w:eastAsia="en-AU"/>
        </w:rPr>
        <w:t xml:space="preserve"> </w:t>
      </w:r>
      <w:r w:rsidR="00DB6DAD">
        <w:rPr>
          <w:rFonts w:ascii="Arial" w:eastAsia="Times New Roman" w:hAnsi="Arial" w:cs="Arial"/>
          <w:b/>
          <w:color w:val="000000"/>
          <w:sz w:val="24"/>
          <w:szCs w:val="24"/>
          <w:lang w:eastAsia="en-AU"/>
        </w:rPr>
        <w:t xml:space="preserve"> </w:t>
      </w:r>
      <w:r w:rsidR="00DB6DAD" w:rsidRPr="00782D46">
        <w:rPr>
          <w:rFonts w:ascii="Arial" w:eastAsia="Times New Roman" w:hAnsi="Arial" w:cs="Arial"/>
          <w:b/>
          <w:color w:val="000000"/>
          <w:sz w:val="24"/>
          <w:szCs w:val="24"/>
          <w:lang w:eastAsia="en-AU"/>
        </w:rPr>
        <w:t>(</w:t>
      </w:r>
      <w:proofErr w:type="gramEnd"/>
      <w:r w:rsidR="00DB6DAD">
        <w:rPr>
          <w:rFonts w:ascii="Arial" w:eastAsia="Times New Roman" w:hAnsi="Arial" w:cs="Arial"/>
          <w:b/>
          <w:color w:val="000000"/>
          <w:sz w:val="24"/>
          <w:szCs w:val="24"/>
          <w:lang w:eastAsia="en-AU"/>
        </w:rPr>
        <w:t>M122</w:t>
      </w:r>
      <w:r w:rsidR="00DB6DAD" w:rsidRPr="00782D46">
        <w:rPr>
          <w:rFonts w:ascii="Arial" w:eastAsia="Times New Roman" w:hAnsi="Arial" w:cs="Arial"/>
          <w:b/>
          <w:color w:val="000000"/>
          <w:sz w:val="24"/>
          <w:szCs w:val="24"/>
          <w:lang w:eastAsia="en-AU"/>
        </w:rPr>
        <w:t>/2020)</w:t>
      </w:r>
    </w:p>
    <w:p w14:paraId="78502194" w14:textId="77777777" w:rsidR="00DB6DAD" w:rsidRPr="00E651B8" w:rsidRDefault="00DB6DAD" w:rsidP="00DB6DAD">
      <w:pPr>
        <w:ind w:left="2694" w:hanging="2694"/>
        <w:jc w:val="both"/>
        <w:rPr>
          <w:rFonts w:cs="Arial"/>
          <w:szCs w:val="24"/>
        </w:rPr>
      </w:pPr>
    </w:p>
    <w:p w14:paraId="352526EC" w14:textId="77777777" w:rsidR="00DB6DAD" w:rsidRDefault="00DB6DAD" w:rsidP="00DB6DAD">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High Court of Australia</w:t>
      </w:r>
      <w:r>
        <w:rPr>
          <w:rFonts w:cs="Arial"/>
          <w:szCs w:val="24"/>
        </w:rPr>
        <w:br/>
        <w:t>[2020] HCA 42</w:t>
      </w:r>
    </w:p>
    <w:p w14:paraId="6D5304D2" w14:textId="77777777" w:rsidR="00DB6DAD" w:rsidRPr="008A0364" w:rsidRDefault="00DB6DAD" w:rsidP="00DB6DAD">
      <w:pPr>
        <w:ind w:left="2552" w:hanging="2552"/>
        <w:rPr>
          <w:rFonts w:cs="Arial"/>
          <w:szCs w:val="24"/>
        </w:rPr>
      </w:pPr>
    </w:p>
    <w:p w14:paraId="24ECEB5F" w14:textId="77777777" w:rsidR="00DB6DAD" w:rsidRDefault="00DB6DAD" w:rsidP="00DB6DAD">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26 November 2020</w:t>
      </w:r>
    </w:p>
    <w:p w14:paraId="300E5163" w14:textId="77777777" w:rsidR="00DB6DAD" w:rsidRDefault="00DB6DAD" w:rsidP="00DB6DAD">
      <w:pPr>
        <w:ind w:left="2552" w:hanging="2552"/>
        <w:rPr>
          <w:rFonts w:cs="Arial"/>
          <w:szCs w:val="24"/>
        </w:rPr>
      </w:pPr>
    </w:p>
    <w:p w14:paraId="30550D72" w14:textId="77777777" w:rsidR="00DB6DAD" w:rsidRPr="00B9391B" w:rsidRDefault="00DB6DAD" w:rsidP="00DB6DAD">
      <w:pPr>
        <w:jc w:val="both"/>
        <w:rPr>
          <w:rFonts w:cs="Arial"/>
          <w:szCs w:val="24"/>
          <w:highlight w:val="yellow"/>
        </w:rPr>
      </w:pPr>
      <w:r>
        <w:rPr>
          <w:rFonts w:cs="Arial"/>
          <w:szCs w:val="24"/>
        </w:rPr>
        <w:t xml:space="preserve">The appellant was born in Malta on 8 </w:t>
      </w:r>
      <w:r w:rsidRPr="003B0EF9">
        <w:rPr>
          <w:rFonts w:cs="Arial"/>
          <w:szCs w:val="24"/>
        </w:rPr>
        <w:t xml:space="preserve">August 1945. </w:t>
      </w:r>
      <w:r>
        <w:rPr>
          <w:rFonts w:cs="Arial"/>
          <w:szCs w:val="24"/>
        </w:rPr>
        <w:t xml:space="preserve"> </w:t>
      </w:r>
      <w:r w:rsidRPr="003B0EF9">
        <w:rPr>
          <w:rFonts w:cs="Arial"/>
          <w:szCs w:val="24"/>
        </w:rPr>
        <w:t>At that time, Malta was a British protectorate, the King of the United Kingdom was Malta’s sovereign</w:t>
      </w:r>
      <w:r>
        <w:rPr>
          <w:rFonts w:cs="Arial"/>
          <w:szCs w:val="24"/>
        </w:rPr>
        <w:t>,</w:t>
      </w:r>
      <w:r w:rsidRPr="003B0EF9">
        <w:rPr>
          <w:rFonts w:cs="Arial"/>
          <w:szCs w:val="24"/>
        </w:rPr>
        <w:t xml:space="preserve"> and any person born within the King of the United Kingdom’s ‘dominion and allegiance’ was deemed to be a natural born British subject. </w:t>
      </w:r>
      <w:r>
        <w:rPr>
          <w:rFonts w:cs="Arial"/>
          <w:szCs w:val="24"/>
        </w:rPr>
        <w:t xml:space="preserve"> The appellant arrived in Australia on 31 July 1948 on a British passport.  He has lived continuously in Australia, except between </w:t>
      </w:r>
      <w:r w:rsidRPr="00AC5BD1">
        <w:rPr>
          <w:rFonts w:cs="Arial"/>
          <w:szCs w:val="24"/>
        </w:rPr>
        <w:t xml:space="preserve">22 November </w:t>
      </w:r>
      <w:r>
        <w:rPr>
          <w:rFonts w:cs="Arial"/>
          <w:szCs w:val="24"/>
        </w:rPr>
        <w:t xml:space="preserve">1958 </w:t>
      </w:r>
      <w:r w:rsidRPr="00AC5BD1">
        <w:rPr>
          <w:rFonts w:cs="Arial"/>
          <w:szCs w:val="24"/>
        </w:rPr>
        <w:t>and</w:t>
      </w:r>
      <w:r>
        <w:rPr>
          <w:rFonts w:cs="Arial"/>
          <w:szCs w:val="24"/>
        </w:rPr>
        <w:t xml:space="preserve"> 19</w:t>
      </w:r>
      <w:r w:rsidRPr="00AC5BD1">
        <w:rPr>
          <w:rFonts w:cs="Arial"/>
          <w:szCs w:val="24"/>
        </w:rPr>
        <w:t xml:space="preserve"> July</w:t>
      </w:r>
      <w:r>
        <w:rPr>
          <w:rFonts w:cs="Arial"/>
          <w:szCs w:val="24"/>
        </w:rPr>
        <w:t xml:space="preserve"> 1959 </w:t>
      </w:r>
      <w:r w:rsidRPr="00AC5BD1">
        <w:rPr>
          <w:rFonts w:cs="Arial"/>
          <w:szCs w:val="24"/>
        </w:rPr>
        <w:t xml:space="preserve">when </w:t>
      </w:r>
      <w:r>
        <w:rPr>
          <w:rFonts w:cs="Arial"/>
          <w:szCs w:val="24"/>
        </w:rPr>
        <w:t xml:space="preserve">he </w:t>
      </w:r>
      <w:r w:rsidRPr="00AC5BD1">
        <w:rPr>
          <w:rFonts w:cs="Arial"/>
          <w:szCs w:val="24"/>
        </w:rPr>
        <w:t>travelled to Malta.</w:t>
      </w:r>
    </w:p>
    <w:p w14:paraId="49F19705" w14:textId="77777777" w:rsidR="00DB6DAD" w:rsidRDefault="00DB6DAD" w:rsidP="00DB6DAD">
      <w:pPr>
        <w:jc w:val="both"/>
        <w:rPr>
          <w:rFonts w:cs="Arial"/>
          <w:szCs w:val="24"/>
        </w:rPr>
      </w:pPr>
    </w:p>
    <w:p w14:paraId="543B7507" w14:textId="77777777" w:rsidR="00DB6DAD" w:rsidRDefault="00DB6DAD" w:rsidP="00DB6DAD">
      <w:pPr>
        <w:jc w:val="both"/>
        <w:rPr>
          <w:rFonts w:cs="Arial"/>
          <w:szCs w:val="24"/>
        </w:rPr>
      </w:pPr>
      <w:r w:rsidRPr="006D1108">
        <w:rPr>
          <w:rFonts w:cs="Arial"/>
          <w:szCs w:val="24"/>
        </w:rPr>
        <w:t xml:space="preserve">On 1 July 1949, the </w:t>
      </w:r>
      <w:r w:rsidRPr="006D1108">
        <w:rPr>
          <w:rFonts w:cs="Arial"/>
          <w:i/>
          <w:szCs w:val="24"/>
        </w:rPr>
        <w:t xml:space="preserve">British Nationality Act 1948 </w:t>
      </w:r>
      <w:r w:rsidRPr="006D1108">
        <w:rPr>
          <w:rFonts w:cs="Arial"/>
          <w:szCs w:val="24"/>
        </w:rPr>
        <w:t xml:space="preserve">(UK) </w:t>
      </w:r>
      <w:r>
        <w:rPr>
          <w:rFonts w:cs="Arial"/>
          <w:szCs w:val="24"/>
        </w:rPr>
        <w:t>commenced</w:t>
      </w:r>
      <w:r w:rsidRPr="006D1108">
        <w:rPr>
          <w:rFonts w:cs="Arial"/>
          <w:szCs w:val="24"/>
        </w:rPr>
        <w:t xml:space="preserve">. </w:t>
      </w:r>
      <w:r>
        <w:rPr>
          <w:rFonts w:cs="Arial"/>
          <w:szCs w:val="24"/>
        </w:rPr>
        <w:t xml:space="preserve"> This act made the appellant a citizen of the United Kingdom and Colonies (‘citizen of the UK’) and he retained his status as a British subject</w:t>
      </w:r>
      <w:r w:rsidRPr="006D1108">
        <w:rPr>
          <w:rFonts w:cs="Arial"/>
          <w:szCs w:val="24"/>
        </w:rPr>
        <w:t>.</w:t>
      </w:r>
      <w:r>
        <w:rPr>
          <w:rFonts w:cs="Arial"/>
          <w:szCs w:val="24"/>
        </w:rPr>
        <w:t xml:space="preserve">  On 26 January 1949, the </w:t>
      </w:r>
      <w:r>
        <w:rPr>
          <w:rFonts w:cs="Arial"/>
          <w:i/>
          <w:szCs w:val="24"/>
        </w:rPr>
        <w:t>Nationality and Citizenship Act 1948</w:t>
      </w:r>
      <w:r>
        <w:rPr>
          <w:rFonts w:cs="Arial"/>
          <w:szCs w:val="24"/>
        </w:rPr>
        <w:t xml:space="preserve"> (</w:t>
      </w:r>
      <w:proofErr w:type="spellStart"/>
      <w:r>
        <w:rPr>
          <w:rFonts w:cs="Arial"/>
          <w:szCs w:val="24"/>
        </w:rPr>
        <w:t>Cth</w:t>
      </w:r>
      <w:proofErr w:type="spellEnd"/>
      <w:r>
        <w:rPr>
          <w:rFonts w:cs="Arial"/>
          <w:szCs w:val="24"/>
        </w:rPr>
        <w:t xml:space="preserve">) came into effect </w:t>
      </w:r>
      <w:proofErr w:type="spellStart"/>
      <w:r>
        <w:rPr>
          <w:rFonts w:cs="Arial"/>
          <w:szCs w:val="24"/>
        </w:rPr>
        <w:t>recognising</w:t>
      </w:r>
      <w:proofErr w:type="spellEnd"/>
      <w:r>
        <w:rPr>
          <w:rFonts w:cs="Arial"/>
          <w:szCs w:val="24"/>
        </w:rPr>
        <w:t xml:space="preserve"> citizens of the UK as British subjects.  On 21 September 1964, the </w:t>
      </w:r>
      <w:r>
        <w:rPr>
          <w:rFonts w:cs="Arial"/>
          <w:i/>
          <w:szCs w:val="24"/>
        </w:rPr>
        <w:t xml:space="preserve">Malta Independence Act 1964 </w:t>
      </w:r>
      <w:r>
        <w:rPr>
          <w:rFonts w:cs="Arial"/>
          <w:szCs w:val="24"/>
        </w:rPr>
        <w:t>(UK) commenced and the appellant became a Maltese citizen.</w:t>
      </w:r>
    </w:p>
    <w:p w14:paraId="0805820F" w14:textId="77777777" w:rsidR="00DB6DAD" w:rsidRDefault="00DB6DAD" w:rsidP="00DB6DAD">
      <w:pPr>
        <w:jc w:val="both"/>
        <w:rPr>
          <w:rFonts w:cs="Arial"/>
          <w:szCs w:val="24"/>
        </w:rPr>
      </w:pPr>
    </w:p>
    <w:p w14:paraId="565B3E3B" w14:textId="77777777" w:rsidR="00DB6DAD" w:rsidRPr="00065E15" w:rsidRDefault="00DB6DAD" w:rsidP="00DB6DAD">
      <w:pPr>
        <w:jc w:val="both"/>
        <w:rPr>
          <w:rFonts w:cs="Arial"/>
          <w:szCs w:val="24"/>
        </w:rPr>
      </w:pPr>
      <w:r>
        <w:rPr>
          <w:rFonts w:cs="Arial"/>
          <w:szCs w:val="24"/>
        </w:rPr>
        <w:t>On 28 April 1993, the appellant was convicted of murder and sentenced to imprisonment for 24 years with a minimum term of 18 years.  (On 6 April 2011, he was convicted of assault occasioning actual bodily harm and sentenced to two years’ imprisonment to be served concurrently with his previous sentence).  On 1 September 1994, the appellant was deemed to be granted an Absorbed Person visa.  On 2 July 2019, the Minister for Immigration, Citizenship, Migrant Services and Multicultural Affairs cancelled his visa.</w:t>
      </w:r>
    </w:p>
    <w:p w14:paraId="056F53E6" w14:textId="77777777" w:rsidR="00DB6DAD" w:rsidRDefault="00DB6DAD" w:rsidP="00DB6DAD">
      <w:pPr>
        <w:jc w:val="both"/>
        <w:rPr>
          <w:rFonts w:cs="Arial"/>
          <w:szCs w:val="24"/>
        </w:rPr>
      </w:pPr>
    </w:p>
    <w:p w14:paraId="1AF258B4" w14:textId="77777777" w:rsidR="00DB6DAD" w:rsidRPr="00AA1146" w:rsidRDefault="00DB6DAD" w:rsidP="00DB6DAD">
      <w:pPr>
        <w:jc w:val="both"/>
        <w:rPr>
          <w:rFonts w:cs="Arial"/>
          <w:szCs w:val="24"/>
        </w:rPr>
      </w:pPr>
      <w:r>
        <w:rPr>
          <w:rFonts w:cs="Arial"/>
          <w:szCs w:val="24"/>
        </w:rPr>
        <w:t>On 12 June 2020, the appellant filed a writ of summons in the High Court seeking, among other relief, a declaration that he is not an alien.  On 29 October 2020, Nettle</w:t>
      </w:r>
      <w:r>
        <w:rPr>
          <w:rFonts w:cs="Arial"/>
          <w:iCs/>
          <w:szCs w:val="24"/>
        </w:rPr>
        <w:t> </w:t>
      </w:r>
      <w:r>
        <w:rPr>
          <w:rFonts w:cs="Arial"/>
          <w:szCs w:val="24"/>
        </w:rPr>
        <w:t>J ordered the Special Case filed by the parties be referred for his consideration.  The appellant argued that, because he was a British subject when he arrived in Australia, he was not an ‘alien’, was instead a ‘non-alien’ and s</w:t>
      </w:r>
      <w:bookmarkStart w:id="1" w:name="_Hlk70425988"/>
      <w:r>
        <w:rPr>
          <w:rFonts w:cs="Arial"/>
          <w:iCs/>
          <w:szCs w:val="24"/>
        </w:rPr>
        <w:t> </w:t>
      </w:r>
      <w:bookmarkEnd w:id="1"/>
      <w:r>
        <w:rPr>
          <w:rFonts w:cs="Arial"/>
          <w:szCs w:val="24"/>
        </w:rPr>
        <w:t xml:space="preserve">51(xix) of the </w:t>
      </w:r>
      <w:r>
        <w:rPr>
          <w:rFonts w:cs="Arial"/>
          <w:i/>
          <w:szCs w:val="24"/>
        </w:rPr>
        <w:t>Constitution</w:t>
      </w:r>
      <w:r>
        <w:rPr>
          <w:rFonts w:cs="Arial"/>
          <w:szCs w:val="24"/>
        </w:rPr>
        <w:t xml:space="preserve"> therefore did not apply to him.  He argued that, although the meaning of alien changed as Australia emerged as an independent sovereign power, he had arrived before the sovereign of Australia and Britain became divisible and had taken no active step to sever his allegiance to the Crown in right of Australia.  As a result, he cannot now be regarded as an alien.</w:t>
      </w:r>
    </w:p>
    <w:p w14:paraId="5E41A311" w14:textId="77777777" w:rsidR="00DB6DAD" w:rsidRDefault="00DB6DAD" w:rsidP="00DB6DAD">
      <w:pPr>
        <w:jc w:val="both"/>
        <w:rPr>
          <w:rFonts w:cs="Arial"/>
          <w:szCs w:val="24"/>
        </w:rPr>
      </w:pPr>
    </w:p>
    <w:p w14:paraId="1719AD6D" w14:textId="77777777" w:rsidR="00DB6DAD" w:rsidRDefault="00DB6DAD" w:rsidP="00DB6DAD">
      <w:pPr>
        <w:jc w:val="both"/>
        <w:rPr>
          <w:rFonts w:cs="Arial"/>
          <w:szCs w:val="24"/>
        </w:rPr>
      </w:pPr>
      <w:r>
        <w:rPr>
          <w:rFonts w:cs="Arial"/>
          <w:szCs w:val="24"/>
        </w:rPr>
        <w:t>The respondent argued that, even if the appellant could not have been conceived of as an alien according to the ordinary understanding of the term at the time, the Parliament’s power to treat him as an alien was not frozen in time and the legislative power with respect to aliens has evolved over time.  In the alternative, the respondent argued that, at the time of the appellant’s arrival, Australia had already emerged as an independent sovereign nation.  As a result, the Parliament could treat him as an alien from the time of arrival.  In the further alternative, the respondent argued that, from the time of Federation in 1901, it was open to the Parliament to treat British subjects born abroad as aliens.</w:t>
      </w:r>
    </w:p>
    <w:p w14:paraId="4F1EF7CD" w14:textId="77777777" w:rsidR="00DB6DAD" w:rsidRDefault="00DB6DAD" w:rsidP="00DB6DAD">
      <w:pPr>
        <w:jc w:val="both"/>
        <w:rPr>
          <w:rFonts w:cs="Arial"/>
          <w:szCs w:val="24"/>
        </w:rPr>
      </w:pPr>
    </w:p>
    <w:p w14:paraId="72155F11" w14:textId="77777777" w:rsidR="00DB6DAD" w:rsidRDefault="00DB6DAD" w:rsidP="00DB6DAD">
      <w:pPr>
        <w:tabs>
          <w:tab w:val="left" w:pos="1845"/>
        </w:tabs>
        <w:jc w:val="both"/>
        <w:rPr>
          <w:rFonts w:cs="Arial"/>
          <w:szCs w:val="24"/>
        </w:rPr>
      </w:pPr>
      <w:r w:rsidRPr="00775BD1">
        <w:rPr>
          <w:rFonts w:cs="Arial"/>
          <w:szCs w:val="24"/>
        </w:rPr>
        <w:t>Nettle J observed that</w:t>
      </w:r>
      <w:r>
        <w:rPr>
          <w:rFonts w:cs="Arial"/>
          <w:szCs w:val="24"/>
        </w:rPr>
        <w:t xml:space="preserve"> </w:t>
      </w:r>
      <w:r w:rsidRPr="008210D6">
        <w:rPr>
          <w:rFonts w:cs="Arial"/>
          <w:szCs w:val="24"/>
        </w:rPr>
        <w:t>the central</w:t>
      </w:r>
      <w:r>
        <w:rPr>
          <w:rFonts w:cs="Arial"/>
          <w:szCs w:val="24"/>
        </w:rPr>
        <w:t xml:space="preserve"> </w:t>
      </w:r>
      <w:r w:rsidRPr="008210D6">
        <w:rPr>
          <w:rFonts w:cs="Arial"/>
          <w:szCs w:val="24"/>
        </w:rPr>
        <w:t>characteristic of alienage is lack of permanent allegiance to Australia.</w:t>
      </w:r>
      <w:r>
        <w:rPr>
          <w:rFonts w:cs="Arial"/>
          <w:szCs w:val="24"/>
        </w:rPr>
        <w:t xml:space="preserve">  Nettle</w:t>
      </w:r>
      <w:r>
        <w:rPr>
          <w:rFonts w:cs="Arial"/>
          <w:iCs/>
          <w:szCs w:val="24"/>
        </w:rPr>
        <w:t> </w:t>
      </w:r>
      <w:r>
        <w:rPr>
          <w:rFonts w:cs="Arial"/>
          <w:szCs w:val="24"/>
        </w:rPr>
        <w:t>J found that there can be no doubt that</w:t>
      </w:r>
      <w:proofErr w:type="gramStart"/>
      <w:r>
        <w:rPr>
          <w:rFonts w:cs="Arial"/>
          <w:szCs w:val="24"/>
        </w:rPr>
        <w:t>, generally speaking, it</w:t>
      </w:r>
      <w:proofErr w:type="gramEnd"/>
      <w:r>
        <w:rPr>
          <w:rFonts w:cs="Arial"/>
          <w:szCs w:val="24"/>
        </w:rPr>
        <w:t xml:space="preserve"> is within the legislative competence of the Parliament to treat a foreign citizen, who is not an Australian citizen, as an alien.  The notion of allegiance to the </w:t>
      </w:r>
      <w:r>
        <w:rPr>
          <w:rFonts w:cs="Arial"/>
          <w:szCs w:val="24"/>
        </w:rPr>
        <w:lastRenderedPageBreak/>
        <w:t>Imperial Crown which informed the earlier understanding of the term alien has ceased to apply.  Therefore, the appellant, who became a citizen of the UK on 1 January 1949, subsequently became a citizen of Malta on 21 September 1964 and is not an Australian citizen, could be treated as an alien.</w:t>
      </w:r>
    </w:p>
    <w:p w14:paraId="38ED0916" w14:textId="77777777" w:rsidR="00DB6DAD" w:rsidRDefault="00DB6DAD" w:rsidP="00DB6DAD">
      <w:pPr>
        <w:jc w:val="both"/>
        <w:rPr>
          <w:rFonts w:cs="Arial"/>
          <w:szCs w:val="24"/>
        </w:rPr>
      </w:pPr>
    </w:p>
    <w:p w14:paraId="788258D8" w14:textId="77777777" w:rsidR="00DB6DAD" w:rsidRPr="00802878" w:rsidRDefault="00DB6DAD" w:rsidP="00DB6DAD">
      <w:pPr>
        <w:jc w:val="both"/>
        <w:rPr>
          <w:rFonts w:cs="Arial"/>
          <w:szCs w:val="24"/>
        </w:rPr>
      </w:pPr>
      <w:r>
        <w:rPr>
          <w:rFonts w:cs="Arial"/>
          <w:szCs w:val="24"/>
        </w:rPr>
        <w:t xml:space="preserve">In addition, Nettle J accepted that, at the enactment of the </w:t>
      </w:r>
      <w:r>
        <w:rPr>
          <w:rFonts w:cs="Arial"/>
          <w:i/>
          <w:szCs w:val="24"/>
        </w:rPr>
        <w:t xml:space="preserve">Statue of Westminster Adoption Act 1942 </w:t>
      </w:r>
      <w:r>
        <w:rPr>
          <w:rFonts w:cs="Arial"/>
          <w:szCs w:val="24"/>
        </w:rPr>
        <w:t>(</w:t>
      </w:r>
      <w:proofErr w:type="spellStart"/>
      <w:r>
        <w:rPr>
          <w:rFonts w:cs="Arial"/>
          <w:szCs w:val="24"/>
        </w:rPr>
        <w:t>Cth</w:t>
      </w:r>
      <w:proofErr w:type="spellEnd"/>
      <w:r>
        <w:rPr>
          <w:rFonts w:cs="Arial"/>
          <w:szCs w:val="24"/>
        </w:rPr>
        <w:t>), Australia became sufficiently independent of the UK to be regarded as an independent sovereign and the relevant constitutional conception of the Crown became the Crown in right of Australia.  It was thus open to Parliament to treat the appellant as an alien upon his entry to Australia. Nettle</w:t>
      </w:r>
      <w:r>
        <w:rPr>
          <w:rFonts w:cs="Arial"/>
          <w:iCs/>
          <w:szCs w:val="24"/>
        </w:rPr>
        <w:t> </w:t>
      </w:r>
      <w:r>
        <w:rPr>
          <w:rFonts w:cs="Arial"/>
          <w:szCs w:val="24"/>
        </w:rPr>
        <w:t>J declined to decide the respondent’s further alternative contention in relation to Federation.</w:t>
      </w:r>
    </w:p>
    <w:p w14:paraId="3B975E17" w14:textId="77777777" w:rsidR="00DB6DAD" w:rsidRDefault="00DB6DAD" w:rsidP="00DB6DAD">
      <w:pPr>
        <w:jc w:val="both"/>
        <w:rPr>
          <w:rFonts w:cs="Arial"/>
          <w:szCs w:val="24"/>
        </w:rPr>
      </w:pPr>
    </w:p>
    <w:p w14:paraId="39016981" w14:textId="0CD62968" w:rsidR="00DB6DAD" w:rsidRDefault="00DB6DAD" w:rsidP="00DB6DAD">
      <w:pPr>
        <w:jc w:val="both"/>
        <w:rPr>
          <w:rFonts w:cs="Arial"/>
          <w:szCs w:val="24"/>
        </w:rPr>
      </w:pPr>
      <w:r>
        <w:rPr>
          <w:rFonts w:cs="Arial"/>
          <w:szCs w:val="24"/>
        </w:rPr>
        <w:t>The grounds of appeal are that:</w:t>
      </w:r>
    </w:p>
    <w:p w14:paraId="063948D7" w14:textId="77777777" w:rsidR="00DB6DAD" w:rsidRDefault="00DB6DAD" w:rsidP="00DB6DAD">
      <w:pPr>
        <w:jc w:val="both"/>
        <w:rPr>
          <w:rFonts w:cs="Arial"/>
          <w:szCs w:val="24"/>
        </w:rPr>
      </w:pPr>
    </w:p>
    <w:p w14:paraId="5EAC24D0" w14:textId="77777777" w:rsidR="00DB6DAD" w:rsidRDefault="00DB6DAD" w:rsidP="00B566FB">
      <w:pPr>
        <w:pStyle w:val="ListParagraph"/>
        <w:numPr>
          <w:ilvl w:val="0"/>
          <w:numId w:val="11"/>
        </w:numPr>
        <w:ind w:left="426" w:hanging="426"/>
        <w:jc w:val="both"/>
        <w:rPr>
          <w:rFonts w:cs="Arial"/>
          <w:sz w:val="24"/>
          <w:szCs w:val="24"/>
        </w:rPr>
      </w:pPr>
      <w:r>
        <w:rPr>
          <w:rFonts w:cs="Arial"/>
          <w:sz w:val="24"/>
          <w:szCs w:val="24"/>
        </w:rPr>
        <w:t>T</w:t>
      </w:r>
      <w:r w:rsidRPr="00FB1FDF">
        <w:rPr>
          <w:rFonts w:cs="Arial"/>
          <w:sz w:val="24"/>
          <w:szCs w:val="24"/>
        </w:rPr>
        <w:t xml:space="preserve">he </w:t>
      </w:r>
      <w:r>
        <w:rPr>
          <w:rFonts w:cs="Arial"/>
          <w:sz w:val="24"/>
          <w:szCs w:val="24"/>
        </w:rPr>
        <w:t xml:space="preserve">learned primary judge erred in finding that it is within the legislative competence of the Commonwealth Parliament to treat the appellant as an ‘alien’ as that term is used in section 51(xix) of the </w:t>
      </w:r>
      <w:r>
        <w:rPr>
          <w:rFonts w:cs="Arial"/>
          <w:i/>
          <w:sz w:val="24"/>
          <w:szCs w:val="24"/>
        </w:rPr>
        <w:t>Constitution</w:t>
      </w:r>
      <w:r>
        <w:rPr>
          <w:rFonts w:cs="Arial"/>
          <w:sz w:val="24"/>
          <w:szCs w:val="24"/>
        </w:rPr>
        <w:t>;</w:t>
      </w:r>
    </w:p>
    <w:p w14:paraId="0D0D2F0F" w14:textId="77777777" w:rsidR="00DB6DAD" w:rsidRPr="000C532E" w:rsidRDefault="00DB6DAD" w:rsidP="00B566FB">
      <w:pPr>
        <w:pStyle w:val="ListParagraph"/>
        <w:ind w:left="426" w:hanging="426"/>
        <w:jc w:val="both"/>
        <w:rPr>
          <w:rFonts w:cs="Arial"/>
          <w:sz w:val="24"/>
          <w:szCs w:val="24"/>
        </w:rPr>
      </w:pPr>
    </w:p>
    <w:p w14:paraId="4DD310B7" w14:textId="77777777" w:rsidR="00DB6DAD" w:rsidRDefault="00DB6DAD" w:rsidP="00B566FB">
      <w:pPr>
        <w:pStyle w:val="ListParagraph"/>
        <w:numPr>
          <w:ilvl w:val="0"/>
          <w:numId w:val="11"/>
        </w:numPr>
        <w:ind w:left="426" w:hanging="426"/>
        <w:jc w:val="both"/>
        <w:rPr>
          <w:rFonts w:cs="Arial"/>
          <w:sz w:val="24"/>
          <w:szCs w:val="24"/>
        </w:rPr>
      </w:pPr>
      <w:r>
        <w:rPr>
          <w:rFonts w:cs="Arial"/>
          <w:sz w:val="24"/>
          <w:szCs w:val="24"/>
        </w:rPr>
        <w:t xml:space="preserve">The learned primary judge erred in finding that by reason of the enactment of the </w:t>
      </w:r>
      <w:r>
        <w:rPr>
          <w:rFonts w:cs="Arial"/>
          <w:i/>
          <w:sz w:val="24"/>
          <w:szCs w:val="24"/>
        </w:rPr>
        <w:t>Statute of Westminster Adoption Act 1942</w:t>
      </w:r>
      <w:r>
        <w:rPr>
          <w:rFonts w:cs="Arial"/>
          <w:sz w:val="24"/>
          <w:szCs w:val="24"/>
        </w:rPr>
        <w:t xml:space="preserve"> (</w:t>
      </w:r>
      <w:proofErr w:type="spellStart"/>
      <w:r>
        <w:rPr>
          <w:rFonts w:cs="Arial"/>
          <w:sz w:val="24"/>
          <w:szCs w:val="24"/>
        </w:rPr>
        <w:t>Cth</w:t>
      </w:r>
      <w:proofErr w:type="spellEnd"/>
      <w:r>
        <w:rPr>
          <w:rFonts w:cs="Arial"/>
          <w:sz w:val="24"/>
          <w:szCs w:val="24"/>
        </w:rPr>
        <w:t xml:space="preserve">), Australia became sufficiently independent of the United Kingdom to be regarded as an independent sovereign nation.  Australia did not become an independent sovereign nation until the completion of an evolutionary process that occurred between the commencement of the </w:t>
      </w:r>
      <w:r>
        <w:rPr>
          <w:rFonts w:cs="Arial"/>
          <w:i/>
          <w:sz w:val="24"/>
          <w:szCs w:val="24"/>
        </w:rPr>
        <w:t xml:space="preserve">Nationality and Citizenship Act 1948 </w:t>
      </w:r>
      <w:r>
        <w:rPr>
          <w:rFonts w:cs="Arial"/>
          <w:sz w:val="24"/>
          <w:szCs w:val="24"/>
        </w:rPr>
        <w:t>(</w:t>
      </w:r>
      <w:proofErr w:type="spellStart"/>
      <w:r>
        <w:rPr>
          <w:rFonts w:cs="Arial"/>
          <w:sz w:val="24"/>
          <w:szCs w:val="24"/>
        </w:rPr>
        <w:t>Cth</w:t>
      </w:r>
      <w:proofErr w:type="spellEnd"/>
      <w:r>
        <w:rPr>
          <w:rFonts w:cs="Arial"/>
          <w:sz w:val="24"/>
          <w:szCs w:val="24"/>
        </w:rPr>
        <w:t xml:space="preserve">) on 26 January 1949 and the commencement of the </w:t>
      </w:r>
      <w:r>
        <w:rPr>
          <w:rFonts w:cs="Arial"/>
          <w:i/>
          <w:sz w:val="24"/>
          <w:szCs w:val="24"/>
        </w:rPr>
        <w:t>Australia Act 1986</w:t>
      </w:r>
      <w:r>
        <w:rPr>
          <w:rFonts w:cs="Arial"/>
          <w:sz w:val="24"/>
          <w:szCs w:val="24"/>
        </w:rPr>
        <w:t xml:space="preserve"> (</w:t>
      </w:r>
      <w:proofErr w:type="spellStart"/>
      <w:r>
        <w:rPr>
          <w:rFonts w:cs="Arial"/>
          <w:sz w:val="24"/>
          <w:szCs w:val="24"/>
        </w:rPr>
        <w:t>Cth</w:t>
      </w:r>
      <w:proofErr w:type="spellEnd"/>
      <w:r>
        <w:rPr>
          <w:rFonts w:cs="Arial"/>
          <w:sz w:val="24"/>
          <w:szCs w:val="24"/>
        </w:rPr>
        <w:t xml:space="preserve">) and the </w:t>
      </w:r>
      <w:r>
        <w:rPr>
          <w:rFonts w:cs="Arial"/>
          <w:i/>
          <w:sz w:val="24"/>
          <w:szCs w:val="24"/>
        </w:rPr>
        <w:t>Australia Act 1986</w:t>
      </w:r>
      <w:r>
        <w:rPr>
          <w:rFonts w:cs="Arial"/>
          <w:sz w:val="24"/>
          <w:szCs w:val="24"/>
        </w:rPr>
        <w:t xml:space="preserve"> (UK) on 3 March 1986.  The appellant became a subject of the Queen of Australia during that evolutionary process.</w:t>
      </w:r>
    </w:p>
    <w:p w14:paraId="35351426" w14:textId="77777777" w:rsidR="00DB6DAD" w:rsidRPr="00D17592" w:rsidRDefault="00DB6DAD" w:rsidP="00DB6DAD">
      <w:pPr>
        <w:pStyle w:val="ListParagraph"/>
        <w:rPr>
          <w:rFonts w:cs="Arial"/>
          <w:sz w:val="24"/>
          <w:szCs w:val="24"/>
        </w:rPr>
      </w:pPr>
    </w:p>
    <w:p w14:paraId="5052BD36" w14:textId="752001CE" w:rsidR="00DB6DAD" w:rsidRDefault="00DB6DAD" w:rsidP="00DB6DAD">
      <w:pPr>
        <w:jc w:val="both"/>
        <w:rPr>
          <w:rFonts w:cs="Arial"/>
          <w:szCs w:val="24"/>
        </w:rPr>
      </w:pPr>
      <w:r>
        <w:rPr>
          <w:rFonts w:cs="Arial"/>
          <w:szCs w:val="24"/>
        </w:rPr>
        <w:t xml:space="preserve">The grounds of </w:t>
      </w:r>
      <w:r w:rsidR="00B566FB">
        <w:rPr>
          <w:rFonts w:cs="Arial"/>
          <w:szCs w:val="24"/>
        </w:rPr>
        <w:t xml:space="preserve">the respondent’s notice of </w:t>
      </w:r>
      <w:r>
        <w:rPr>
          <w:rFonts w:cs="Arial"/>
          <w:szCs w:val="24"/>
        </w:rPr>
        <w:t xml:space="preserve">contention are that: </w:t>
      </w:r>
    </w:p>
    <w:p w14:paraId="11319E6E" w14:textId="77777777" w:rsidR="00DB6DAD" w:rsidRDefault="00DB6DAD" w:rsidP="00DB6DAD">
      <w:pPr>
        <w:jc w:val="both"/>
        <w:rPr>
          <w:rFonts w:cs="Arial"/>
          <w:szCs w:val="24"/>
        </w:rPr>
      </w:pPr>
    </w:p>
    <w:p w14:paraId="3797A553" w14:textId="77777777" w:rsidR="00DB6DAD" w:rsidRDefault="00DB6DAD" w:rsidP="00B566FB">
      <w:pPr>
        <w:pStyle w:val="ListParagraph"/>
        <w:numPr>
          <w:ilvl w:val="0"/>
          <w:numId w:val="11"/>
        </w:numPr>
        <w:ind w:left="426" w:hanging="426"/>
        <w:jc w:val="both"/>
        <w:rPr>
          <w:rFonts w:cs="Arial"/>
          <w:sz w:val="24"/>
          <w:szCs w:val="24"/>
        </w:rPr>
      </w:pPr>
      <w:r>
        <w:rPr>
          <w:rFonts w:cs="Arial"/>
          <w:sz w:val="24"/>
          <w:szCs w:val="24"/>
        </w:rPr>
        <w:t>T</w:t>
      </w:r>
      <w:r w:rsidRPr="00D17592">
        <w:rPr>
          <w:rFonts w:cs="Arial"/>
          <w:sz w:val="24"/>
          <w:szCs w:val="24"/>
        </w:rPr>
        <w:t>he learned primary judge, in determining the point at which Australia became sufficiently independent of the United Kingdom that it was within the power of Parliament under s</w:t>
      </w:r>
      <w:r>
        <w:rPr>
          <w:rFonts w:cs="Arial"/>
          <w:iCs/>
          <w:szCs w:val="24"/>
        </w:rPr>
        <w:t> </w:t>
      </w:r>
      <w:r w:rsidRPr="00D17592">
        <w:rPr>
          <w:rFonts w:cs="Arial"/>
          <w:sz w:val="24"/>
          <w:szCs w:val="24"/>
        </w:rPr>
        <w:t>51(x</w:t>
      </w:r>
      <w:r>
        <w:rPr>
          <w:rFonts w:cs="Arial"/>
          <w:sz w:val="24"/>
          <w:szCs w:val="24"/>
        </w:rPr>
        <w:t>i</w:t>
      </w:r>
      <w:r w:rsidRPr="00D17592">
        <w:rPr>
          <w:rFonts w:cs="Arial"/>
          <w:sz w:val="24"/>
          <w:szCs w:val="24"/>
        </w:rPr>
        <w:t>x) to treat British subjects as aliens, erroneously decided that this had not occurred by the time of:</w:t>
      </w:r>
    </w:p>
    <w:p w14:paraId="4FAE1FF1" w14:textId="77777777" w:rsidR="00DB6DAD" w:rsidRDefault="00DB6DAD" w:rsidP="00B566FB">
      <w:pPr>
        <w:pStyle w:val="ListParagraph"/>
        <w:numPr>
          <w:ilvl w:val="1"/>
          <w:numId w:val="15"/>
        </w:numPr>
        <w:ind w:left="426" w:firstLine="0"/>
        <w:jc w:val="both"/>
        <w:rPr>
          <w:rFonts w:cs="Arial"/>
          <w:sz w:val="24"/>
          <w:szCs w:val="24"/>
        </w:rPr>
      </w:pPr>
      <w:r w:rsidRPr="002F2F1F">
        <w:rPr>
          <w:rFonts w:cs="Arial"/>
          <w:sz w:val="24"/>
          <w:szCs w:val="24"/>
        </w:rPr>
        <w:t>the Balfour Declaration in 1926; or</w:t>
      </w:r>
    </w:p>
    <w:p w14:paraId="660C42A1" w14:textId="77777777" w:rsidR="00DB6DAD" w:rsidRDefault="00DB6DAD" w:rsidP="00B566FB">
      <w:pPr>
        <w:pStyle w:val="ListParagraph"/>
        <w:numPr>
          <w:ilvl w:val="1"/>
          <w:numId w:val="15"/>
        </w:numPr>
        <w:ind w:left="426" w:firstLine="0"/>
        <w:jc w:val="both"/>
        <w:rPr>
          <w:rFonts w:cs="Arial"/>
          <w:sz w:val="24"/>
          <w:szCs w:val="24"/>
        </w:rPr>
      </w:pPr>
      <w:r w:rsidRPr="002F2F1F">
        <w:rPr>
          <w:rFonts w:cs="Arial"/>
          <w:sz w:val="24"/>
          <w:szCs w:val="24"/>
        </w:rPr>
        <w:t>alternatively, the enactment of the Statute of Westminster 1931 (UK)</w:t>
      </w:r>
      <w:r>
        <w:rPr>
          <w:rFonts w:cs="Arial"/>
          <w:sz w:val="24"/>
          <w:szCs w:val="24"/>
        </w:rPr>
        <w:t>;</w:t>
      </w:r>
    </w:p>
    <w:p w14:paraId="7F6511C5" w14:textId="77777777" w:rsidR="00DB6DAD" w:rsidRPr="002F2F1F" w:rsidRDefault="00DB6DAD" w:rsidP="00DB6DAD">
      <w:pPr>
        <w:pStyle w:val="ListParagraph"/>
        <w:ind w:left="1500"/>
        <w:jc w:val="both"/>
        <w:rPr>
          <w:rFonts w:cs="Arial"/>
          <w:sz w:val="24"/>
          <w:szCs w:val="24"/>
        </w:rPr>
      </w:pPr>
    </w:p>
    <w:p w14:paraId="6367B95C" w14:textId="77777777" w:rsidR="00DB6DAD" w:rsidRDefault="00DB6DAD" w:rsidP="00B566FB">
      <w:pPr>
        <w:pStyle w:val="ListParagraph"/>
        <w:numPr>
          <w:ilvl w:val="0"/>
          <w:numId w:val="11"/>
        </w:numPr>
        <w:ind w:left="426" w:hanging="426"/>
        <w:jc w:val="both"/>
        <w:rPr>
          <w:rFonts w:cs="Arial"/>
          <w:sz w:val="24"/>
          <w:szCs w:val="24"/>
        </w:rPr>
      </w:pPr>
      <w:r>
        <w:rPr>
          <w:rFonts w:cs="Arial"/>
          <w:sz w:val="24"/>
          <w:szCs w:val="24"/>
        </w:rPr>
        <w:t>The learned primary judge failed to decide that, upon and from the creation of the Australian body politic in 1901:</w:t>
      </w:r>
    </w:p>
    <w:p w14:paraId="1D3EF5EF" w14:textId="77777777" w:rsidR="00DB6DAD" w:rsidRDefault="00DB6DAD" w:rsidP="00B566FB">
      <w:pPr>
        <w:pStyle w:val="ListParagraph"/>
        <w:numPr>
          <w:ilvl w:val="1"/>
          <w:numId w:val="16"/>
        </w:numPr>
        <w:ind w:left="1134" w:hanging="708"/>
        <w:jc w:val="both"/>
        <w:rPr>
          <w:rFonts w:cs="Arial"/>
          <w:sz w:val="24"/>
          <w:szCs w:val="24"/>
        </w:rPr>
      </w:pPr>
      <w:r w:rsidRPr="002F2F1F">
        <w:rPr>
          <w:rFonts w:cs="Arial"/>
          <w:sz w:val="24"/>
          <w:szCs w:val="24"/>
        </w:rPr>
        <w:t xml:space="preserve">that body politic, while not independent of the British Empire, nevertheless had a membership distinct from that of the British Empire; and </w:t>
      </w:r>
    </w:p>
    <w:p w14:paraId="136DA0CD" w14:textId="77777777" w:rsidR="00DB6DAD" w:rsidRPr="00527798" w:rsidRDefault="00DB6DAD" w:rsidP="00B566FB">
      <w:pPr>
        <w:pStyle w:val="ListParagraph"/>
        <w:numPr>
          <w:ilvl w:val="1"/>
          <w:numId w:val="16"/>
        </w:numPr>
        <w:ind w:left="1134" w:hanging="708"/>
        <w:jc w:val="both"/>
        <w:rPr>
          <w:rFonts w:cs="Arial"/>
          <w:sz w:val="24"/>
          <w:szCs w:val="24"/>
        </w:rPr>
      </w:pPr>
      <w:r w:rsidRPr="002F2F1F">
        <w:rPr>
          <w:rFonts w:cs="Arial"/>
          <w:sz w:val="24"/>
          <w:szCs w:val="24"/>
        </w:rPr>
        <w:t>it was within the power of Parliament under s</w:t>
      </w:r>
      <w:r>
        <w:rPr>
          <w:rFonts w:cs="Arial"/>
          <w:iCs/>
          <w:szCs w:val="24"/>
        </w:rPr>
        <w:t> </w:t>
      </w:r>
      <w:r w:rsidRPr="002F2F1F">
        <w:rPr>
          <w:rFonts w:cs="Arial"/>
          <w:sz w:val="24"/>
          <w:szCs w:val="24"/>
        </w:rPr>
        <w:t xml:space="preserve">51(xix) to specify criteria for membership of that body politic, and in doing so treat British subjects as aliens (irrespective of the time when that power was </w:t>
      </w:r>
      <w:proofErr w:type="gramStart"/>
      <w:r w:rsidRPr="002F2F1F">
        <w:rPr>
          <w:rFonts w:cs="Arial"/>
          <w:sz w:val="24"/>
          <w:szCs w:val="24"/>
        </w:rPr>
        <w:t>actually exercised</w:t>
      </w:r>
      <w:proofErr w:type="gramEnd"/>
      <w:r w:rsidRPr="002F2F1F">
        <w:rPr>
          <w:rFonts w:cs="Arial"/>
          <w:sz w:val="24"/>
          <w:szCs w:val="24"/>
        </w:rPr>
        <w:t>).</w:t>
      </w:r>
    </w:p>
    <w:p w14:paraId="6FBE9D2E" w14:textId="77777777" w:rsidR="00DB6DAD" w:rsidRDefault="00DB6DAD" w:rsidP="00DB6DAD">
      <w:pPr>
        <w:jc w:val="both"/>
        <w:rPr>
          <w:rFonts w:cs="Arial"/>
          <w:szCs w:val="24"/>
        </w:rPr>
      </w:pPr>
    </w:p>
    <w:p w14:paraId="7EA0DD33" w14:textId="766EDE60" w:rsidR="00DB6DAD" w:rsidRPr="00655CE3" w:rsidRDefault="00B566FB" w:rsidP="00DB6DAD">
      <w:pPr>
        <w:jc w:val="both"/>
        <w:rPr>
          <w:rFonts w:cs="Arial"/>
          <w:szCs w:val="24"/>
        </w:rPr>
      </w:pPr>
      <w:r>
        <w:rPr>
          <w:rFonts w:cs="Arial"/>
          <w:szCs w:val="24"/>
        </w:rPr>
        <w:t xml:space="preserve">The </w:t>
      </w:r>
      <w:r w:rsidR="00DB6DAD">
        <w:rPr>
          <w:rFonts w:cs="Arial"/>
          <w:szCs w:val="24"/>
        </w:rPr>
        <w:t xml:space="preserve">Attorney-General of South Australia </w:t>
      </w:r>
      <w:r>
        <w:rPr>
          <w:rFonts w:cs="Arial"/>
          <w:szCs w:val="24"/>
        </w:rPr>
        <w:t>has intervened in the appeal.</w:t>
      </w:r>
    </w:p>
    <w:p w14:paraId="62248F04" w14:textId="7C52F884" w:rsidR="00DB6DAD" w:rsidRDefault="00DB6DAD">
      <w:r>
        <w:br w:type="page"/>
      </w:r>
    </w:p>
    <w:p w14:paraId="319667B1" w14:textId="77777777" w:rsidR="008D27C3" w:rsidRDefault="008D27C3" w:rsidP="008D27C3">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 xml:space="preserve">WORKPAC PTY LTD v ROSSATO &amp; </w:t>
      </w:r>
      <w:proofErr w:type="gramStart"/>
      <w:r>
        <w:rPr>
          <w:rFonts w:ascii="Arial" w:eastAsia="Times New Roman" w:hAnsi="Arial" w:cs="Arial"/>
          <w:b/>
          <w:color w:val="000000"/>
          <w:sz w:val="24"/>
          <w:szCs w:val="24"/>
          <w:u w:val="single"/>
          <w:lang w:eastAsia="en-AU"/>
        </w:rPr>
        <w:t>ORS</w:t>
      </w:r>
      <w:r>
        <w:rPr>
          <w:rFonts w:ascii="Arial" w:eastAsia="Times New Roman" w:hAnsi="Arial" w:cs="Arial"/>
          <w:b/>
          <w:color w:val="000000"/>
          <w:sz w:val="24"/>
          <w:szCs w:val="24"/>
          <w:lang w:eastAsia="en-AU"/>
        </w:rPr>
        <w:t xml:space="preserve">  (</w:t>
      </w:r>
      <w:proofErr w:type="gramEnd"/>
      <w:r>
        <w:rPr>
          <w:rFonts w:ascii="Arial" w:eastAsia="Times New Roman" w:hAnsi="Arial" w:cs="Arial"/>
          <w:b/>
          <w:color w:val="000000"/>
          <w:sz w:val="24"/>
          <w:szCs w:val="24"/>
          <w:lang w:eastAsia="en-AU"/>
        </w:rPr>
        <w:t>B73/2020)</w:t>
      </w:r>
    </w:p>
    <w:p w14:paraId="7214B748" w14:textId="77777777" w:rsidR="008D27C3" w:rsidRDefault="008D27C3" w:rsidP="008D27C3">
      <w:pPr>
        <w:ind w:left="2694" w:hanging="2694"/>
        <w:rPr>
          <w:rFonts w:cs="Arial"/>
          <w:szCs w:val="24"/>
          <w:lang w:eastAsia="en-US"/>
        </w:rPr>
      </w:pPr>
    </w:p>
    <w:p w14:paraId="1FC83806" w14:textId="77777777" w:rsidR="008D27C3" w:rsidRDefault="008D27C3" w:rsidP="008D27C3">
      <w:pPr>
        <w:ind w:left="2694" w:hanging="2694"/>
        <w:rPr>
          <w:rFonts w:cs="Arial"/>
          <w:szCs w:val="24"/>
        </w:rPr>
      </w:pPr>
      <w:r>
        <w:rPr>
          <w:rFonts w:cs="Arial"/>
          <w:szCs w:val="24"/>
          <w:u w:val="single"/>
        </w:rPr>
        <w:t>Court appealed from</w:t>
      </w:r>
      <w:r>
        <w:rPr>
          <w:rFonts w:cs="Arial"/>
          <w:szCs w:val="24"/>
        </w:rPr>
        <w:t>:</w:t>
      </w:r>
      <w:r>
        <w:rPr>
          <w:rFonts w:cs="Arial"/>
          <w:szCs w:val="24"/>
        </w:rPr>
        <w:tab/>
        <w:t>Full Court of the Federal Court of Australia</w:t>
      </w:r>
    </w:p>
    <w:p w14:paraId="5F1A0330" w14:textId="77777777" w:rsidR="008D27C3" w:rsidRDefault="008D27C3" w:rsidP="008D27C3">
      <w:pPr>
        <w:ind w:left="2694" w:hanging="2694"/>
        <w:rPr>
          <w:rFonts w:cs="Arial"/>
          <w:szCs w:val="24"/>
        </w:rPr>
      </w:pPr>
      <w:r>
        <w:rPr>
          <w:rFonts w:cs="Arial"/>
          <w:szCs w:val="24"/>
        </w:rPr>
        <w:t xml:space="preserve"> </w:t>
      </w:r>
      <w:r>
        <w:rPr>
          <w:rFonts w:cs="Arial"/>
          <w:szCs w:val="24"/>
        </w:rPr>
        <w:tab/>
        <w:t>[2020] FCAFC 84</w:t>
      </w:r>
    </w:p>
    <w:p w14:paraId="03F92D72" w14:textId="77777777" w:rsidR="008D27C3" w:rsidRDefault="008D27C3" w:rsidP="008D27C3">
      <w:pPr>
        <w:ind w:left="2694" w:hanging="2694"/>
        <w:rPr>
          <w:rFonts w:cs="Arial"/>
          <w:szCs w:val="24"/>
        </w:rPr>
      </w:pPr>
      <w:r>
        <w:rPr>
          <w:rFonts w:cs="Arial"/>
          <w:szCs w:val="24"/>
        </w:rPr>
        <w:tab/>
      </w:r>
    </w:p>
    <w:p w14:paraId="09511C33" w14:textId="77777777" w:rsidR="008D27C3" w:rsidRDefault="008D27C3" w:rsidP="008D27C3">
      <w:pPr>
        <w:ind w:left="2694" w:hanging="2694"/>
        <w:rPr>
          <w:rFonts w:cs="Arial"/>
          <w:szCs w:val="24"/>
        </w:rPr>
      </w:pPr>
      <w:r>
        <w:rPr>
          <w:rFonts w:cs="Arial"/>
          <w:szCs w:val="24"/>
          <w:u w:val="single"/>
        </w:rPr>
        <w:t>Date of judgment</w:t>
      </w:r>
      <w:r>
        <w:rPr>
          <w:rFonts w:cs="Arial"/>
          <w:szCs w:val="24"/>
        </w:rPr>
        <w:t>:</w:t>
      </w:r>
      <w:r>
        <w:rPr>
          <w:rFonts w:cs="Arial"/>
          <w:szCs w:val="24"/>
        </w:rPr>
        <w:tab/>
        <w:t>20 May 2020</w:t>
      </w:r>
    </w:p>
    <w:p w14:paraId="07B38355" w14:textId="77777777" w:rsidR="008D27C3" w:rsidRDefault="008D27C3" w:rsidP="008D27C3">
      <w:pPr>
        <w:ind w:left="2694" w:hanging="2694"/>
        <w:rPr>
          <w:rFonts w:cs="Arial"/>
          <w:szCs w:val="24"/>
        </w:rPr>
      </w:pPr>
    </w:p>
    <w:p w14:paraId="0CC20D34" w14:textId="77777777" w:rsidR="008D27C3" w:rsidRDefault="008D27C3" w:rsidP="008D27C3">
      <w:pPr>
        <w:ind w:left="2694" w:hanging="2694"/>
        <w:rPr>
          <w:rFonts w:cs="Arial"/>
          <w:szCs w:val="24"/>
        </w:rPr>
      </w:pPr>
      <w:r>
        <w:rPr>
          <w:rFonts w:cs="Arial"/>
          <w:szCs w:val="24"/>
          <w:u w:val="single"/>
        </w:rPr>
        <w:t>Special leave granted</w:t>
      </w:r>
      <w:r>
        <w:rPr>
          <w:rFonts w:cs="Arial"/>
          <w:szCs w:val="24"/>
        </w:rPr>
        <w:t>:</w:t>
      </w:r>
      <w:r>
        <w:rPr>
          <w:rFonts w:cs="Arial"/>
          <w:szCs w:val="24"/>
        </w:rPr>
        <w:tab/>
        <w:t>26 November 2020</w:t>
      </w:r>
    </w:p>
    <w:p w14:paraId="0B8135A6" w14:textId="77777777" w:rsidR="008D27C3" w:rsidRDefault="008D27C3" w:rsidP="008D27C3">
      <w:pPr>
        <w:ind w:left="2694" w:hanging="2694"/>
        <w:rPr>
          <w:rFonts w:cs="Arial"/>
          <w:szCs w:val="24"/>
        </w:rPr>
      </w:pPr>
    </w:p>
    <w:p w14:paraId="76F3C5CB" w14:textId="77777777" w:rsidR="008D27C3" w:rsidRDefault="008D27C3" w:rsidP="008D27C3">
      <w:pPr>
        <w:shd w:val="clear" w:color="auto" w:fill="FFFFFF"/>
        <w:jc w:val="both"/>
        <w:rPr>
          <w:rFonts w:cs="Arial"/>
          <w:szCs w:val="24"/>
        </w:rPr>
      </w:pPr>
      <w:r>
        <w:rPr>
          <w:rFonts w:cs="Arial"/>
          <w:szCs w:val="24"/>
        </w:rPr>
        <w:t xml:space="preserve">The first respondent, </w:t>
      </w: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was a qualified and experienced production employee in the open cut black coal mining industry.  He was an employee of the appellant, </w:t>
      </w:r>
      <w:proofErr w:type="spellStart"/>
      <w:r>
        <w:rPr>
          <w:rFonts w:cs="Arial"/>
          <w:szCs w:val="24"/>
        </w:rPr>
        <w:t>WorkPac</w:t>
      </w:r>
      <w:proofErr w:type="spellEnd"/>
      <w:r>
        <w:rPr>
          <w:rFonts w:cs="Arial"/>
          <w:szCs w:val="24"/>
        </w:rPr>
        <w:t xml:space="preserve">, (a </w:t>
      </w:r>
      <w:proofErr w:type="spellStart"/>
      <w:r>
        <w:rPr>
          <w:rFonts w:cs="Arial"/>
          <w:szCs w:val="24"/>
        </w:rPr>
        <w:t>labour</w:t>
      </w:r>
      <w:proofErr w:type="spellEnd"/>
      <w:r>
        <w:rPr>
          <w:rFonts w:cs="Arial"/>
          <w:szCs w:val="24"/>
        </w:rPr>
        <w:t xml:space="preserve"> hire company </w:t>
      </w:r>
      <w:proofErr w:type="spellStart"/>
      <w:r>
        <w:rPr>
          <w:rFonts w:cs="Arial"/>
          <w:szCs w:val="24"/>
        </w:rPr>
        <w:t>specialising</w:t>
      </w:r>
      <w:proofErr w:type="spellEnd"/>
      <w:r>
        <w:rPr>
          <w:rFonts w:cs="Arial"/>
          <w:szCs w:val="24"/>
        </w:rPr>
        <w:t xml:space="preserve"> in the provision of </w:t>
      </w:r>
      <w:proofErr w:type="spellStart"/>
      <w:r>
        <w:rPr>
          <w:rFonts w:cs="Arial"/>
          <w:szCs w:val="24"/>
        </w:rPr>
        <w:t>labour</w:t>
      </w:r>
      <w:proofErr w:type="spellEnd"/>
      <w:r>
        <w:rPr>
          <w:rFonts w:cs="Arial"/>
          <w:szCs w:val="24"/>
        </w:rPr>
        <w:t xml:space="preserve"> to black coal mining industry) between 2014 and 2018, during which period six consecutive contracts of employment were made between him and </w:t>
      </w:r>
      <w:proofErr w:type="spellStart"/>
      <w:r>
        <w:rPr>
          <w:rFonts w:cs="Arial"/>
          <w:szCs w:val="24"/>
        </w:rPr>
        <w:t>Workpac</w:t>
      </w:r>
      <w:proofErr w:type="spellEnd"/>
      <w:r>
        <w:rPr>
          <w:rFonts w:cs="Arial"/>
          <w:szCs w:val="24"/>
        </w:rPr>
        <w:t xml:space="preserve">. </w:t>
      </w:r>
      <w:proofErr w:type="spellStart"/>
      <w:r>
        <w:rPr>
          <w:rFonts w:cs="Arial"/>
          <w:szCs w:val="24"/>
        </w:rPr>
        <w:t>Workpac</w:t>
      </w:r>
      <w:proofErr w:type="spellEnd"/>
      <w:r>
        <w:rPr>
          <w:rFonts w:cs="Arial"/>
          <w:szCs w:val="24"/>
        </w:rPr>
        <w:t xml:space="preserve"> regarded </w:t>
      </w: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as a casual employee throughout all six contracts and paid him accordingly. </w:t>
      </w:r>
    </w:p>
    <w:p w14:paraId="00F7E833" w14:textId="77777777" w:rsidR="008D27C3" w:rsidRDefault="008D27C3" w:rsidP="008D27C3">
      <w:pPr>
        <w:shd w:val="clear" w:color="auto" w:fill="FFFFFF"/>
        <w:jc w:val="both"/>
        <w:rPr>
          <w:rFonts w:cs="Arial"/>
          <w:szCs w:val="24"/>
        </w:rPr>
      </w:pPr>
    </w:p>
    <w:p w14:paraId="41938BEC" w14:textId="77777777" w:rsidR="008D27C3" w:rsidRDefault="008D27C3" w:rsidP="008D27C3">
      <w:pPr>
        <w:autoSpaceDE w:val="0"/>
        <w:autoSpaceDN w:val="0"/>
        <w:adjustRightInd w:val="0"/>
        <w:jc w:val="both"/>
        <w:rPr>
          <w:rFonts w:cs="Arial"/>
          <w:szCs w:val="24"/>
        </w:rPr>
      </w:pPr>
      <w:r>
        <w:rPr>
          <w:rFonts w:cs="Arial"/>
          <w:szCs w:val="24"/>
        </w:rPr>
        <w:t xml:space="preserve">After his employment ended, </w:t>
      </w: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wrote to </w:t>
      </w:r>
      <w:proofErr w:type="spellStart"/>
      <w:r>
        <w:rPr>
          <w:rFonts w:cs="Arial"/>
          <w:szCs w:val="24"/>
        </w:rPr>
        <w:t>WorkPac</w:t>
      </w:r>
      <w:proofErr w:type="spellEnd"/>
      <w:r>
        <w:rPr>
          <w:rFonts w:cs="Arial"/>
          <w:szCs w:val="24"/>
        </w:rPr>
        <w:t xml:space="preserve"> claiming that he was not a casual employee and instead claimed to be a permanent employee. Accordingly, he claimed outstanding entitlements to paid annual leave, </w:t>
      </w:r>
      <w:proofErr w:type="spellStart"/>
      <w:r>
        <w:rPr>
          <w:rFonts w:cs="Arial"/>
          <w:szCs w:val="24"/>
        </w:rPr>
        <w:t>carer’s</w:t>
      </w:r>
      <w:proofErr w:type="spellEnd"/>
      <w:r>
        <w:rPr>
          <w:rFonts w:cs="Arial"/>
          <w:szCs w:val="24"/>
        </w:rPr>
        <w:t xml:space="preserve"> leave and compassionate leave, as well as public holiday pay entitlements under the </w:t>
      </w:r>
      <w:r>
        <w:rPr>
          <w:rFonts w:cs="Arial"/>
          <w:i/>
          <w:iCs/>
          <w:szCs w:val="24"/>
        </w:rPr>
        <w:t>Fair Work Act 2009</w:t>
      </w:r>
      <w:r>
        <w:rPr>
          <w:rFonts w:cs="Arial"/>
          <w:szCs w:val="24"/>
        </w:rPr>
        <w:t xml:space="preserve"> (</w:t>
      </w:r>
      <w:proofErr w:type="spellStart"/>
      <w:r>
        <w:rPr>
          <w:rFonts w:cs="Arial"/>
          <w:szCs w:val="24"/>
        </w:rPr>
        <w:t>Cth</w:t>
      </w:r>
      <w:proofErr w:type="spellEnd"/>
      <w:r>
        <w:rPr>
          <w:rFonts w:cs="Arial"/>
          <w:szCs w:val="24"/>
        </w:rPr>
        <w:t xml:space="preserve">) (“FW Act”) and an enterprise agreement made under the FW Act known as the </w:t>
      </w:r>
      <w:proofErr w:type="spellStart"/>
      <w:r>
        <w:rPr>
          <w:rFonts w:cs="Arial"/>
          <w:i/>
          <w:iCs/>
          <w:szCs w:val="24"/>
        </w:rPr>
        <w:t>WorkPac</w:t>
      </w:r>
      <w:proofErr w:type="spellEnd"/>
      <w:r>
        <w:rPr>
          <w:rFonts w:cs="Arial"/>
          <w:i/>
          <w:iCs/>
          <w:szCs w:val="24"/>
        </w:rPr>
        <w:t xml:space="preserve"> Pty Ltd Mining (Coal) Industry Enterprise Agreement 2012 </w:t>
      </w:r>
      <w:r>
        <w:rPr>
          <w:rFonts w:cs="Arial"/>
          <w:szCs w:val="24"/>
        </w:rPr>
        <w:t>(“Enterprise Agreement”).</w:t>
      </w:r>
    </w:p>
    <w:p w14:paraId="546BBAB2" w14:textId="77777777" w:rsidR="008D27C3" w:rsidRDefault="008D27C3" w:rsidP="008D27C3">
      <w:pPr>
        <w:autoSpaceDE w:val="0"/>
        <w:autoSpaceDN w:val="0"/>
        <w:adjustRightInd w:val="0"/>
        <w:jc w:val="both"/>
        <w:rPr>
          <w:rFonts w:cs="Arial"/>
          <w:szCs w:val="24"/>
        </w:rPr>
      </w:pPr>
    </w:p>
    <w:p w14:paraId="43E61B6D" w14:textId="77777777" w:rsidR="008D27C3" w:rsidRDefault="008D27C3" w:rsidP="008D27C3">
      <w:pPr>
        <w:autoSpaceDE w:val="0"/>
        <w:autoSpaceDN w:val="0"/>
        <w:adjustRightInd w:val="0"/>
        <w:jc w:val="both"/>
        <w:rPr>
          <w:rFonts w:cs="Arial"/>
          <w:szCs w:val="24"/>
        </w:rPr>
      </w:pPr>
      <w:r>
        <w:rPr>
          <w:rFonts w:cs="Arial"/>
          <w:szCs w:val="24"/>
        </w:rPr>
        <w:t xml:space="preserve">The appellant commenced proceedings in the Federal Court of Australia in which it sought various declarations with respect to its employment of </w:t>
      </w: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Chief Justice </w:t>
      </w:r>
      <w:proofErr w:type="spellStart"/>
      <w:r>
        <w:rPr>
          <w:rFonts w:cs="Arial"/>
          <w:szCs w:val="24"/>
        </w:rPr>
        <w:t>Allsop</w:t>
      </w:r>
      <w:proofErr w:type="spellEnd"/>
      <w:r>
        <w:rPr>
          <w:rFonts w:cs="Arial"/>
          <w:szCs w:val="24"/>
        </w:rPr>
        <w:t xml:space="preserve"> directed that the jurisdiction of the Court be exercised by a Full Court and granted leave to the Minister for Jobs and Industrial Relations and the Construction, Forestry, Maritime Mining and Energy Union to intervene in the proceedings.</w:t>
      </w:r>
    </w:p>
    <w:p w14:paraId="6DB6F97D" w14:textId="77777777" w:rsidR="008D27C3" w:rsidRDefault="008D27C3" w:rsidP="008D27C3">
      <w:pPr>
        <w:autoSpaceDE w:val="0"/>
        <w:autoSpaceDN w:val="0"/>
        <w:adjustRightInd w:val="0"/>
        <w:jc w:val="both"/>
        <w:rPr>
          <w:rFonts w:cs="Arial"/>
          <w:szCs w:val="24"/>
        </w:rPr>
      </w:pPr>
    </w:p>
    <w:p w14:paraId="1F8E28E6" w14:textId="77777777" w:rsidR="008D27C3" w:rsidRDefault="008D27C3" w:rsidP="008D27C3">
      <w:pPr>
        <w:autoSpaceDE w:val="0"/>
        <w:autoSpaceDN w:val="0"/>
        <w:adjustRightInd w:val="0"/>
        <w:jc w:val="both"/>
        <w:rPr>
          <w:rFonts w:cs="Arial"/>
          <w:szCs w:val="24"/>
        </w:rPr>
      </w:pPr>
      <w:r>
        <w:rPr>
          <w:rFonts w:cs="Arial"/>
          <w:szCs w:val="24"/>
        </w:rPr>
        <w:t xml:space="preserve">On 29 May 2020 the Full Court, comprised of Bromberg, White and </w:t>
      </w:r>
      <w:proofErr w:type="spellStart"/>
      <w:r>
        <w:rPr>
          <w:rFonts w:cs="Arial"/>
          <w:szCs w:val="24"/>
        </w:rPr>
        <w:t>Wheelahan</w:t>
      </w:r>
      <w:proofErr w:type="spellEnd"/>
      <w:r>
        <w:rPr>
          <w:rFonts w:cs="Arial"/>
          <w:iCs/>
          <w:szCs w:val="24"/>
        </w:rPr>
        <w:t> </w:t>
      </w:r>
      <w:r>
        <w:rPr>
          <w:rFonts w:cs="Arial"/>
          <w:szCs w:val="24"/>
        </w:rPr>
        <w:t xml:space="preserve">JJ, held that in each of his employment contracts </w:t>
      </w: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was “other than [a] casual employee” within the meaning of the FW Act and not excluded from the entitlements to paid leave and public holiday pay entitlements. The Court also held that </w:t>
      </w: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was not a casual employee for the purposes of the Enterprise Agreement. </w:t>
      </w:r>
    </w:p>
    <w:p w14:paraId="2BC3B607" w14:textId="77777777" w:rsidR="008D27C3" w:rsidRDefault="008D27C3" w:rsidP="008D27C3">
      <w:pPr>
        <w:jc w:val="both"/>
        <w:rPr>
          <w:rFonts w:cs="Arial"/>
          <w:szCs w:val="24"/>
          <w:lang w:eastAsia="en-US"/>
        </w:rPr>
      </w:pPr>
    </w:p>
    <w:p w14:paraId="0E2B0669" w14:textId="77777777" w:rsidR="008D27C3" w:rsidRDefault="008D27C3" w:rsidP="008D27C3">
      <w:pPr>
        <w:shd w:val="clear" w:color="auto" w:fill="FFFFFF"/>
        <w:jc w:val="both"/>
        <w:rPr>
          <w:rFonts w:cs="Arial"/>
          <w:szCs w:val="24"/>
        </w:rPr>
      </w:pPr>
      <w:r>
        <w:rPr>
          <w:rFonts w:cs="Arial"/>
          <w:szCs w:val="24"/>
        </w:rPr>
        <w:t xml:space="preserve">In November 2020 </w:t>
      </w:r>
      <w:proofErr w:type="spellStart"/>
      <w:r>
        <w:rPr>
          <w:rFonts w:cs="Arial"/>
          <w:szCs w:val="24"/>
        </w:rPr>
        <w:t>Workpac</w:t>
      </w:r>
      <w:proofErr w:type="spellEnd"/>
      <w:r>
        <w:rPr>
          <w:rFonts w:cs="Arial"/>
          <w:szCs w:val="24"/>
        </w:rPr>
        <w:t xml:space="preserve"> sought, and was granted, special leave to appeal to the High Court of Australia from the decision of the Full Federal Court of the Federal Court. </w:t>
      </w:r>
    </w:p>
    <w:p w14:paraId="23A191C9" w14:textId="77777777" w:rsidR="008D27C3" w:rsidRDefault="008D27C3" w:rsidP="008D27C3">
      <w:pPr>
        <w:shd w:val="clear" w:color="auto" w:fill="FFFFFF"/>
        <w:spacing w:before="100" w:beforeAutospacing="1" w:after="240"/>
        <w:jc w:val="both"/>
        <w:rPr>
          <w:rFonts w:cs="Arial"/>
          <w:szCs w:val="24"/>
        </w:rPr>
      </w:pPr>
      <w:r>
        <w:rPr>
          <w:rFonts w:cs="Arial"/>
          <w:szCs w:val="24"/>
        </w:rPr>
        <w:t>Broadly, the grounds of appeal are that the Full Court should have held that:</w:t>
      </w:r>
    </w:p>
    <w:p w14:paraId="086282DF" w14:textId="77777777" w:rsidR="008D27C3" w:rsidRDefault="008D27C3" w:rsidP="008D27C3">
      <w:pPr>
        <w:numPr>
          <w:ilvl w:val="0"/>
          <w:numId w:val="17"/>
        </w:numPr>
        <w:autoSpaceDE w:val="0"/>
        <w:autoSpaceDN w:val="0"/>
        <w:adjustRightInd w:val="0"/>
        <w:ind w:left="426" w:hanging="426"/>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was a casual employee for the purposes of the FW Act; and</w:t>
      </w:r>
    </w:p>
    <w:p w14:paraId="464356FD" w14:textId="77777777" w:rsidR="008D27C3" w:rsidRDefault="008D27C3" w:rsidP="008D27C3">
      <w:pPr>
        <w:autoSpaceDE w:val="0"/>
        <w:autoSpaceDN w:val="0"/>
        <w:adjustRightInd w:val="0"/>
        <w:ind w:left="426"/>
        <w:jc w:val="both"/>
        <w:rPr>
          <w:rFonts w:cs="Arial"/>
          <w:szCs w:val="24"/>
        </w:rPr>
      </w:pPr>
    </w:p>
    <w:p w14:paraId="206D07AC" w14:textId="77777777" w:rsidR="008D27C3" w:rsidRDefault="008D27C3" w:rsidP="008D27C3">
      <w:pPr>
        <w:numPr>
          <w:ilvl w:val="0"/>
          <w:numId w:val="17"/>
        </w:numPr>
        <w:autoSpaceDE w:val="0"/>
        <w:autoSpaceDN w:val="0"/>
        <w:adjustRightInd w:val="0"/>
        <w:ind w:left="426" w:hanging="426"/>
        <w:jc w:val="both"/>
        <w:rPr>
          <w:rFonts w:cs="Arial"/>
          <w:szCs w:val="24"/>
        </w:rPr>
      </w:pPr>
      <w:proofErr w:type="spellStart"/>
      <w:r>
        <w:rPr>
          <w:rFonts w:cs="Arial"/>
          <w:szCs w:val="24"/>
        </w:rPr>
        <w:t>Mr</w:t>
      </w:r>
      <w:proofErr w:type="spellEnd"/>
      <w:r>
        <w:rPr>
          <w:rFonts w:cs="Arial"/>
          <w:szCs w:val="24"/>
        </w:rPr>
        <w:t xml:space="preserve"> </w:t>
      </w:r>
      <w:proofErr w:type="spellStart"/>
      <w:r>
        <w:rPr>
          <w:rFonts w:cs="Arial"/>
          <w:szCs w:val="24"/>
        </w:rPr>
        <w:t>Rossato</w:t>
      </w:r>
      <w:proofErr w:type="spellEnd"/>
      <w:r>
        <w:rPr>
          <w:rFonts w:cs="Arial"/>
          <w:szCs w:val="24"/>
        </w:rPr>
        <w:t xml:space="preserve"> was a casual FTM for the purposes of the Enterprise Agreement. </w:t>
      </w:r>
    </w:p>
    <w:p w14:paraId="11CC0A35" w14:textId="77777777" w:rsidR="008D27C3" w:rsidRDefault="008D27C3" w:rsidP="008D27C3">
      <w:pPr>
        <w:pStyle w:val="ListParagraph"/>
        <w:rPr>
          <w:rFonts w:cs="Arial"/>
          <w:sz w:val="24"/>
          <w:szCs w:val="24"/>
          <w:lang w:eastAsia="en-AU"/>
        </w:rPr>
      </w:pPr>
    </w:p>
    <w:p w14:paraId="5BB059FC" w14:textId="77777777" w:rsidR="008D27C3" w:rsidRDefault="008D27C3" w:rsidP="008D27C3">
      <w:pPr>
        <w:autoSpaceDE w:val="0"/>
        <w:autoSpaceDN w:val="0"/>
        <w:adjustRightInd w:val="0"/>
        <w:jc w:val="both"/>
        <w:rPr>
          <w:rFonts w:cs="Arial"/>
          <w:szCs w:val="24"/>
        </w:rPr>
      </w:pPr>
      <w:r>
        <w:rPr>
          <w:rFonts w:cs="Arial"/>
          <w:szCs w:val="24"/>
        </w:rPr>
        <w:t>In the alternative, the Full Court should have held that:</w:t>
      </w:r>
    </w:p>
    <w:p w14:paraId="1779045F" w14:textId="77777777" w:rsidR="008D27C3" w:rsidRDefault="008D27C3" w:rsidP="008D27C3">
      <w:pPr>
        <w:pStyle w:val="ListParagraph"/>
        <w:rPr>
          <w:rFonts w:cs="Arial"/>
          <w:sz w:val="24"/>
          <w:szCs w:val="24"/>
          <w:lang w:eastAsia="en-AU"/>
        </w:rPr>
      </w:pPr>
    </w:p>
    <w:p w14:paraId="379E395D" w14:textId="0F091D82" w:rsidR="008D27C3" w:rsidRPr="008D27C3" w:rsidRDefault="008D27C3" w:rsidP="008D27C3">
      <w:pPr>
        <w:numPr>
          <w:ilvl w:val="0"/>
          <w:numId w:val="17"/>
        </w:numPr>
        <w:autoSpaceDE w:val="0"/>
        <w:autoSpaceDN w:val="0"/>
        <w:adjustRightInd w:val="0"/>
        <w:ind w:left="426" w:hanging="426"/>
        <w:jc w:val="both"/>
        <w:rPr>
          <w:rFonts w:cs="Arial"/>
          <w:szCs w:val="24"/>
        </w:rPr>
      </w:pPr>
      <w:r>
        <w:rPr>
          <w:rFonts w:cs="Arial"/>
          <w:szCs w:val="24"/>
        </w:rPr>
        <w:t xml:space="preserve">The amount by which </w:t>
      </w:r>
      <w:proofErr w:type="spellStart"/>
      <w:r>
        <w:rPr>
          <w:rFonts w:cs="Arial"/>
          <w:szCs w:val="24"/>
        </w:rPr>
        <w:t>Mr</w:t>
      </w:r>
      <w:proofErr w:type="spellEnd"/>
      <w:r>
        <w:rPr>
          <w:rFonts w:cs="Arial"/>
          <w:szCs w:val="24"/>
        </w:rPr>
        <w:t xml:space="preserve"> </w:t>
      </w:r>
      <w:proofErr w:type="spellStart"/>
      <w:r>
        <w:rPr>
          <w:rFonts w:cs="Arial"/>
          <w:szCs w:val="24"/>
        </w:rPr>
        <w:t>Rossato’s</w:t>
      </w:r>
      <w:proofErr w:type="spellEnd"/>
      <w:r>
        <w:rPr>
          <w:rFonts w:cs="Arial"/>
          <w:szCs w:val="24"/>
        </w:rPr>
        <w:t xml:space="preserve"> remuneration exceeded the amount to which he would have been entitled as a permanent employee, or the amount of his casual loading, be applied or appropriated in discharge of his entitlements under the FW Act and the Enterprise Agreement as a permanent employee. </w:t>
      </w:r>
    </w:p>
    <w:p w14:paraId="45B5D051" w14:textId="70764921" w:rsidR="00DB6DAD" w:rsidRPr="00782D46" w:rsidRDefault="00DB6DAD" w:rsidP="008D27C3">
      <w:pPr>
        <w:rPr>
          <w:rFonts w:cs="Arial"/>
          <w:b/>
          <w:color w:val="000000"/>
          <w:szCs w:val="24"/>
          <w:u w:val="single"/>
        </w:rPr>
      </w:pPr>
      <w:r>
        <w:rPr>
          <w:rFonts w:cs="Arial"/>
          <w:b/>
          <w:color w:val="000000"/>
          <w:szCs w:val="24"/>
          <w:u w:val="single"/>
        </w:rPr>
        <w:lastRenderedPageBreak/>
        <w:t>DIRECTOR OF PUBLIC PROSECUTIONS REFERENCE NO</w:t>
      </w:r>
      <w:r w:rsidR="00492666">
        <w:rPr>
          <w:rFonts w:cs="Arial"/>
          <w:b/>
          <w:color w:val="000000"/>
          <w:szCs w:val="24"/>
          <w:u w:val="single"/>
        </w:rPr>
        <w:t xml:space="preserve"> </w:t>
      </w:r>
      <w:r>
        <w:rPr>
          <w:rFonts w:cs="Arial"/>
          <w:b/>
          <w:color w:val="000000"/>
          <w:szCs w:val="24"/>
          <w:u w:val="single"/>
        </w:rPr>
        <w:t xml:space="preserve">1 OF </w:t>
      </w:r>
      <w:proofErr w:type="gramStart"/>
      <w:r>
        <w:rPr>
          <w:rFonts w:cs="Arial"/>
          <w:b/>
          <w:color w:val="000000"/>
          <w:szCs w:val="24"/>
          <w:u w:val="single"/>
        </w:rPr>
        <w:t>2019</w:t>
      </w:r>
      <w:r>
        <w:rPr>
          <w:rFonts w:cs="Arial"/>
          <w:b/>
          <w:color w:val="000000"/>
          <w:szCs w:val="24"/>
        </w:rPr>
        <w:t xml:space="preserve">  </w:t>
      </w:r>
      <w:r w:rsidRPr="00782D46">
        <w:rPr>
          <w:rFonts w:cs="Arial"/>
          <w:b/>
          <w:color w:val="000000"/>
          <w:szCs w:val="24"/>
        </w:rPr>
        <w:t>(</w:t>
      </w:r>
      <w:proofErr w:type="gramEnd"/>
      <w:r>
        <w:rPr>
          <w:rFonts w:cs="Arial"/>
          <w:b/>
          <w:color w:val="000000"/>
          <w:szCs w:val="24"/>
        </w:rPr>
        <w:t>M131</w:t>
      </w:r>
      <w:r w:rsidRPr="00782D46">
        <w:rPr>
          <w:rFonts w:cs="Arial"/>
          <w:b/>
          <w:color w:val="000000"/>
          <w:szCs w:val="24"/>
        </w:rPr>
        <w:t>/2020)</w:t>
      </w:r>
    </w:p>
    <w:p w14:paraId="6B0585D8" w14:textId="77777777" w:rsidR="00DB6DAD" w:rsidRPr="00E651B8" w:rsidRDefault="00DB6DAD" w:rsidP="00DB6DAD">
      <w:pPr>
        <w:ind w:left="2694" w:hanging="2694"/>
        <w:jc w:val="both"/>
        <w:rPr>
          <w:rFonts w:cs="Arial"/>
          <w:szCs w:val="24"/>
        </w:rPr>
      </w:pPr>
    </w:p>
    <w:p w14:paraId="4DECA82D" w14:textId="7D0D21C4" w:rsidR="00DB6DAD" w:rsidRDefault="00DB6DAD" w:rsidP="00DB6DAD">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sidR="0015162F">
        <w:rPr>
          <w:rFonts w:cs="Arial"/>
          <w:szCs w:val="24"/>
        </w:rPr>
        <w:t xml:space="preserve">Court of Appeal of the </w:t>
      </w:r>
      <w:r>
        <w:rPr>
          <w:rFonts w:cs="Arial"/>
          <w:szCs w:val="24"/>
        </w:rPr>
        <w:t>Supreme Court of Victoria</w:t>
      </w:r>
      <w:r w:rsidRPr="007C1D13">
        <w:rPr>
          <w:rFonts w:cs="Arial"/>
          <w:szCs w:val="24"/>
        </w:rPr>
        <w:t xml:space="preserve"> </w:t>
      </w:r>
      <w:r>
        <w:rPr>
          <w:rFonts w:cs="Arial"/>
          <w:szCs w:val="24"/>
        </w:rPr>
        <w:br/>
        <w:t xml:space="preserve">[2020] VSCA 181 </w:t>
      </w:r>
    </w:p>
    <w:p w14:paraId="0AFCB82B" w14:textId="77777777" w:rsidR="00DB6DAD" w:rsidRPr="008A0364" w:rsidRDefault="00DB6DAD" w:rsidP="00DB6DAD">
      <w:pPr>
        <w:ind w:left="2694" w:hanging="2694"/>
        <w:rPr>
          <w:rFonts w:cs="Arial"/>
          <w:szCs w:val="24"/>
        </w:rPr>
      </w:pPr>
    </w:p>
    <w:p w14:paraId="1C31F9BA" w14:textId="77777777" w:rsidR="00DB6DAD" w:rsidRDefault="00DB6DAD" w:rsidP="00DB6DAD">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 July 2020</w:t>
      </w:r>
    </w:p>
    <w:p w14:paraId="44461F93" w14:textId="77777777" w:rsidR="00DB6DAD" w:rsidRDefault="00DB6DAD" w:rsidP="00DB6DAD">
      <w:pPr>
        <w:ind w:left="2552" w:hanging="2552"/>
        <w:rPr>
          <w:rFonts w:cs="Arial"/>
          <w:szCs w:val="24"/>
        </w:rPr>
      </w:pPr>
    </w:p>
    <w:p w14:paraId="51361D6C" w14:textId="77777777" w:rsidR="00DB6DAD" w:rsidRDefault="00DB6DAD" w:rsidP="00DB6DAD">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11 December 2020</w:t>
      </w:r>
    </w:p>
    <w:p w14:paraId="24139BF7" w14:textId="77777777" w:rsidR="00DB6DAD" w:rsidRDefault="00DB6DAD" w:rsidP="00DB6DAD">
      <w:pPr>
        <w:jc w:val="both"/>
        <w:rPr>
          <w:rFonts w:cs="Arial"/>
          <w:szCs w:val="24"/>
        </w:rPr>
      </w:pPr>
    </w:p>
    <w:p w14:paraId="1F532381" w14:textId="77777777" w:rsidR="00DB6DAD" w:rsidRDefault="00DB6DAD" w:rsidP="00DB6DAD">
      <w:pPr>
        <w:jc w:val="both"/>
        <w:rPr>
          <w:rFonts w:cs="Arial"/>
          <w:szCs w:val="24"/>
        </w:rPr>
      </w:pPr>
      <w:r w:rsidRPr="00A90A0E">
        <w:rPr>
          <w:rFonts w:cs="Arial"/>
          <w:szCs w:val="24"/>
        </w:rPr>
        <w:t xml:space="preserve">On </w:t>
      </w:r>
      <w:r>
        <w:rPr>
          <w:rFonts w:cs="Arial"/>
          <w:szCs w:val="24"/>
        </w:rPr>
        <w:t xml:space="preserve">13 August 2019, the acquitted person pleaded not guilty to intentionally (or recklessly) causing serious injury.  The definition of ‘recklessly’ was an issue before the County Court Judge who directed the jury.  The prosecution (‘DPP’) submitted that the jury should be directed consistently with </w:t>
      </w:r>
      <w:r>
        <w:rPr>
          <w:rFonts w:cs="Arial"/>
          <w:i/>
          <w:szCs w:val="24"/>
        </w:rPr>
        <w:t>Aubrey v The Queen</w:t>
      </w:r>
      <w:r>
        <w:rPr>
          <w:rFonts w:cs="Arial"/>
          <w:szCs w:val="24"/>
        </w:rPr>
        <w:t xml:space="preserve"> (2017) 260 CLR 305, that is, ‘recklessly’ means ‘foresight of the </w:t>
      </w:r>
      <w:r>
        <w:rPr>
          <w:rFonts w:cs="Arial"/>
          <w:szCs w:val="24"/>
          <w:u w:val="single"/>
        </w:rPr>
        <w:t>possibility</w:t>
      </w:r>
      <w:r>
        <w:rPr>
          <w:rFonts w:cs="Arial"/>
          <w:szCs w:val="24"/>
        </w:rPr>
        <w:t xml:space="preserve"> of the causation of serious injury’.  The DPP further submitted that </w:t>
      </w:r>
      <w:r>
        <w:rPr>
          <w:rFonts w:cs="Arial"/>
          <w:i/>
          <w:szCs w:val="24"/>
        </w:rPr>
        <w:t>R v Campbell</w:t>
      </w:r>
      <w:r>
        <w:rPr>
          <w:rFonts w:cs="Arial"/>
          <w:szCs w:val="24"/>
        </w:rPr>
        <w:t xml:space="preserve"> [1997] 2 VR 585 was incorrect in defining ‘recklessly’ as ‘foresight of the </w:t>
      </w:r>
      <w:r>
        <w:rPr>
          <w:rFonts w:cs="Arial"/>
          <w:szCs w:val="24"/>
          <w:u w:val="single"/>
        </w:rPr>
        <w:t>probability</w:t>
      </w:r>
      <w:r>
        <w:rPr>
          <w:rFonts w:cs="Arial"/>
          <w:szCs w:val="24"/>
        </w:rPr>
        <w:t xml:space="preserve">’ of causation of serious injury.  The Judge directed the jury that ‘recklessly’ required ‘foresight of </w:t>
      </w:r>
      <w:r>
        <w:rPr>
          <w:rFonts w:cs="Arial"/>
          <w:szCs w:val="24"/>
          <w:u w:val="single"/>
        </w:rPr>
        <w:t>probability</w:t>
      </w:r>
      <w:r>
        <w:rPr>
          <w:rFonts w:cs="Arial"/>
          <w:szCs w:val="24"/>
        </w:rPr>
        <w:t>’.</w:t>
      </w:r>
    </w:p>
    <w:p w14:paraId="5385DE5C" w14:textId="77777777" w:rsidR="00DB6DAD" w:rsidRDefault="00DB6DAD" w:rsidP="00DB6DAD">
      <w:pPr>
        <w:jc w:val="both"/>
        <w:rPr>
          <w:rFonts w:cs="Arial"/>
          <w:szCs w:val="24"/>
        </w:rPr>
      </w:pPr>
    </w:p>
    <w:p w14:paraId="51B048BC" w14:textId="650881DA" w:rsidR="00DB6DAD" w:rsidRPr="002F27EF" w:rsidRDefault="00DB6DAD" w:rsidP="00DB6DAD">
      <w:pPr>
        <w:jc w:val="both"/>
        <w:rPr>
          <w:rFonts w:cs="Arial"/>
          <w:szCs w:val="24"/>
        </w:rPr>
      </w:pPr>
      <w:r>
        <w:rPr>
          <w:rFonts w:cs="Arial"/>
          <w:szCs w:val="24"/>
        </w:rPr>
        <w:t>The DPP referred the point of law to the Supreme Court of Victoria (Court of Appeal)</w:t>
      </w:r>
      <w:r w:rsidR="00280536">
        <w:rPr>
          <w:rFonts w:cs="Arial"/>
          <w:szCs w:val="24"/>
        </w:rPr>
        <w:t xml:space="preserve"> for consideration and opinion pursuant to s</w:t>
      </w:r>
      <w:r w:rsidR="00280536">
        <w:rPr>
          <w:rFonts w:cs="Arial"/>
          <w:iCs/>
          <w:szCs w:val="24"/>
        </w:rPr>
        <w:t> </w:t>
      </w:r>
      <w:r w:rsidR="00280536">
        <w:rPr>
          <w:rFonts w:cs="Arial"/>
          <w:szCs w:val="24"/>
        </w:rPr>
        <w:t xml:space="preserve">308 of the </w:t>
      </w:r>
      <w:r w:rsidR="00280536" w:rsidRPr="00280536">
        <w:rPr>
          <w:rFonts w:cs="Arial"/>
          <w:i/>
          <w:iCs/>
          <w:szCs w:val="24"/>
        </w:rPr>
        <w:t>Criminal Procedure Act 2009</w:t>
      </w:r>
      <w:r w:rsidR="00280536">
        <w:rPr>
          <w:rFonts w:cs="Arial"/>
          <w:szCs w:val="24"/>
        </w:rPr>
        <w:t xml:space="preserve"> (Vic)</w:t>
      </w:r>
      <w:r>
        <w:rPr>
          <w:rFonts w:cs="Arial"/>
          <w:szCs w:val="24"/>
        </w:rPr>
        <w:t>.  Maxwell</w:t>
      </w:r>
      <w:r>
        <w:rPr>
          <w:rFonts w:cs="Arial"/>
          <w:iCs/>
          <w:szCs w:val="24"/>
        </w:rPr>
        <w:t> </w:t>
      </w:r>
      <w:r>
        <w:rPr>
          <w:rFonts w:cs="Arial"/>
          <w:szCs w:val="24"/>
        </w:rPr>
        <w:t>P, Emerton and McLeish</w:t>
      </w:r>
      <w:r>
        <w:rPr>
          <w:rFonts w:cs="Arial"/>
          <w:iCs/>
          <w:szCs w:val="24"/>
        </w:rPr>
        <w:t> </w:t>
      </w:r>
      <w:r>
        <w:rPr>
          <w:rFonts w:cs="Arial"/>
          <w:szCs w:val="24"/>
        </w:rPr>
        <w:t>JJA delivered a joint judgment.  Priest and Kaye</w:t>
      </w:r>
      <w:r>
        <w:rPr>
          <w:rFonts w:cs="Arial"/>
          <w:iCs/>
          <w:szCs w:val="24"/>
        </w:rPr>
        <w:t> </w:t>
      </w:r>
      <w:r>
        <w:rPr>
          <w:rFonts w:cs="Arial"/>
          <w:szCs w:val="24"/>
        </w:rPr>
        <w:t xml:space="preserve">JJA each delivered separate judgments.  Each concluded that the correct interpretation of ‘recklessly’ was that stated in </w:t>
      </w:r>
      <w:r>
        <w:rPr>
          <w:rFonts w:cs="Arial"/>
          <w:i/>
          <w:szCs w:val="24"/>
        </w:rPr>
        <w:t>Campbell</w:t>
      </w:r>
      <w:r>
        <w:rPr>
          <w:rFonts w:cs="Arial"/>
          <w:szCs w:val="24"/>
        </w:rPr>
        <w:t xml:space="preserve">: foresight of the </w:t>
      </w:r>
      <w:r>
        <w:rPr>
          <w:rFonts w:cs="Arial"/>
          <w:szCs w:val="24"/>
          <w:u w:val="single"/>
        </w:rPr>
        <w:t>probability</w:t>
      </w:r>
      <w:r>
        <w:rPr>
          <w:rFonts w:cs="Arial"/>
          <w:szCs w:val="24"/>
        </w:rPr>
        <w:t xml:space="preserve"> of causing serious injury.</w:t>
      </w:r>
    </w:p>
    <w:p w14:paraId="16FDD0A4" w14:textId="77777777" w:rsidR="00DB6DAD" w:rsidRDefault="00DB6DAD" w:rsidP="00DB6DAD">
      <w:pPr>
        <w:jc w:val="both"/>
        <w:rPr>
          <w:rFonts w:cs="Arial"/>
          <w:szCs w:val="24"/>
        </w:rPr>
      </w:pPr>
    </w:p>
    <w:p w14:paraId="2239EF8F" w14:textId="792EB5D0" w:rsidR="00DB6DAD" w:rsidRDefault="00DB6DAD" w:rsidP="00DB6DAD">
      <w:pPr>
        <w:jc w:val="both"/>
        <w:rPr>
          <w:rFonts w:cs="Arial"/>
          <w:szCs w:val="24"/>
        </w:rPr>
      </w:pPr>
      <w:r>
        <w:rPr>
          <w:rFonts w:cs="Arial"/>
          <w:szCs w:val="24"/>
        </w:rPr>
        <w:t xml:space="preserve">The acquitted person has </w:t>
      </w:r>
      <w:r w:rsidR="00280536">
        <w:rPr>
          <w:rFonts w:cs="Arial"/>
          <w:szCs w:val="24"/>
        </w:rPr>
        <w:t xml:space="preserve">made </w:t>
      </w:r>
      <w:r>
        <w:rPr>
          <w:rFonts w:cs="Arial"/>
          <w:szCs w:val="24"/>
        </w:rPr>
        <w:t>submissions in the Court of Appeal, the special leave application and this appeal.</w:t>
      </w:r>
    </w:p>
    <w:p w14:paraId="23A7FB78" w14:textId="77777777" w:rsidR="00DB6DAD" w:rsidRPr="00A90A0E" w:rsidRDefault="00DB6DAD" w:rsidP="00DB6DAD">
      <w:pPr>
        <w:jc w:val="both"/>
        <w:rPr>
          <w:rFonts w:cs="Arial"/>
          <w:i/>
          <w:szCs w:val="24"/>
        </w:rPr>
      </w:pPr>
    </w:p>
    <w:p w14:paraId="7E66FF1C" w14:textId="77777777" w:rsidR="00DB6DAD" w:rsidRDefault="00DB6DAD" w:rsidP="00DB6DAD">
      <w:pPr>
        <w:jc w:val="both"/>
        <w:rPr>
          <w:rFonts w:cs="Arial"/>
          <w:szCs w:val="24"/>
        </w:rPr>
      </w:pPr>
      <w:r>
        <w:rPr>
          <w:rFonts w:cs="Arial"/>
          <w:szCs w:val="24"/>
        </w:rPr>
        <w:t>The ground of appeal is that:</w:t>
      </w:r>
    </w:p>
    <w:p w14:paraId="5055D12D" w14:textId="77777777" w:rsidR="00DB6DAD" w:rsidRDefault="00DB6DAD" w:rsidP="00DB6DAD">
      <w:pPr>
        <w:jc w:val="both"/>
        <w:rPr>
          <w:rFonts w:cs="Arial"/>
          <w:szCs w:val="24"/>
        </w:rPr>
      </w:pPr>
    </w:p>
    <w:p w14:paraId="07469CDE" w14:textId="77777777" w:rsidR="00DB6DAD" w:rsidRPr="00206145" w:rsidRDefault="00DB6DAD" w:rsidP="00280536">
      <w:pPr>
        <w:pStyle w:val="ListParagraph"/>
        <w:numPr>
          <w:ilvl w:val="0"/>
          <w:numId w:val="10"/>
        </w:numPr>
        <w:ind w:left="426" w:hanging="426"/>
        <w:jc w:val="both"/>
        <w:rPr>
          <w:rFonts w:cs="Arial"/>
          <w:sz w:val="24"/>
          <w:szCs w:val="24"/>
        </w:rPr>
      </w:pPr>
      <w:r>
        <w:rPr>
          <w:rFonts w:cs="Arial"/>
          <w:sz w:val="24"/>
          <w:szCs w:val="24"/>
        </w:rPr>
        <w:t>T</w:t>
      </w:r>
      <w:r w:rsidRPr="00206145">
        <w:rPr>
          <w:rFonts w:cs="Arial"/>
          <w:sz w:val="24"/>
          <w:szCs w:val="24"/>
        </w:rPr>
        <w:t>he Supreme Court of Victoria (Court of Appeal) erred in determining that the meaning of “recklessly” in s</w:t>
      </w:r>
      <w:r>
        <w:rPr>
          <w:rFonts w:cs="Arial"/>
          <w:iCs/>
          <w:szCs w:val="24"/>
        </w:rPr>
        <w:t> </w:t>
      </w:r>
      <w:r w:rsidRPr="00206145">
        <w:rPr>
          <w:rFonts w:cs="Arial"/>
          <w:sz w:val="24"/>
          <w:szCs w:val="24"/>
        </w:rPr>
        <w:t xml:space="preserve">17 of the </w:t>
      </w:r>
      <w:r w:rsidRPr="00206145">
        <w:rPr>
          <w:rFonts w:cs="Arial"/>
          <w:i/>
          <w:sz w:val="24"/>
          <w:szCs w:val="24"/>
        </w:rPr>
        <w:t>Crimes Act 1958</w:t>
      </w:r>
      <w:r w:rsidRPr="00206145">
        <w:rPr>
          <w:rFonts w:cs="Arial"/>
          <w:sz w:val="24"/>
          <w:szCs w:val="24"/>
        </w:rPr>
        <w:t xml:space="preserve"> is that stated by the Court of Appeal in </w:t>
      </w:r>
      <w:r w:rsidRPr="00206145">
        <w:rPr>
          <w:rFonts w:cs="Arial"/>
          <w:i/>
          <w:sz w:val="24"/>
          <w:szCs w:val="24"/>
        </w:rPr>
        <w:t>R v Campbell</w:t>
      </w:r>
      <w:r>
        <w:rPr>
          <w:rFonts w:cs="Arial"/>
          <w:i/>
          <w:sz w:val="24"/>
          <w:szCs w:val="24"/>
        </w:rPr>
        <w:t>,</w:t>
      </w:r>
      <w:r w:rsidRPr="00206145">
        <w:rPr>
          <w:rFonts w:cs="Arial"/>
          <w:sz w:val="24"/>
          <w:szCs w:val="24"/>
        </w:rPr>
        <w:t xml:space="preserve"> being that the accused had foresight of</w:t>
      </w:r>
      <w:r>
        <w:rPr>
          <w:rFonts w:cs="Arial"/>
          <w:sz w:val="24"/>
          <w:szCs w:val="24"/>
        </w:rPr>
        <w:t xml:space="preserve"> </w:t>
      </w:r>
      <w:r w:rsidRPr="00206145">
        <w:rPr>
          <w:rFonts w:cs="Arial"/>
          <w:sz w:val="24"/>
          <w:szCs w:val="24"/>
        </w:rPr>
        <w:t>the probability of the relevant consequence and proceeded nevertheless.</w:t>
      </w:r>
    </w:p>
    <w:p w14:paraId="42B0E4B8" w14:textId="2B5E559D" w:rsidR="00DB6DAD" w:rsidRDefault="00DB6DAD" w:rsidP="00913869"/>
    <w:p w14:paraId="5D07337D" w14:textId="784F18E0" w:rsidR="00DB6DAD" w:rsidRDefault="00DB6DAD">
      <w:r>
        <w:br w:type="page"/>
      </w:r>
    </w:p>
    <w:p w14:paraId="3501F5AD" w14:textId="77777777" w:rsidR="00DB6DAD" w:rsidRPr="000A16B9" w:rsidRDefault="00DB6DAD" w:rsidP="00DB6DAD">
      <w:pPr>
        <w:pStyle w:val="NoSpacing"/>
        <w:rPr>
          <w:rFonts w:ascii="Arial" w:eastAsia="Times New Roman" w:hAnsi="Arial" w:cs="Arial"/>
          <w:b/>
          <w:color w:val="000000"/>
          <w:sz w:val="24"/>
          <w:szCs w:val="24"/>
          <w:lang w:eastAsia="en-AU"/>
        </w:rPr>
      </w:pPr>
      <w:r w:rsidRPr="000A16B9">
        <w:rPr>
          <w:rFonts w:ascii="Arial" w:eastAsia="Times New Roman" w:hAnsi="Arial" w:cs="Arial"/>
          <w:b/>
          <w:color w:val="000000"/>
          <w:sz w:val="24"/>
          <w:szCs w:val="24"/>
          <w:u w:val="single"/>
          <w:lang w:eastAsia="en-AU"/>
        </w:rPr>
        <w:lastRenderedPageBreak/>
        <w:t xml:space="preserve">FAIRFAX MEDIA PUBLICATIONS PTY LTD v </w:t>
      </w:r>
      <w:proofErr w:type="gramStart"/>
      <w:r w:rsidRPr="000A16B9">
        <w:rPr>
          <w:rFonts w:ascii="Arial" w:eastAsia="Times New Roman" w:hAnsi="Arial" w:cs="Arial"/>
          <w:b/>
          <w:color w:val="000000"/>
          <w:sz w:val="24"/>
          <w:szCs w:val="24"/>
          <w:u w:val="single"/>
          <w:lang w:eastAsia="en-AU"/>
        </w:rPr>
        <w:t>VOLLER</w:t>
      </w:r>
      <w:r w:rsidRPr="000A16B9">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0A16B9">
        <w:rPr>
          <w:rFonts w:ascii="Arial" w:eastAsia="Times New Roman" w:hAnsi="Arial" w:cs="Arial"/>
          <w:b/>
          <w:color w:val="000000"/>
          <w:sz w:val="24"/>
          <w:szCs w:val="24"/>
          <w:lang w:eastAsia="en-AU"/>
        </w:rPr>
        <w:t>(</w:t>
      </w:r>
      <w:proofErr w:type="gramEnd"/>
      <w:r w:rsidRPr="000A16B9">
        <w:rPr>
          <w:rFonts w:ascii="Arial" w:eastAsia="Times New Roman" w:hAnsi="Arial" w:cs="Arial"/>
          <w:b/>
          <w:color w:val="000000"/>
          <w:sz w:val="24"/>
          <w:szCs w:val="24"/>
          <w:lang w:eastAsia="en-AU"/>
        </w:rPr>
        <w:t>S236/2020)</w:t>
      </w:r>
    </w:p>
    <w:p w14:paraId="273AADB0" w14:textId="77777777" w:rsidR="00DB6DAD" w:rsidRPr="000A16B9" w:rsidRDefault="00DB6DAD" w:rsidP="00DB6DAD">
      <w:pPr>
        <w:pStyle w:val="NoSpacing"/>
        <w:rPr>
          <w:rFonts w:ascii="Arial" w:eastAsia="Times New Roman" w:hAnsi="Arial" w:cs="Arial"/>
          <w:b/>
          <w:color w:val="000000"/>
          <w:sz w:val="24"/>
          <w:szCs w:val="24"/>
          <w:lang w:eastAsia="en-AU"/>
        </w:rPr>
      </w:pPr>
      <w:r w:rsidRPr="000A16B9">
        <w:rPr>
          <w:rFonts w:ascii="Arial" w:eastAsia="Times New Roman" w:hAnsi="Arial" w:cs="Arial"/>
          <w:b/>
          <w:color w:val="000000"/>
          <w:sz w:val="24"/>
          <w:szCs w:val="24"/>
          <w:u w:val="single"/>
          <w:lang w:eastAsia="en-AU"/>
        </w:rPr>
        <w:t xml:space="preserve">NATIONWIDE NEWS PTY LIMITED v </w:t>
      </w:r>
      <w:proofErr w:type="gramStart"/>
      <w:r w:rsidRPr="000A16B9">
        <w:rPr>
          <w:rFonts w:ascii="Arial" w:eastAsia="Times New Roman" w:hAnsi="Arial" w:cs="Arial"/>
          <w:b/>
          <w:color w:val="000000"/>
          <w:sz w:val="24"/>
          <w:szCs w:val="24"/>
          <w:u w:val="single"/>
          <w:lang w:eastAsia="en-AU"/>
        </w:rPr>
        <w:t>VOLLER</w:t>
      </w:r>
      <w:r w:rsidRPr="000A16B9">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0A16B9">
        <w:rPr>
          <w:rFonts w:ascii="Arial" w:eastAsia="Times New Roman" w:hAnsi="Arial" w:cs="Arial"/>
          <w:b/>
          <w:color w:val="000000"/>
          <w:sz w:val="24"/>
          <w:szCs w:val="24"/>
          <w:lang w:eastAsia="en-AU"/>
        </w:rPr>
        <w:t>(</w:t>
      </w:r>
      <w:proofErr w:type="gramEnd"/>
      <w:r w:rsidRPr="000A16B9">
        <w:rPr>
          <w:rFonts w:ascii="Arial" w:eastAsia="Times New Roman" w:hAnsi="Arial" w:cs="Arial"/>
          <w:b/>
          <w:color w:val="000000"/>
          <w:sz w:val="24"/>
          <w:szCs w:val="24"/>
          <w:lang w:eastAsia="en-AU"/>
        </w:rPr>
        <w:t>S237/2020)</w:t>
      </w:r>
    </w:p>
    <w:p w14:paraId="1126097D" w14:textId="77777777" w:rsidR="00DB6DAD" w:rsidRPr="000A16B9" w:rsidRDefault="00DB6DAD" w:rsidP="00DB6DAD">
      <w:pPr>
        <w:pStyle w:val="NoSpacing"/>
        <w:rPr>
          <w:rFonts w:ascii="Arial" w:eastAsia="Times New Roman" w:hAnsi="Arial" w:cs="Arial"/>
          <w:b/>
          <w:color w:val="000000"/>
          <w:sz w:val="24"/>
          <w:szCs w:val="24"/>
          <w:lang w:eastAsia="en-AU"/>
        </w:rPr>
      </w:pPr>
      <w:r w:rsidRPr="000A16B9">
        <w:rPr>
          <w:rFonts w:ascii="Arial" w:eastAsia="Times New Roman" w:hAnsi="Arial" w:cs="Arial"/>
          <w:b/>
          <w:color w:val="000000"/>
          <w:sz w:val="24"/>
          <w:szCs w:val="24"/>
          <w:u w:val="single"/>
          <w:lang w:eastAsia="en-AU"/>
        </w:rPr>
        <w:t xml:space="preserve">AUSTRALIAN NEWS CHANNEL PTY LTD v </w:t>
      </w:r>
      <w:proofErr w:type="gramStart"/>
      <w:r w:rsidRPr="000A16B9">
        <w:rPr>
          <w:rFonts w:ascii="Arial" w:eastAsia="Times New Roman" w:hAnsi="Arial" w:cs="Arial"/>
          <w:b/>
          <w:color w:val="000000"/>
          <w:sz w:val="24"/>
          <w:szCs w:val="24"/>
          <w:u w:val="single"/>
          <w:lang w:eastAsia="en-AU"/>
        </w:rPr>
        <w:t>VOLLER</w:t>
      </w:r>
      <w:r w:rsidRPr="000A16B9">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0A16B9">
        <w:rPr>
          <w:rFonts w:ascii="Arial" w:eastAsia="Times New Roman" w:hAnsi="Arial" w:cs="Arial"/>
          <w:b/>
          <w:color w:val="000000"/>
          <w:sz w:val="24"/>
          <w:szCs w:val="24"/>
          <w:lang w:eastAsia="en-AU"/>
        </w:rPr>
        <w:t>(</w:t>
      </w:r>
      <w:proofErr w:type="gramEnd"/>
      <w:r w:rsidRPr="000A16B9">
        <w:rPr>
          <w:rFonts w:ascii="Arial" w:eastAsia="Times New Roman" w:hAnsi="Arial" w:cs="Arial"/>
          <w:b/>
          <w:color w:val="000000"/>
          <w:sz w:val="24"/>
          <w:szCs w:val="24"/>
          <w:lang w:eastAsia="en-AU"/>
        </w:rPr>
        <w:t>S238/2020)</w:t>
      </w:r>
    </w:p>
    <w:p w14:paraId="7B46BDFF" w14:textId="77777777" w:rsidR="00DB6DAD" w:rsidRPr="000A16B9" w:rsidRDefault="00DB6DAD" w:rsidP="00DB6DAD">
      <w:pPr>
        <w:rPr>
          <w:rFonts w:cs="Arial"/>
          <w:szCs w:val="24"/>
        </w:rPr>
      </w:pPr>
    </w:p>
    <w:p w14:paraId="63F3EBAD" w14:textId="77777777" w:rsidR="00DB6DAD" w:rsidRDefault="00DB6DAD" w:rsidP="00DB6DAD">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1FA5386C" w14:textId="77777777" w:rsidR="00DB6DAD" w:rsidRPr="00F14559" w:rsidRDefault="00DB6DAD" w:rsidP="00DB6DAD">
      <w:pPr>
        <w:ind w:left="2552"/>
        <w:rPr>
          <w:rFonts w:cs="Arial"/>
          <w:szCs w:val="24"/>
        </w:rPr>
      </w:pPr>
      <w:r w:rsidRPr="00236C70">
        <w:rPr>
          <w:rFonts w:cs="Arial"/>
          <w:szCs w:val="24"/>
        </w:rPr>
        <w:t>[20</w:t>
      </w:r>
      <w:r>
        <w:rPr>
          <w:rFonts w:cs="Arial"/>
          <w:szCs w:val="24"/>
        </w:rPr>
        <w:t>20</w:t>
      </w:r>
      <w:r w:rsidRPr="00236C70">
        <w:rPr>
          <w:rFonts w:cs="Arial"/>
          <w:szCs w:val="24"/>
        </w:rPr>
        <w:t xml:space="preserve">] </w:t>
      </w:r>
      <w:r>
        <w:rPr>
          <w:rFonts w:cs="Arial"/>
          <w:szCs w:val="24"/>
        </w:rPr>
        <w:t>NSWCA 102</w:t>
      </w:r>
    </w:p>
    <w:p w14:paraId="20724248" w14:textId="77777777" w:rsidR="00DB6DAD" w:rsidRPr="008A0364" w:rsidRDefault="00DB6DAD" w:rsidP="00DB6DAD">
      <w:pPr>
        <w:ind w:left="2694" w:hanging="2694"/>
        <w:rPr>
          <w:rFonts w:cs="Arial"/>
          <w:szCs w:val="24"/>
        </w:rPr>
      </w:pPr>
    </w:p>
    <w:p w14:paraId="5A657CBA" w14:textId="77777777" w:rsidR="00DB6DAD" w:rsidRDefault="00DB6DAD" w:rsidP="00DB6DAD">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1 June 2020</w:t>
      </w:r>
    </w:p>
    <w:p w14:paraId="026ECABC" w14:textId="77777777" w:rsidR="00DB6DAD" w:rsidRDefault="00DB6DAD" w:rsidP="00DB6DAD">
      <w:pPr>
        <w:ind w:left="2552" w:hanging="2552"/>
        <w:rPr>
          <w:rFonts w:cs="Arial"/>
          <w:szCs w:val="24"/>
        </w:rPr>
      </w:pPr>
    </w:p>
    <w:p w14:paraId="6F6435A2" w14:textId="77777777" w:rsidR="00DB6DAD" w:rsidRDefault="00DB6DAD" w:rsidP="00DB6DAD">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8 December 2020</w:t>
      </w:r>
    </w:p>
    <w:p w14:paraId="726A6F8D" w14:textId="77777777" w:rsidR="00DB6DAD" w:rsidRDefault="00DB6DAD" w:rsidP="00DB6DAD">
      <w:pPr>
        <w:rPr>
          <w:rFonts w:cs="Arial"/>
          <w:szCs w:val="24"/>
        </w:rPr>
      </w:pPr>
    </w:p>
    <w:p w14:paraId="7846741F" w14:textId="77777777" w:rsidR="00DB6DAD" w:rsidRPr="002A200E" w:rsidRDefault="00DB6DAD" w:rsidP="00DB6DAD">
      <w:pPr>
        <w:jc w:val="both"/>
        <w:rPr>
          <w:rFonts w:cs="Arial"/>
          <w:szCs w:val="24"/>
        </w:rPr>
      </w:pPr>
      <w:r w:rsidRPr="002A200E">
        <w:rPr>
          <w:rFonts w:cs="Arial"/>
          <w:szCs w:val="24"/>
        </w:rPr>
        <w:t xml:space="preserve">In 2017 the Respondent, </w:t>
      </w:r>
      <w:proofErr w:type="spellStart"/>
      <w:r w:rsidRPr="002A200E">
        <w:rPr>
          <w:rFonts w:cs="Arial"/>
          <w:szCs w:val="24"/>
        </w:rPr>
        <w:t>Mr</w:t>
      </w:r>
      <w:proofErr w:type="spellEnd"/>
      <w:r w:rsidRPr="002A200E">
        <w:rPr>
          <w:rFonts w:cs="Arial"/>
          <w:szCs w:val="24"/>
        </w:rPr>
        <w:t xml:space="preserve"> Dylan </w:t>
      </w:r>
      <w:proofErr w:type="spellStart"/>
      <w:r w:rsidRPr="002A200E">
        <w:rPr>
          <w:rFonts w:cs="Arial"/>
          <w:szCs w:val="24"/>
        </w:rPr>
        <w:t>Voller</w:t>
      </w:r>
      <w:proofErr w:type="spellEnd"/>
      <w:r w:rsidRPr="002A200E">
        <w:rPr>
          <w:rFonts w:cs="Arial"/>
          <w:szCs w:val="24"/>
        </w:rPr>
        <w:t xml:space="preserve">, commenced defamation proceedings against each of the Appellants, claiming that certain comments posted by third parties on Facebook pages maintained by the Appellants were defamatory of him.  The comments were made in response to news items and photos posted by the Appellants in relation to </w:t>
      </w:r>
      <w:proofErr w:type="spellStart"/>
      <w:r w:rsidRPr="002A200E">
        <w:rPr>
          <w:rFonts w:cs="Arial"/>
          <w:szCs w:val="24"/>
        </w:rPr>
        <w:t>Mr</w:t>
      </w:r>
      <w:proofErr w:type="spellEnd"/>
      <w:r>
        <w:rPr>
          <w:rFonts w:cs="Arial"/>
          <w:iCs/>
          <w:szCs w:val="24"/>
        </w:rPr>
        <w:t> </w:t>
      </w:r>
      <w:proofErr w:type="spellStart"/>
      <w:r w:rsidRPr="002A200E">
        <w:rPr>
          <w:rFonts w:cs="Arial"/>
          <w:szCs w:val="24"/>
        </w:rPr>
        <w:t>Voller’s</w:t>
      </w:r>
      <w:proofErr w:type="spellEnd"/>
      <w:r w:rsidRPr="002A200E">
        <w:rPr>
          <w:rFonts w:cs="Arial"/>
          <w:szCs w:val="24"/>
        </w:rPr>
        <w:t xml:space="preserve"> incarceration in a juvenile justice detention </w:t>
      </w:r>
      <w:proofErr w:type="spellStart"/>
      <w:r w:rsidRPr="002A200E">
        <w:rPr>
          <w:rFonts w:cs="Arial"/>
          <w:szCs w:val="24"/>
        </w:rPr>
        <w:t>centre</w:t>
      </w:r>
      <w:proofErr w:type="spellEnd"/>
      <w:r w:rsidRPr="002A200E">
        <w:rPr>
          <w:rFonts w:cs="Arial"/>
          <w:szCs w:val="24"/>
        </w:rPr>
        <w:t>.</w:t>
      </w:r>
    </w:p>
    <w:p w14:paraId="41E1CBDD" w14:textId="77777777" w:rsidR="00DB6DAD" w:rsidRPr="002A200E" w:rsidRDefault="00DB6DAD" w:rsidP="00DB6DAD">
      <w:pPr>
        <w:jc w:val="both"/>
        <w:rPr>
          <w:rFonts w:cs="Arial"/>
          <w:szCs w:val="24"/>
        </w:rPr>
      </w:pPr>
    </w:p>
    <w:p w14:paraId="0E56A7D8" w14:textId="77777777" w:rsidR="00DB6DAD" w:rsidRPr="002A200E" w:rsidRDefault="00DB6DAD" w:rsidP="00DB6DAD">
      <w:pPr>
        <w:jc w:val="both"/>
        <w:rPr>
          <w:rFonts w:cs="Arial"/>
          <w:szCs w:val="24"/>
        </w:rPr>
      </w:pPr>
      <w:r w:rsidRPr="002A200E">
        <w:rPr>
          <w:rFonts w:cs="Arial"/>
          <w:szCs w:val="24"/>
        </w:rPr>
        <w:t xml:space="preserve">Prior to the Appellants’ filing of </w:t>
      </w:r>
      <w:proofErr w:type="spellStart"/>
      <w:r w:rsidRPr="002A200E">
        <w:rPr>
          <w:rFonts w:cs="Arial"/>
          <w:szCs w:val="24"/>
        </w:rPr>
        <w:t>defences</w:t>
      </w:r>
      <w:proofErr w:type="spellEnd"/>
      <w:r w:rsidRPr="002A200E">
        <w:rPr>
          <w:rFonts w:cs="Arial"/>
          <w:szCs w:val="24"/>
        </w:rPr>
        <w:t xml:space="preserve"> to </w:t>
      </w:r>
      <w:proofErr w:type="spellStart"/>
      <w:r w:rsidRPr="002A200E">
        <w:rPr>
          <w:rFonts w:cs="Arial"/>
          <w:szCs w:val="24"/>
        </w:rPr>
        <w:t>Mr</w:t>
      </w:r>
      <w:proofErr w:type="spellEnd"/>
      <w:r w:rsidRPr="002A200E">
        <w:rPr>
          <w:rFonts w:cs="Arial"/>
          <w:szCs w:val="24"/>
        </w:rPr>
        <w:t xml:space="preserve"> </w:t>
      </w:r>
      <w:proofErr w:type="spellStart"/>
      <w:r w:rsidRPr="002A200E">
        <w:rPr>
          <w:rFonts w:cs="Arial"/>
          <w:szCs w:val="24"/>
        </w:rPr>
        <w:t>Voller’s</w:t>
      </w:r>
      <w:proofErr w:type="spellEnd"/>
      <w:r w:rsidRPr="002A200E">
        <w:rPr>
          <w:rFonts w:cs="Arial"/>
          <w:szCs w:val="24"/>
        </w:rPr>
        <w:t xml:space="preserve"> statements of claim, a separate question was formulated for determination.  This was in view of the consideration that</w:t>
      </w:r>
      <w:r>
        <w:rPr>
          <w:rFonts w:cs="Arial"/>
          <w:szCs w:val="24"/>
        </w:rPr>
        <w:t xml:space="preserve"> it would not be possible for </w:t>
      </w:r>
      <w:proofErr w:type="spellStart"/>
      <w:r>
        <w:rPr>
          <w:rFonts w:cs="Arial"/>
          <w:szCs w:val="24"/>
        </w:rPr>
        <w:t>Mr</w:t>
      </w:r>
      <w:proofErr w:type="spellEnd"/>
      <w:r>
        <w:rPr>
          <w:rFonts w:cs="Arial"/>
          <w:iCs/>
          <w:szCs w:val="24"/>
        </w:rPr>
        <w:t> </w:t>
      </w:r>
      <w:proofErr w:type="spellStart"/>
      <w:r>
        <w:rPr>
          <w:rFonts w:cs="Arial"/>
          <w:szCs w:val="24"/>
        </w:rPr>
        <w:t>Voller’s</w:t>
      </w:r>
      <w:proofErr w:type="spellEnd"/>
      <w:r>
        <w:rPr>
          <w:rFonts w:cs="Arial"/>
          <w:szCs w:val="24"/>
        </w:rPr>
        <w:t xml:space="preserve"> claims to succeed (after any findings in due course that defamatory imputations had been conveyed and if the Appellants also could not establish a successful </w:t>
      </w:r>
      <w:proofErr w:type="spellStart"/>
      <w:r>
        <w:rPr>
          <w:rFonts w:cs="Arial"/>
          <w:szCs w:val="24"/>
        </w:rPr>
        <w:t>defence</w:t>
      </w:r>
      <w:proofErr w:type="spellEnd"/>
      <w:r>
        <w:rPr>
          <w:rFonts w:cs="Arial"/>
          <w:szCs w:val="24"/>
        </w:rPr>
        <w:t xml:space="preserve">) unless </w:t>
      </w:r>
      <w:r w:rsidRPr="002A200E">
        <w:rPr>
          <w:rFonts w:cs="Arial"/>
          <w:szCs w:val="24"/>
        </w:rPr>
        <w:t xml:space="preserve">the </w:t>
      </w:r>
      <w:r>
        <w:rPr>
          <w:rFonts w:cs="Arial"/>
          <w:szCs w:val="24"/>
        </w:rPr>
        <w:t xml:space="preserve">impugned </w:t>
      </w:r>
      <w:r w:rsidRPr="002A200E">
        <w:rPr>
          <w:rFonts w:cs="Arial"/>
          <w:szCs w:val="24"/>
        </w:rPr>
        <w:t>comments made by third parties had</w:t>
      </w:r>
      <w:r>
        <w:rPr>
          <w:rFonts w:cs="Arial"/>
          <w:szCs w:val="24"/>
        </w:rPr>
        <w:t xml:space="preserve"> in fact been</w:t>
      </w:r>
      <w:r w:rsidRPr="002A200E">
        <w:rPr>
          <w:rFonts w:cs="Arial"/>
          <w:szCs w:val="24"/>
        </w:rPr>
        <w:t xml:space="preserve"> </w:t>
      </w:r>
      <w:r w:rsidRPr="002A200E">
        <w:rPr>
          <w:rFonts w:cs="Arial"/>
          <w:i/>
          <w:szCs w:val="24"/>
        </w:rPr>
        <w:t>published</w:t>
      </w:r>
      <w:r>
        <w:rPr>
          <w:rFonts w:cs="Arial"/>
          <w:szCs w:val="24"/>
        </w:rPr>
        <w:t xml:space="preserve"> by </w:t>
      </w:r>
      <w:r w:rsidRPr="002A200E">
        <w:rPr>
          <w:rFonts w:cs="Arial"/>
          <w:szCs w:val="24"/>
        </w:rPr>
        <w:t>the Appellants</w:t>
      </w:r>
      <w:r>
        <w:rPr>
          <w:rFonts w:cs="Arial"/>
          <w:szCs w:val="24"/>
        </w:rPr>
        <w:t>.</w:t>
      </w:r>
      <w:r w:rsidRPr="002A200E">
        <w:rPr>
          <w:rFonts w:cs="Arial"/>
          <w:szCs w:val="24"/>
        </w:rPr>
        <w:t xml:space="preserve"> </w:t>
      </w:r>
      <w:r>
        <w:rPr>
          <w:rFonts w:cs="Arial"/>
          <w:szCs w:val="24"/>
        </w:rPr>
        <w:t xml:space="preserve"> </w:t>
      </w:r>
      <w:r w:rsidRPr="002A200E">
        <w:rPr>
          <w:rFonts w:cs="Arial"/>
          <w:szCs w:val="24"/>
        </w:rPr>
        <w:t>The separate question in each proceeding was</w:t>
      </w:r>
      <w:r>
        <w:rPr>
          <w:rFonts w:cs="Arial"/>
          <w:szCs w:val="24"/>
        </w:rPr>
        <w:t xml:space="preserve"> as follows</w:t>
      </w:r>
      <w:r w:rsidRPr="002A200E">
        <w:rPr>
          <w:rFonts w:cs="Arial"/>
          <w:szCs w:val="24"/>
        </w:rPr>
        <w:t>:</w:t>
      </w:r>
    </w:p>
    <w:p w14:paraId="2D71B2AE" w14:textId="77777777" w:rsidR="00DB6DAD" w:rsidRPr="002A200E" w:rsidRDefault="00DB6DAD" w:rsidP="00DB6DAD">
      <w:pPr>
        <w:jc w:val="both"/>
        <w:rPr>
          <w:rFonts w:cs="Arial"/>
          <w:szCs w:val="24"/>
        </w:rPr>
      </w:pPr>
    </w:p>
    <w:p w14:paraId="7DE0934D" w14:textId="77777777" w:rsidR="00DB6DAD" w:rsidRPr="002A200E" w:rsidRDefault="00DB6DAD" w:rsidP="00DB6DAD">
      <w:pPr>
        <w:ind w:left="426" w:right="283"/>
        <w:jc w:val="both"/>
        <w:rPr>
          <w:rFonts w:cs="Arial"/>
          <w:i/>
          <w:szCs w:val="24"/>
        </w:rPr>
      </w:pPr>
      <w:r>
        <w:rPr>
          <w:rFonts w:cs="Arial"/>
          <w:i/>
          <w:szCs w:val="24"/>
        </w:rPr>
        <w:t>W</w:t>
      </w:r>
      <w:r w:rsidRPr="002A200E">
        <w:rPr>
          <w:rFonts w:cs="Arial"/>
          <w:i/>
          <w:szCs w:val="24"/>
        </w:rPr>
        <w:t>hether the plaintiff has established the publication element of the cause of action of defamation against the defendant in respect of each of the Facebook comments by third party users?</w:t>
      </w:r>
    </w:p>
    <w:p w14:paraId="2B7FE5DD" w14:textId="77777777" w:rsidR="00DB6DAD" w:rsidRPr="002A200E" w:rsidRDefault="00DB6DAD" w:rsidP="00DB6DAD">
      <w:pPr>
        <w:jc w:val="both"/>
        <w:rPr>
          <w:rFonts w:cs="Arial"/>
          <w:szCs w:val="24"/>
        </w:rPr>
      </w:pPr>
    </w:p>
    <w:p w14:paraId="64A2108C" w14:textId="77777777" w:rsidR="00DB6DAD" w:rsidRPr="002A200E" w:rsidRDefault="00DB6DAD" w:rsidP="00DB6DAD">
      <w:pPr>
        <w:jc w:val="both"/>
        <w:rPr>
          <w:rFonts w:cs="Arial"/>
          <w:szCs w:val="24"/>
        </w:rPr>
      </w:pPr>
      <w:r w:rsidRPr="002A200E">
        <w:rPr>
          <w:rFonts w:cs="Arial"/>
          <w:szCs w:val="24"/>
        </w:rPr>
        <w:t>Th</w:t>
      </w:r>
      <w:r>
        <w:rPr>
          <w:rFonts w:cs="Arial"/>
          <w:szCs w:val="24"/>
        </w:rPr>
        <w:t>at</w:t>
      </w:r>
      <w:r w:rsidRPr="002A200E">
        <w:rPr>
          <w:rFonts w:cs="Arial"/>
          <w:szCs w:val="24"/>
        </w:rPr>
        <w:t xml:space="preserve"> question was answered “Yes” by Justice Rothman on 24 June 2019.</w:t>
      </w:r>
    </w:p>
    <w:p w14:paraId="3861ACB7" w14:textId="77777777" w:rsidR="00DB6DAD" w:rsidRPr="002A200E" w:rsidRDefault="00DB6DAD" w:rsidP="00DB6DAD">
      <w:pPr>
        <w:jc w:val="both"/>
        <w:rPr>
          <w:rFonts w:cs="Arial"/>
          <w:szCs w:val="24"/>
        </w:rPr>
      </w:pPr>
    </w:p>
    <w:p w14:paraId="162BCADD" w14:textId="77777777" w:rsidR="00DB6DAD" w:rsidRPr="002A200E" w:rsidRDefault="00DB6DAD" w:rsidP="00DB6DAD">
      <w:pPr>
        <w:jc w:val="both"/>
        <w:rPr>
          <w:rFonts w:cs="Arial"/>
          <w:szCs w:val="24"/>
        </w:rPr>
      </w:pPr>
      <w:r w:rsidRPr="002A200E">
        <w:rPr>
          <w:rFonts w:cs="Arial"/>
          <w:szCs w:val="24"/>
        </w:rPr>
        <w:t>Appeals by the Appellants were unanimously dismissed by the Court of Appeal (</w:t>
      </w:r>
      <w:proofErr w:type="spellStart"/>
      <w:r w:rsidRPr="002A200E">
        <w:rPr>
          <w:rFonts w:cs="Arial"/>
          <w:szCs w:val="24"/>
        </w:rPr>
        <w:t>Basten</w:t>
      </w:r>
      <w:proofErr w:type="spellEnd"/>
      <w:r w:rsidRPr="002A200E">
        <w:rPr>
          <w:rFonts w:cs="Arial"/>
          <w:szCs w:val="24"/>
        </w:rPr>
        <w:t xml:space="preserve"> and Meagher</w:t>
      </w:r>
      <w:r>
        <w:rPr>
          <w:rFonts w:cs="Arial"/>
          <w:iCs/>
          <w:szCs w:val="24"/>
        </w:rPr>
        <w:t> </w:t>
      </w:r>
      <w:r w:rsidRPr="002A200E">
        <w:rPr>
          <w:rFonts w:cs="Arial"/>
          <w:szCs w:val="24"/>
        </w:rPr>
        <w:t>JJA and Simpson</w:t>
      </w:r>
      <w:r>
        <w:rPr>
          <w:rFonts w:cs="Arial"/>
          <w:iCs/>
          <w:szCs w:val="24"/>
        </w:rPr>
        <w:t> </w:t>
      </w:r>
      <w:r w:rsidRPr="002A200E">
        <w:rPr>
          <w:rFonts w:cs="Arial"/>
          <w:szCs w:val="24"/>
        </w:rPr>
        <w:t xml:space="preserve">AJA).  Their </w:t>
      </w:r>
      <w:proofErr w:type="spellStart"/>
      <w:r w:rsidRPr="002A200E">
        <w:rPr>
          <w:rFonts w:cs="Arial"/>
          <w:szCs w:val="24"/>
        </w:rPr>
        <w:t>Honours</w:t>
      </w:r>
      <w:proofErr w:type="spellEnd"/>
      <w:r w:rsidRPr="002A200E">
        <w:rPr>
          <w:rFonts w:cs="Arial"/>
          <w:szCs w:val="24"/>
        </w:rPr>
        <w:t xml:space="preserve"> found that the Appellants, although not actively involved in the making of each third-party comment posted on their Facebook page, had</w:t>
      </w:r>
      <w:r>
        <w:rPr>
          <w:rFonts w:cs="Arial"/>
          <w:szCs w:val="24"/>
        </w:rPr>
        <w:t xml:space="preserve"> </w:t>
      </w:r>
      <w:r w:rsidRPr="002A200E">
        <w:rPr>
          <w:rFonts w:cs="Arial"/>
          <w:szCs w:val="24"/>
        </w:rPr>
        <w:t xml:space="preserve">participated </w:t>
      </w:r>
      <w:r>
        <w:rPr>
          <w:rFonts w:cs="Arial"/>
          <w:szCs w:val="24"/>
        </w:rPr>
        <w:t xml:space="preserve">to the relevant degree in </w:t>
      </w:r>
      <w:r w:rsidRPr="002A200E">
        <w:rPr>
          <w:rFonts w:cs="Arial"/>
          <w:szCs w:val="24"/>
        </w:rPr>
        <w:t>the communication of those comments.  That was by the Appellants making their own posts on their Facebook pages publicly viewable and by</w:t>
      </w:r>
      <w:r>
        <w:rPr>
          <w:rFonts w:cs="Arial"/>
          <w:szCs w:val="24"/>
        </w:rPr>
        <w:t xml:space="preserve"> </w:t>
      </w:r>
      <w:r w:rsidRPr="002A200E">
        <w:rPr>
          <w:rFonts w:cs="Arial"/>
          <w:szCs w:val="24"/>
        </w:rPr>
        <w:t xml:space="preserve">inviting and facilitating the posting of </w:t>
      </w:r>
      <w:r>
        <w:rPr>
          <w:rFonts w:cs="Arial"/>
          <w:szCs w:val="24"/>
        </w:rPr>
        <w:t xml:space="preserve">publicly viewable </w:t>
      </w:r>
      <w:r w:rsidRPr="002A200E">
        <w:rPr>
          <w:rFonts w:cs="Arial"/>
          <w:szCs w:val="24"/>
        </w:rPr>
        <w:t xml:space="preserve">comments by </w:t>
      </w:r>
      <w:r>
        <w:rPr>
          <w:rFonts w:cs="Arial"/>
          <w:szCs w:val="24"/>
        </w:rPr>
        <w:t xml:space="preserve">other </w:t>
      </w:r>
      <w:r w:rsidRPr="002A200E">
        <w:rPr>
          <w:rFonts w:cs="Arial"/>
          <w:szCs w:val="24"/>
        </w:rPr>
        <w:t>users</w:t>
      </w:r>
      <w:r>
        <w:rPr>
          <w:rFonts w:cs="Arial"/>
          <w:szCs w:val="24"/>
        </w:rPr>
        <w:t xml:space="preserve"> of Facebook</w:t>
      </w:r>
      <w:r w:rsidRPr="002A200E">
        <w:rPr>
          <w:rFonts w:cs="Arial"/>
          <w:szCs w:val="24"/>
        </w:rPr>
        <w:t xml:space="preserve">.  Such participation was </w:t>
      </w:r>
      <w:proofErr w:type="gramStart"/>
      <w:r w:rsidRPr="002A200E">
        <w:rPr>
          <w:rFonts w:cs="Arial"/>
          <w:szCs w:val="24"/>
        </w:rPr>
        <w:t>sufficient</w:t>
      </w:r>
      <w:proofErr w:type="gramEnd"/>
      <w:r w:rsidRPr="002A200E">
        <w:rPr>
          <w:rFonts w:cs="Arial"/>
          <w:szCs w:val="24"/>
        </w:rPr>
        <w:t xml:space="preserve"> for the Appellants to be found to have published the comments</w:t>
      </w:r>
      <w:r>
        <w:rPr>
          <w:rFonts w:cs="Arial"/>
          <w:szCs w:val="24"/>
        </w:rPr>
        <w:t>, as understood in the law of defamation</w:t>
      </w:r>
      <w:r w:rsidRPr="002A200E">
        <w:rPr>
          <w:rFonts w:cs="Arial"/>
          <w:szCs w:val="24"/>
        </w:rPr>
        <w:t>.</w:t>
      </w:r>
    </w:p>
    <w:p w14:paraId="291246B8" w14:textId="77777777" w:rsidR="00DB6DAD" w:rsidRPr="001F739E" w:rsidRDefault="00DB6DAD" w:rsidP="00DB6DAD">
      <w:pPr>
        <w:jc w:val="both"/>
        <w:rPr>
          <w:rFonts w:cs="Arial"/>
          <w:szCs w:val="24"/>
        </w:rPr>
      </w:pPr>
    </w:p>
    <w:p w14:paraId="3D2FD0CB" w14:textId="77777777" w:rsidR="00DB6DAD" w:rsidRPr="001F739E" w:rsidRDefault="00DB6DAD" w:rsidP="00DB6DAD">
      <w:pPr>
        <w:jc w:val="both"/>
        <w:rPr>
          <w:rFonts w:cs="Arial"/>
          <w:szCs w:val="24"/>
        </w:rPr>
      </w:pPr>
      <w:r>
        <w:rPr>
          <w:rFonts w:cs="Arial"/>
          <w:szCs w:val="24"/>
        </w:rPr>
        <w:t>In each appeal, t</w:t>
      </w:r>
      <w:r w:rsidRPr="001F739E">
        <w:rPr>
          <w:rFonts w:cs="Arial"/>
          <w:szCs w:val="24"/>
        </w:rPr>
        <w:t xml:space="preserve">he </w:t>
      </w:r>
      <w:r>
        <w:rPr>
          <w:rFonts w:cs="Arial"/>
          <w:szCs w:val="24"/>
        </w:rPr>
        <w:t xml:space="preserve">sole </w:t>
      </w:r>
      <w:r w:rsidRPr="001F739E">
        <w:rPr>
          <w:rFonts w:cs="Arial"/>
          <w:szCs w:val="24"/>
        </w:rPr>
        <w:t xml:space="preserve">ground of appeal </w:t>
      </w:r>
      <w:r>
        <w:rPr>
          <w:rFonts w:cs="Arial"/>
          <w:szCs w:val="24"/>
        </w:rPr>
        <w:t>is</w:t>
      </w:r>
      <w:r w:rsidRPr="001F739E">
        <w:rPr>
          <w:rFonts w:cs="Arial"/>
          <w:szCs w:val="24"/>
        </w:rPr>
        <w:t>:</w:t>
      </w:r>
    </w:p>
    <w:p w14:paraId="6E69CE51" w14:textId="77777777" w:rsidR="00DB6DAD" w:rsidRPr="001F739E" w:rsidRDefault="00DB6DAD" w:rsidP="00DB6DAD">
      <w:pPr>
        <w:jc w:val="both"/>
        <w:rPr>
          <w:rFonts w:cs="Arial"/>
          <w:szCs w:val="24"/>
        </w:rPr>
      </w:pPr>
    </w:p>
    <w:p w14:paraId="6C1CD9B5" w14:textId="77777777" w:rsidR="00DB6DAD" w:rsidRPr="00B9435D" w:rsidRDefault="00DB6DAD" w:rsidP="00DB6DAD">
      <w:pPr>
        <w:pStyle w:val="ListParagraph"/>
        <w:numPr>
          <w:ilvl w:val="0"/>
          <w:numId w:val="13"/>
        </w:numPr>
        <w:ind w:left="426" w:hanging="426"/>
        <w:jc w:val="both"/>
        <w:rPr>
          <w:rFonts w:cs="Arial"/>
          <w:sz w:val="24"/>
          <w:szCs w:val="24"/>
        </w:rPr>
      </w:pPr>
      <w:r w:rsidRPr="001F739E">
        <w:rPr>
          <w:sz w:val="24"/>
          <w:szCs w:val="24"/>
        </w:rPr>
        <w:t xml:space="preserve">The </w:t>
      </w:r>
      <w:r>
        <w:rPr>
          <w:sz w:val="24"/>
          <w:szCs w:val="24"/>
        </w:rPr>
        <w:t>Court of Appeal erred in concluding that, for the purposes of the tort of defamation, the Appellant was the publisher of third-party comments on its Facebook page.</w:t>
      </w:r>
    </w:p>
    <w:p w14:paraId="0D7A3ABF" w14:textId="52C2B720" w:rsidR="00DB6DAD" w:rsidRDefault="00DB6DAD">
      <w:r>
        <w:br w:type="page"/>
      </w:r>
    </w:p>
    <w:p w14:paraId="1E743728" w14:textId="77777777" w:rsidR="00BF0385" w:rsidRPr="00EF306B" w:rsidRDefault="00BF0385" w:rsidP="00BF0385">
      <w:pPr>
        <w:pStyle w:val="NoSpacing"/>
        <w:rPr>
          <w:rFonts w:ascii="Arial" w:eastAsia="Times New Roman" w:hAnsi="Arial" w:cs="Arial"/>
          <w:b/>
          <w:color w:val="000000"/>
          <w:sz w:val="24"/>
          <w:szCs w:val="24"/>
          <w:u w:val="single"/>
          <w:lang w:eastAsia="en-AU"/>
        </w:rPr>
      </w:pPr>
      <w:r w:rsidRPr="00EF306B">
        <w:rPr>
          <w:rFonts w:ascii="Arial" w:eastAsia="Times New Roman" w:hAnsi="Arial" w:cs="Arial"/>
          <w:b/>
          <w:color w:val="000000"/>
          <w:sz w:val="24"/>
          <w:szCs w:val="24"/>
          <w:u w:val="single"/>
          <w:lang w:eastAsia="en-AU"/>
        </w:rPr>
        <w:lastRenderedPageBreak/>
        <w:t xml:space="preserve">EDWARDS v THE </w:t>
      </w:r>
      <w:proofErr w:type="gramStart"/>
      <w:r w:rsidRPr="00EF306B">
        <w:rPr>
          <w:rFonts w:ascii="Arial" w:eastAsia="Times New Roman" w:hAnsi="Arial" w:cs="Arial"/>
          <w:b/>
          <w:color w:val="000000"/>
          <w:sz w:val="24"/>
          <w:szCs w:val="24"/>
          <w:u w:val="single"/>
          <w:lang w:eastAsia="en-AU"/>
        </w:rPr>
        <w:t>QUEEN</w:t>
      </w:r>
      <w:r w:rsidRPr="00EF306B">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EF306B">
        <w:rPr>
          <w:rFonts w:ascii="Arial" w:eastAsia="Times New Roman" w:hAnsi="Arial" w:cs="Arial"/>
          <w:b/>
          <w:color w:val="000000"/>
          <w:sz w:val="24"/>
          <w:szCs w:val="24"/>
          <w:lang w:eastAsia="en-AU"/>
        </w:rPr>
        <w:t>(</w:t>
      </w:r>
      <w:proofErr w:type="gramEnd"/>
      <w:r w:rsidRPr="00EF306B">
        <w:rPr>
          <w:rFonts w:ascii="Arial" w:eastAsia="Times New Roman" w:hAnsi="Arial" w:cs="Arial"/>
          <w:b/>
          <w:color w:val="000000"/>
          <w:sz w:val="24"/>
          <w:szCs w:val="24"/>
          <w:lang w:eastAsia="en-AU"/>
        </w:rPr>
        <w:t>S235/2020)</w:t>
      </w:r>
    </w:p>
    <w:p w14:paraId="6B74C941" w14:textId="77777777" w:rsidR="00BF0385" w:rsidRPr="00A920AB" w:rsidRDefault="00BF0385" w:rsidP="00BF0385">
      <w:pPr>
        <w:ind w:left="2694" w:hanging="2694"/>
        <w:rPr>
          <w:rFonts w:cs="Arial"/>
          <w:szCs w:val="24"/>
        </w:rPr>
      </w:pPr>
    </w:p>
    <w:p w14:paraId="7A59A6A4" w14:textId="77777777" w:rsidR="00BF0385" w:rsidRPr="00BC73C6" w:rsidRDefault="00BF0385" w:rsidP="00BF0385">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Court of Criminal Appeal of the Supreme Court of </w:t>
      </w:r>
      <w:r>
        <w:rPr>
          <w:rFonts w:cs="Arial"/>
          <w:szCs w:val="24"/>
        </w:rPr>
        <w:br/>
        <w:t xml:space="preserve">New South </w:t>
      </w:r>
      <w:r w:rsidRPr="00BC73C6">
        <w:rPr>
          <w:rFonts w:cs="Arial"/>
          <w:szCs w:val="24"/>
        </w:rPr>
        <w:t xml:space="preserve">Wales </w:t>
      </w:r>
    </w:p>
    <w:p w14:paraId="5C5ACE4C" w14:textId="77777777" w:rsidR="00BF0385" w:rsidRPr="006A1C3E" w:rsidRDefault="00BF0385" w:rsidP="00BF0385">
      <w:pPr>
        <w:ind w:left="2694" w:hanging="2694"/>
        <w:rPr>
          <w:rFonts w:cs="Arial"/>
          <w:szCs w:val="24"/>
        </w:rPr>
      </w:pPr>
      <w:r w:rsidRPr="00BC73C6">
        <w:rPr>
          <w:rFonts w:cs="Arial"/>
          <w:szCs w:val="24"/>
        </w:rPr>
        <w:t xml:space="preserve"> </w:t>
      </w:r>
      <w:r w:rsidRPr="00BC73C6">
        <w:rPr>
          <w:rFonts w:cs="Arial"/>
          <w:szCs w:val="24"/>
        </w:rPr>
        <w:tab/>
        <w:t>[2020] NSWCCA 57</w:t>
      </w:r>
    </w:p>
    <w:p w14:paraId="22A92908" w14:textId="77777777" w:rsidR="00BF0385" w:rsidRPr="006A1C3E" w:rsidRDefault="00BF0385" w:rsidP="00BF0385">
      <w:pPr>
        <w:ind w:left="2694" w:hanging="2694"/>
        <w:rPr>
          <w:rFonts w:cs="Arial"/>
          <w:szCs w:val="24"/>
        </w:rPr>
      </w:pPr>
      <w:r w:rsidRPr="006A1C3E">
        <w:rPr>
          <w:rFonts w:cs="Arial"/>
          <w:szCs w:val="24"/>
        </w:rPr>
        <w:tab/>
      </w:r>
    </w:p>
    <w:p w14:paraId="4E97CF34" w14:textId="77777777" w:rsidR="00BF0385" w:rsidRPr="006A1C3E" w:rsidRDefault="00BF0385" w:rsidP="00BF0385">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3 April 2020</w:t>
      </w:r>
    </w:p>
    <w:p w14:paraId="30F4D9AE" w14:textId="77777777" w:rsidR="00BF0385" w:rsidRPr="006A1C3E" w:rsidRDefault="00BF0385" w:rsidP="00BF0385">
      <w:pPr>
        <w:ind w:left="2694" w:hanging="2694"/>
        <w:rPr>
          <w:rFonts w:cs="Arial"/>
          <w:szCs w:val="24"/>
        </w:rPr>
      </w:pPr>
    </w:p>
    <w:p w14:paraId="3C4FAF3E" w14:textId="77777777" w:rsidR="00BF0385" w:rsidRDefault="00BF0385" w:rsidP="00BF0385">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8 December</w:t>
      </w:r>
      <w:r w:rsidRPr="006A1C3E">
        <w:rPr>
          <w:rFonts w:cs="Arial"/>
          <w:szCs w:val="24"/>
        </w:rPr>
        <w:t xml:space="preserve"> 2020</w:t>
      </w:r>
    </w:p>
    <w:p w14:paraId="5802BEDB" w14:textId="77777777" w:rsidR="00BF0385" w:rsidRDefault="00BF0385" w:rsidP="00BF0385">
      <w:pPr>
        <w:ind w:left="2694" w:hanging="2694"/>
        <w:rPr>
          <w:rFonts w:cs="Arial"/>
          <w:szCs w:val="24"/>
        </w:rPr>
      </w:pPr>
    </w:p>
    <w:p w14:paraId="7C60AF85" w14:textId="77777777" w:rsidR="00BF0385" w:rsidRDefault="00BF0385" w:rsidP="00BF0385">
      <w:pPr>
        <w:jc w:val="both"/>
        <w:rPr>
          <w:rFonts w:cs="Arial"/>
          <w:szCs w:val="24"/>
        </w:rPr>
      </w:pPr>
      <w:r>
        <w:rPr>
          <w:rFonts w:cs="Arial"/>
          <w:szCs w:val="24"/>
        </w:rPr>
        <w:t>The Appellant was tried before a jury on an indictment containing six</w:t>
      </w:r>
      <w:r w:rsidRPr="004E743F">
        <w:rPr>
          <w:rFonts w:cs="Arial"/>
          <w:szCs w:val="24"/>
        </w:rPr>
        <w:t xml:space="preserve"> counts of aggravated sexual intercourse with a person aged above 10 and below</w:t>
      </w:r>
      <w:r>
        <w:rPr>
          <w:rFonts w:cs="Arial"/>
          <w:szCs w:val="24"/>
        </w:rPr>
        <w:t xml:space="preserve"> 14 and one alternative count of indecent assault of a person aged below 16</w:t>
      </w:r>
      <w:r w:rsidRPr="00D94501">
        <w:rPr>
          <w:rFonts w:cs="Arial"/>
          <w:szCs w:val="24"/>
        </w:rPr>
        <w:t xml:space="preserve"> </w:t>
      </w:r>
      <w:r>
        <w:rPr>
          <w:rFonts w:cs="Arial"/>
          <w:szCs w:val="24"/>
        </w:rPr>
        <w:t>contrary to ss</w:t>
      </w:r>
      <w:r>
        <w:rPr>
          <w:rFonts w:cs="Arial"/>
          <w:iCs/>
          <w:szCs w:val="24"/>
        </w:rPr>
        <w:t> </w:t>
      </w:r>
      <w:r>
        <w:rPr>
          <w:rFonts w:cs="Arial"/>
          <w:szCs w:val="24"/>
        </w:rPr>
        <w:t xml:space="preserve">66C and 61M(2) of the </w:t>
      </w:r>
      <w:r>
        <w:rPr>
          <w:rFonts w:cs="Arial"/>
          <w:i/>
          <w:szCs w:val="24"/>
        </w:rPr>
        <w:t xml:space="preserve">Crimes Act 1900 </w:t>
      </w:r>
      <w:r>
        <w:rPr>
          <w:rFonts w:cs="Arial"/>
          <w:szCs w:val="24"/>
        </w:rPr>
        <w:t xml:space="preserve">(NSW).  On 22 May 2018, the jury found the Appellant guilty on all six counts of aggravated sexual intercourse. </w:t>
      </w:r>
    </w:p>
    <w:p w14:paraId="243A8AF6" w14:textId="77777777" w:rsidR="00BF0385" w:rsidRDefault="00BF0385" w:rsidP="00BF0385">
      <w:pPr>
        <w:jc w:val="both"/>
        <w:rPr>
          <w:rFonts w:cs="Arial"/>
          <w:szCs w:val="24"/>
        </w:rPr>
      </w:pPr>
    </w:p>
    <w:p w14:paraId="74F1CCC4" w14:textId="4FF662E3" w:rsidR="00BF0385" w:rsidRDefault="00BF0385" w:rsidP="00BF0385">
      <w:pPr>
        <w:jc w:val="both"/>
        <w:rPr>
          <w:rFonts w:cs="Arial"/>
          <w:szCs w:val="24"/>
        </w:rPr>
      </w:pPr>
      <w:r>
        <w:rPr>
          <w:rFonts w:cs="Arial"/>
          <w:szCs w:val="24"/>
        </w:rPr>
        <w:t xml:space="preserve">Prior to the trial, the Crown disclosed to the </w:t>
      </w:r>
      <w:proofErr w:type="spellStart"/>
      <w:r>
        <w:rPr>
          <w:rFonts w:cs="Arial"/>
          <w:szCs w:val="24"/>
        </w:rPr>
        <w:t>defence</w:t>
      </w:r>
      <w:proofErr w:type="spellEnd"/>
      <w:r>
        <w:rPr>
          <w:rFonts w:cs="Arial"/>
          <w:szCs w:val="24"/>
        </w:rPr>
        <w:t xml:space="preserve"> the existence of a copy of the contents of the Appellant’s mobile phone downloaded by police during their investigation (“the </w:t>
      </w:r>
      <w:proofErr w:type="spellStart"/>
      <w:r>
        <w:rPr>
          <w:rFonts w:cs="Arial"/>
          <w:szCs w:val="24"/>
        </w:rPr>
        <w:t>Cellebrite</w:t>
      </w:r>
      <w:proofErr w:type="spellEnd"/>
      <w:r>
        <w:rPr>
          <w:rFonts w:cs="Arial"/>
          <w:szCs w:val="24"/>
        </w:rPr>
        <w:t xml:space="preserve"> Download”). One business day prior to commencement of the trial, the Crown disclosed that it proposed to call a new witness.  The Crown did not disclose that the </w:t>
      </w:r>
      <w:r w:rsidRPr="005C1A48">
        <w:rPr>
          <w:rFonts w:cs="Arial"/>
          <w:szCs w:val="24"/>
        </w:rPr>
        <w:t xml:space="preserve">witness’ details had been obtained from the </w:t>
      </w:r>
      <w:proofErr w:type="spellStart"/>
      <w:r w:rsidRPr="005C1A48">
        <w:rPr>
          <w:rFonts w:cs="Arial"/>
          <w:szCs w:val="24"/>
        </w:rPr>
        <w:t>Cellebrite</w:t>
      </w:r>
      <w:proofErr w:type="spellEnd"/>
      <w:r w:rsidRPr="005C1A48">
        <w:rPr>
          <w:rFonts w:cs="Arial"/>
          <w:szCs w:val="24"/>
        </w:rPr>
        <w:t xml:space="preserve"> Download until after the </w:t>
      </w:r>
      <w:r>
        <w:rPr>
          <w:rFonts w:cs="Arial"/>
          <w:szCs w:val="24"/>
        </w:rPr>
        <w:t>parties</w:t>
      </w:r>
      <w:r w:rsidRPr="005C1A48">
        <w:rPr>
          <w:rFonts w:cs="Arial"/>
          <w:szCs w:val="24"/>
        </w:rPr>
        <w:t xml:space="preserve"> had closed their cases and addressed the jury</w:t>
      </w:r>
      <w:r>
        <w:rPr>
          <w:rFonts w:cs="Arial"/>
          <w:szCs w:val="24"/>
        </w:rPr>
        <w:t>.  T</w:t>
      </w:r>
      <w:r w:rsidRPr="005C1A48">
        <w:rPr>
          <w:rFonts w:cs="Arial"/>
          <w:szCs w:val="24"/>
        </w:rPr>
        <w:t xml:space="preserve">he contents of the </w:t>
      </w:r>
      <w:proofErr w:type="spellStart"/>
      <w:r w:rsidRPr="005C1A48">
        <w:rPr>
          <w:rFonts w:cs="Arial"/>
          <w:szCs w:val="24"/>
        </w:rPr>
        <w:t>Cellebrite</w:t>
      </w:r>
      <w:proofErr w:type="spellEnd"/>
      <w:r w:rsidRPr="005C1A48">
        <w:rPr>
          <w:rFonts w:cs="Arial"/>
          <w:szCs w:val="24"/>
        </w:rPr>
        <w:t xml:space="preserve"> Download were not </w:t>
      </w:r>
      <w:r>
        <w:rPr>
          <w:rFonts w:cs="Arial"/>
          <w:szCs w:val="24"/>
        </w:rPr>
        <w:t xml:space="preserve">requested by the </w:t>
      </w:r>
      <w:proofErr w:type="spellStart"/>
      <w:r>
        <w:rPr>
          <w:rFonts w:cs="Arial"/>
          <w:szCs w:val="24"/>
        </w:rPr>
        <w:t>defence</w:t>
      </w:r>
      <w:proofErr w:type="spellEnd"/>
      <w:r>
        <w:rPr>
          <w:rFonts w:cs="Arial"/>
          <w:szCs w:val="24"/>
        </w:rPr>
        <w:t xml:space="preserve"> until after closing addresses and were </w:t>
      </w:r>
      <w:r w:rsidRPr="005C1A48">
        <w:rPr>
          <w:rFonts w:cs="Arial"/>
          <w:szCs w:val="24"/>
        </w:rPr>
        <w:t xml:space="preserve">provided </w:t>
      </w:r>
      <w:r>
        <w:rPr>
          <w:rFonts w:cs="Arial"/>
          <w:szCs w:val="24"/>
        </w:rPr>
        <w:t xml:space="preserve">by the Crown to the </w:t>
      </w:r>
      <w:proofErr w:type="spellStart"/>
      <w:r>
        <w:rPr>
          <w:rFonts w:cs="Arial"/>
          <w:szCs w:val="24"/>
        </w:rPr>
        <w:t>defence</w:t>
      </w:r>
      <w:proofErr w:type="spellEnd"/>
      <w:r>
        <w:rPr>
          <w:rFonts w:cs="Arial"/>
          <w:szCs w:val="24"/>
        </w:rPr>
        <w:t xml:space="preserve"> </w:t>
      </w:r>
      <w:r w:rsidRPr="005C1A48">
        <w:rPr>
          <w:rFonts w:cs="Arial"/>
          <w:szCs w:val="24"/>
        </w:rPr>
        <w:t>after the verdict was entered.</w:t>
      </w:r>
    </w:p>
    <w:p w14:paraId="7B496D64" w14:textId="77777777" w:rsidR="00BF0385" w:rsidRDefault="00BF0385" w:rsidP="00BF0385">
      <w:pPr>
        <w:jc w:val="both"/>
        <w:rPr>
          <w:rFonts w:cs="Arial"/>
          <w:szCs w:val="24"/>
        </w:rPr>
      </w:pPr>
    </w:p>
    <w:p w14:paraId="4AF68EA3" w14:textId="77777777" w:rsidR="00BF0385" w:rsidRDefault="00BF0385" w:rsidP="00BF0385">
      <w:pPr>
        <w:jc w:val="both"/>
        <w:rPr>
          <w:rFonts w:cs="Arial"/>
          <w:szCs w:val="24"/>
        </w:rPr>
      </w:pPr>
      <w:r>
        <w:rPr>
          <w:rFonts w:cs="Arial"/>
          <w:szCs w:val="24"/>
        </w:rPr>
        <w:t xml:space="preserve">On an </w:t>
      </w:r>
      <w:r w:rsidRPr="005C1A48">
        <w:rPr>
          <w:rFonts w:cs="Arial"/>
          <w:szCs w:val="24"/>
        </w:rPr>
        <w:t>application for leave to appeal</w:t>
      </w:r>
      <w:r>
        <w:rPr>
          <w:rFonts w:cs="Arial"/>
          <w:szCs w:val="24"/>
        </w:rPr>
        <w:t xml:space="preserve"> against conviction,</w:t>
      </w:r>
      <w:r w:rsidRPr="005C1A48">
        <w:rPr>
          <w:rFonts w:cs="Arial"/>
          <w:szCs w:val="24"/>
        </w:rPr>
        <w:t xml:space="preserve"> the Appellant contended, amongst other things, that the </w:t>
      </w:r>
      <w:r>
        <w:rPr>
          <w:rFonts w:cs="Arial"/>
          <w:szCs w:val="24"/>
        </w:rPr>
        <w:t xml:space="preserve">Crown had breached its duty of prosecutorial disclosure in relation to the contents of the </w:t>
      </w:r>
      <w:proofErr w:type="spellStart"/>
      <w:r>
        <w:rPr>
          <w:rFonts w:cs="Arial"/>
          <w:szCs w:val="24"/>
        </w:rPr>
        <w:t>Cellebrite</w:t>
      </w:r>
      <w:proofErr w:type="spellEnd"/>
      <w:r>
        <w:rPr>
          <w:rFonts w:cs="Arial"/>
          <w:szCs w:val="24"/>
        </w:rPr>
        <w:t xml:space="preserve"> Download.  The Court of Criminal Appeal (Leeming</w:t>
      </w:r>
      <w:r>
        <w:rPr>
          <w:rFonts w:cs="Arial"/>
          <w:iCs/>
          <w:szCs w:val="24"/>
        </w:rPr>
        <w:t> </w:t>
      </w:r>
      <w:r>
        <w:rPr>
          <w:rFonts w:cs="Arial"/>
          <w:szCs w:val="24"/>
        </w:rPr>
        <w:t>JA, Johnson and Harrison</w:t>
      </w:r>
      <w:r>
        <w:rPr>
          <w:rFonts w:cs="Arial"/>
          <w:iCs/>
          <w:szCs w:val="24"/>
        </w:rPr>
        <w:t> </w:t>
      </w:r>
      <w:r>
        <w:rPr>
          <w:rFonts w:cs="Arial"/>
          <w:szCs w:val="24"/>
        </w:rPr>
        <w:t xml:space="preserve">JJ agreeing) granted the Appellant leave to appeal and dismissed the appeal.  The Court held that it was not part of the Crown’s obligation to disclose how the new witness was identified in circumstances where the Crown had disclosed the existence of the </w:t>
      </w:r>
      <w:proofErr w:type="spellStart"/>
      <w:r>
        <w:rPr>
          <w:rFonts w:cs="Arial"/>
          <w:szCs w:val="24"/>
        </w:rPr>
        <w:t>Cellebrite</w:t>
      </w:r>
      <w:proofErr w:type="spellEnd"/>
      <w:r>
        <w:rPr>
          <w:rFonts w:cs="Arial"/>
          <w:szCs w:val="24"/>
        </w:rPr>
        <w:t xml:space="preserve"> Download.  Nor was the Crown obligated to inform the </w:t>
      </w:r>
      <w:proofErr w:type="spellStart"/>
      <w:r>
        <w:rPr>
          <w:rFonts w:cs="Arial"/>
          <w:szCs w:val="24"/>
        </w:rPr>
        <w:t>defence</w:t>
      </w:r>
      <w:proofErr w:type="spellEnd"/>
      <w:r>
        <w:rPr>
          <w:rFonts w:cs="Arial"/>
          <w:szCs w:val="24"/>
        </w:rPr>
        <w:t xml:space="preserve">, either in general terms or by specific reference to </w:t>
      </w:r>
      <w:proofErr w:type="gramStart"/>
      <w:r>
        <w:rPr>
          <w:rFonts w:cs="Arial"/>
          <w:szCs w:val="24"/>
        </w:rPr>
        <w:t>particular text</w:t>
      </w:r>
      <w:proofErr w:type="gramEnd"/>
      <w:r>
        <w:rPr>
          <w:rFonts w:cs="Arial"/>
          <w:szCs w:val="24"/>
        </w:rPr>
        <w:t xml:space="preserve"> messages, that the information extracted from the Appellant’s mobile may be of utility to the </w:t>
      </w:r>
      <w:proofErr w:type="spellStart"/>
      <w:r>
        <w:rPr>
          <w:rFonts w:cs="Arial"/>
          <w:szCs w:val="24"/>
        </w:rPr>
        <w:t>defence</w:t>
      </w:r>
      <w:proofErr w:type="spellEnd"/>
      <w:r>
        <w:rPr>
          <w:rFonts w:cs="Arial"/>
          <w:szCs w:val="24"/>
        </w:rPr>
        <w:t xml:space="preserve">.  </w:t>
      </w:r>
    </w:p>
    <w:p w14:paraId="6FCAE00C" w14:textId="77777777" w:rsidR="00BF0385" w:rsidRDefault="00BF0385" w:rsidP="00BF0385">
      <w:pPr>
        <w:ind w:left="2694" w:hanging="2694"/>
        <w:rPr>
          <w:rFonts w:cs="Arial"/>
          <w:szCs w:val="24"/>
        </w:rPr>
      </w:pPr>
    </w:p>
    <w:p w14:paraId="55022E95" w14:textId="77777777" w:rsidR="00BF0385" w:rsidRDefault="00BF0385" w:rsidP="00BF0385">
      <w:pPr>
        <w:ind w:left="2694" w:hanging="2694"/>
        <w:rPr>
          <w:rFonts w:cs="Arial"/>
          <w:szCs w:val="24"/>
        </w:rPr>
      </w:pPr>
      <w:r>
        <w:rPr>
          <w:rFonts w:cs="Arial"/>
          <w:szCs w:val="24"/>
        </w:rPr>
        <w:t>The grounds of appeal are:</w:t>
      </w:r>
    </w:p>
    <w:p w14:paraId="4FC1FEA4" w14:textId="77777777" w:rsidR="00BF0385" w:rsidRDefault="00BF0385" w:rsidP="00BF0385">
      <w:pPr>
        <w:ind w:left="2694" w:hanging="2694"/>
        <w:rPr>
          <w:rFonts w:cs="Arial"/>
          <w:szCs w:val="24"/>
        </w:rPr>
      </w:pPr>
    </w:p>
    <w:p w14:paraId="6052C4B9" w14:textId="37B1E253" w:rsidR="00BF0385" w:rsidRDefault="00BF0385" w:rsidP="00BF0385">
      <w:pPr>
        <w:pStyle w:val="ListParagraph"/>
        <w:numPr>
          <w:ilvl w:val="0"/>
          <w:numId w:val="14"/>
        </w:numPr>
        <w:jc w:val="both"/>
        <w:rPr>
          <w:rFonts w:cs="Arial"/>
          <w:sz w:val="24"/>
          <w:szCs w:val="24"/>
        </w:rPr>
      </w:pPr>
      <w:r w:rsidRPr="00EF306B">
        <w:rPr>
          <w:rFonts w:cs="Arial"/>
          <w:sz w:val="24"/>
          <w:szCs w:val="24"/>
        </w:rPr>
        <w:t xml:space="preserve">The Crown failed to provide full and proper disclosure of the </w:t>
      </w:r>
      <w:proofErr w:type="spellStart"/>
      <w:r w:rsidRPr="00EF306B">
        <w:rPr>
          <w:rFonts w:cs="Arial"/>
          <w:sz w:val="24"/>
          <w:szCs w:val="24"/>
        </w:rPr>
        <w:t>Cellebrite</w:t>
      </w:r>
      <w:proofErr w:type="spellEnd"/>
      <w:r w:rsidRPr="00EF306B">
        <w:rPr>
          <w:rFonts w:cs="Arial"/>
          <w:sz w:val="24"/>
          <w:szCs w:val="24"/>
        </w:rPr>
        <w:t xml:space="preserve"> Download from which they obtained a critical witness; one business day prior to trial. ‘Disclosure’ by the Crown did not reach the standard applicable to s</w:t>
      </w:r>
      <w:r>
        <w:rPr>
          <w:rFonts w:cs="Arial"/>
          <w:iCs/>
          <w:szCs w:val="24"/>
        </w:rPr>
        <w:t> </w:t>
      </w:r>
      <w:r w:rsidRPr="00EF306B">
        <w:rPr>
          <w:rFonts w:cs="Arial"/>
          <w:sz w:val="24"/>
          <w:szCs w:val="24"/>
        </w:rPr>
        <w:t>142, s</w:t>
      </w:r>
      <w:r>
        <w:rPr>
          <w:rFonts w:cs="Arial"/>
          <w:iCs/>
          <w:szCs w:val="24"/>
        </w:rPr>
        <w:t> </w:t>
      </w:r>
      <w:r w:rsidRPr="00EF306B">
        <w:rPr>
          <w:rFonts w:cs="Arial"/>
          <w:sz w:val="24"/>
          <w:szCs w:val="24"/>
        </w:rPr>
        <w:t>62(1)(b)(c) or s</w:t>
      </w:r>
      <w:r>
        <w:rPr>
          <w:rFonts w:cs="Arial"/>
          <w:iCs/>
          <w:szCs w:val="24"/>
        </w:rPr>
        <w:t> </w:t>
      </w:r>
      <w:r w:rsidRPr="00EF306B">
        <w:rPr>
          <w:rFonts w:cs="Arial"/>
          <w:sz w:val="24"/>
          <w:szCs w:val="24"/>
        </w:rPr>
        <w:t xml:space="preserve">63(1)(2) of the </w:t>
      </w:r>
      <w:r w:rsidRPr="00EF306B">
        <w:rPr>
          <w:rFonts w:cs="Arial"/>
          <w:i/>
          <w:sz w:val="24"/>
          <w:szCs w:val="24"/>
        </w:rPr>
        <w:t xml:space="preserve">Criminal Procedure Act 1987 </w:t>
      </w:r>
      <w:r w:rsidRPr="00EF306B">
        <w:rPr>
          <w:rFonts w:cs="Arial"/>
          <w:sz w:val="24"/>
          <w:szCs w:val="24"/>
        </w:rPr>
        <w:t xml:space="preserve">(NSW) or Rule 87 of the </w:t>
      </w:r>
      <w:r w:rsidRPr="00EF306B">
        <w:rPr>
          <w:rFonts w:cs="Arial"/>
          <w:i/>
          <w:sz w:val="24"/>
          <w:szCs w:val="24"/>
        </w:rPr>
        <w:t xml:space="preserve">Legal Profession Uniform Conduct (Barristers) Rules 2015 </w:t>
      </w:r>
      <w:r w:rsidRPr="00EF306B">
        <w:rPr>
          <w:rFonts w:cs="Arial"/>
          <w:sz w:val="24"/>
          <w:szCs w:val="24"/>
        </w:rPr>
        <w:t>(NSW) as they were intended</w:t>
      </w:r>
      <w:r>
        <w:rPr>
          <w:rFonts w:cs="Arial"/>
          <w:sz w:val="24"/>
          <w:szCs w:val="24"/>
        </w:rPr>
        <w:t>;</w:t>
      </w:r>
    </w:p>
    <w:p w14:paraId="3E444B44" w14:textId="77777777" w:rsidR="00BF0385" w:rsidRPr="00EF306B" w:rsidRDefault="00BF0385" w:rsidP="00BF0385">
      <w:pPr>
        <w:pStyle w:val="ListParagraph"/>
        <w:jc w:val="both"/>
        <w:rPr>
          <w:rFonts w:cs="Arial"/>
          <w:sz w:val="24"/>
          <w:szCs w:val="24"/>
        </w:rPr>
      </w:pPr>
    </w:p>
    <w:p w14:paraId="6251E3AB" w14:textId="77777777" w:rsidR="00BF0385" w:rsidRPr="00940C8A" w:rsidRDefault="00BF0385" w:rsidP="00BF0385">
      <w:pPr>
        <w:pStyle w:val="ListParagraph"/>
        <w:numPr>
          <w:ilvl w:val="0"/>
          <w:numId w:val="14"/>
        </w:numPr>
        <w:shd w:val="clear" w:color="auto" w:fill="FFFFFF"/>
        <w:jc w:val="both"/>
        <w:rPr>
          <w:rFonts w:cs="Arial"/>
          <w:sz w:val="24"/>
          <w:szCs w:val="24"/>
        </w:rPr>
      </w:pPr>
      <w:r>
        <w:rPr>
          <w:rFonts w:cs="Arial"/>
          <w:sz w:val="24"/>
          <w:szCs w:val="24"/>
        </w:rPr>
        <w:t xml:space="preserve">The Court below erred as, </w:t>
      </w:r>
      <w:proofErr w:type="gramStart"/>
      <w:r>
        <w:rPr>
          <w:rFonts w:cs="Arial"/>
          <w:sz w:val="24"/>
          <w:szCs w:val="24"/>
        </w:rPr>
        <w:t>in light of</w:t>
      </w:r>
      <w:proofErr w:type="gramEnd"/>
      <w:r>
        <w:rPr>
          <w:rFonts w:cs="Arial"/>
          <w:sz w:val="24"/>
          <w:szCs w:val="24"/>
        </w:rPr>
        <w:t xml:space="preserve"> findings made by it, there remains a reasonable doubt the offending occurred.  The Court below failed to consider facts pertaining to the ‘non-disclosure’ and the miscarriage of justice, which was the result of the jury coming to an unsafe verdict given the evidence at trial. </w:t>
      </w:r>
    </w:p>
    <w:p w14:paraId="12F8390B" w14:textId="77777777" w:rsidR="00DB6DAD" w:rsidRPr="00913869" w:rsidRDefault="00DB6DAD" w:rsidP="00BF0385"/>
    <w:sectPr w:rsidR="00DB6DAD" w:rsidRPr="00913869" w:rsidSect="00E442CA">
      <w:headerReference w:type="default" r:id="rId8"/>
      <w:headerReference w:type="first" r:id="rId9"/>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DDBC4" w14:textId="77777777" w:rsidR="0080631C" w:rsidRDefault="0080631C">
      <w:r>
        <w:separator/>
      </w:r>
    </w:p>
  </w:endnote>
  <w:endnote w:type="continuationSeparator" w:id="0">
    <w:p w14:paraId="52162D53" w14:textId="77777777" w:rsidR="0080631C" w:rsidRDefault="0080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F8145" w14:textId="77777777" w:rsidR="0080631C" w:rsidRDefault="0080631C">
      <w:r>
        <w:separator/>
      </w:r>
    </w:p>
  </w:footnote>
  <w:footnote w:type="continuationSeparator" w:id="0">
    <w:p w14:paraId="67EB2566" w14:textId="77777777" w:rsidR="0080631C" w:rsidRDefault="0080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5C98"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498D" w14:textId="77777777" w:rsidR="004B7828" w:rsidRDefault="004B7828">
    <w:pPr>
      <w:pStyle w:val="Title"/>
    </w:pPr>
  </w:p>
  <w:p w14:paraId="37EE5D39" w14:textId="77777777" w:rsidR="0080631C" w:rsidRDefault="0080631C">
    <w:pPr>
      <w:pStyle w:val="Title"/>
    </w:pPr>
  </w:p>
  <w:p w14:paraId="4E7B139F" w14:textId="77777777" w:rsidR="004B7828" w:rsidRDefault="004B7828">
    <w:pPr>
      <w:pStyle w:val="Title"/>
    </w:pPr>
    <w:r>
      <w:t>SHORT PARTICULARS OF CASES</w:t>
    </w:r>
  </w:p>
  <w:p w14:paraId="62AC9247" w14:textId="77777777" w:rsidR="004B7828" w:rsidRDefault="004B7828">
    <w:pPr>
      <w:tabs>
        <w:tab w:val="left" w:pos="851"/>
        <w:tab w:val="right" w:pos="8505"/>
      </w:tabs>
      <w:jc w:val="center"/>
      <w:rPr>
        <w:b/>
        <w:u w:val="single"/>
      </w:rPr>
    </w:pPr>
  </w:p>
  <w:p w14:paraId="11748DA1" w14:textId="77777777" w:rsidR="004B7828" w:rsidRDefault="0080631C">
    <w:pPr>
      <w:tabs>
        <w:tab w:val="left" w:pos="851"/>
        <w:tab w:val="right" w:pos="8505"/>
      </w:tabs>
      <w:jc w:val="center"/>
      <w:rPr>
        <w:b/>
        <w:u w:val="single"/>
      </w:rPr>
    </w:pPr>
    <w:r>
      <w:rPr>
        <w:b/>
        <w:u w:val="single"/>
      </w:rPr>
      <w:t>MAY 2021</w:t>
    </w:r>
  </w:p>
  <w:p w14:paraId="3F6A192D" w14:textId="77777777" w:rsidR="004B7828" w:rsidRDefault="004B7828">
    <w:pPr>
      <w:tabs>
        <w:tab w:val="left" w:pos="851"/>
        <w:tab w:val="right" w:pos="8505"/>
      </w:tabs>
    </w:pPr>
  </w:p>
  <w:p w14:paraId="6454BC52" w14:textId="77777777" w:rsidR="004B7828" w:rsidRDefault="004B7828">
    <w:pPr>
      <w:tabs>
        <w:tab w:val="left" w:pos="851"/>
        <w:tab w:val="right" w:pos="8505"/>
      </w:tabs>
      <w:jc w:val="both"/>
    </w:pPr>
    <w:r>
      <w:t>_______________________________________________________________</w:t>
    </w:r>
    <w:r w:rsidR="00E442CA">
      <w:t>_</w:t>
    </w:r>
  </w:p>
  <w:p w14:paraId="21C981FD" w14:textId="77777777" w:rsidR="004B7828" w:rsidRDefault="004B7828">
    <w:pPr>
      <w:tabs>
        <w:tab w:val="left" w:pos="851"/>
        <w:tab w:val="right" w:pos="8505"/>
      </w:tabs>
      <w:jc w:val="both"/>
    </w:pPr>
  </w:p>
  <w:p w14:paraId="4A8C857A" w14:textId="77777777" w:rsidR="004B7828" w:rsidRDefault="004B7828">
    <w:pPr>
      <w:tabs>
        <w:tab w:val="left" w:pos="851"/>
        <w:tab w:val="right" w:pos="8505"/>
      </w:tabs>
      <w:jc w:val="both"/>
    </w:pPr>
    <w:r>
      <w:t>No.</w:t>
    </w:r>
    <w:r>
      <w:tab/>
      <w:t>Name of Matter</w:t>
    </w:r>
    <w:r>
      <w:tab/>
      <w:t>Page No</w:t>
    </w:r>
  </w:p>
  <w:p w14:paraId="0BE96680" w14:textId="77777777" w:rsidR="004B7828" w:rsidRDefault="004B7828" w:rsidP="00E442CA">
    <w:pPr>
      <w:tabs>
        <w:tab w:val="left" w:pos="851"/>
        <w:tab w:val="right" w:pos="8505"/>
      </w:tabs>
      <w:jc w:val="both"/>
    </w:pPr>
    <w:r>
      <w:t>_______________________________________________________________</w:t>
    </w:r>
    <w:r w:rsidR="00E442CA">
      <w:t>_</w:t>
    </w:r>
  </w:p>
  <w:p w14:paraId="140DF36D"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43429"/>
    <w:multiLevelType w:val="multilevel"/>
    <w:tmpl w:val="6BD690E8"/>
    <w:lvl w:ilvl="0">
      <w:start w:val="1"/>
      <w:numFmt w:val="bullet"/>
      <w:lvlText w:val=""/>
      <w:lvlJc w:val="left"/>
      <w:pPr>
        <w:ind w:left="780" w:hanging="360"/>
      </w:pPr>
      <w:rPr>
        <w:rFonts w:ascii="Symbol" w:hAnsi="Symbol" w:hint="default"/>
      </w:rPr>
    </w:lvl>
    <w:lvl w:ilvl="1">
      <w:start w:val="1"/>
      <w:numFmt w:val="bullet"/>
      <w:lvlText w:val="o"/>
      <w:lvlJc w:val="left"/>
      <w:pPr>
        <w:ind w:left="786" w:hanging="360"/>
      </w:pPr>
      <w:rPr>
        <w:rFonts w:ascii="Courier New" w:hAnsi="Courier New" w:cs="Courier New" w:hint="default"/>
        <w:color w:val="auto"/>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095A49"/>
    <w:multiLevelType w:val="hybridMultilevel"/>
    <w:tmpl w:val="436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61104E"/>
    <w:multiLevelType w:val="multilevel"/>
    <w:tmpl w:val="6E9233B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color w:val="auto"/>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7"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C895931"/>
    <w:multiLevelType w:val="hybridMultilevel"/>
    <w:tmpl w:val="5AB8B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7D71342"/>
    <w:multiLevelType w:val="multilevel"/>
    <w:tmpl w:val="B8F65BBC"/>
    <w:lvl w:ilvl="0">
      <w:start w:val="1"/>
      <w:numFmt w:val="bullet"/>
      <w:lvlText w:val=""/>
      <w:lvlJc w:val="left"/>
      <w:pPr>
        <w:ind w:left="780" w:hanging="360"/>
      </w:pPr>
      <w:rPr>
        <w:rFonts w:ascii="Symbol" w:hAnsi="Symbol" w:hint="default"/>
      </w:rPr>
    </w:lvl>
    <w:lvl w:ilvl="1">
      <w:start w:val="1"/>
      <w:numFmt w:val="bullet"/>
      <w:lvlText w:val=""/>
      <w:lvlJc w:val="left"/>
      <w:pPr>
        <w:ind w:left="1500" w:hanging="360"/>
      </w:pPr>
      <w:rPr>
        <w:rFonts w:ascii="Symbol" w:hAnsi="Symbol" w:hint="default"/>
        <w:color w:val="auto"/>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5F34D56"/>
    <w:multiLevelType w:val="multilevel"/>
    <w:tmpl w:val="382AFB22"/>
    <w:lvl w:ilvl="0">
      <w:start w:val="1"/>
      <w:numFmt w:val="bullet"/>
      <w:lvlText w:val=""/>
      <w:lvlJc w:val="left"/>
      <w:pPr>
        <w:ind w:left="780" w:hanging="360"/>
      </w:pPr>
      <w:rPr>
        <w:rFonts w:ascii="Symbol" w:hAnsi="Symbol" w:hint="default"/>
      </w:rPr>
    </w:lvl>
    <w:lvl w:ilvl="1">
      <w:start w:val="1"/>
      <w:numFmt w:val="bullet"/>
      <w:lvlText w:val=""/>
      <w:lvlJc w:val="left"/>
      <w:pPr>
        <w:ind w:left="1500" w:hanging="360"/>
      </w:pPr>
      <w:rPr>
        <w:rFonts w:ascii="Symbol" w:hAnsi="Symbol" w:hint="default"/>
        <w:color w:val="auto"/>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5"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5"/>
  </w:num>
  <w:num w:numId="2">
    <w:abstractNumId w:val="7"/>
  </w:num>
  <w:num w:numId="3">
    <w:abstractNumId w:val="5"/>
  </w:num>
  <w:num w:numId="4">
    <w:abstractNumId w:val="9"/>
  </w:num>
  <w:num w:numId="5">
    <w:abstractNumId w:val="14"/>
  </w:num>
  <w:num w:numId="6">
    <w:abstractNumId w:val="12"/>
  </w:num>
  <w:num w:numId="7">
    <w:abstractNumId w:val="1"/>
  </w:num>
  <w:num w:numId="8">
    <w:abstractNumId w:val="0"/>
  </w:num>
  <w:num w:numId="9">
    <w:abstractNumId w:val="3"/>
  </w:num>
  <w:num w:numId="10">
    <w:abstractNumId w:val="10"/>
  </w:num>
  <w:num w:numId="11">
    <w:abstractNumId w:val="13"/>
  </w:num>
  <w:num w:numId="12">
    <w:abstractNumId w:val="11"/>
  </w:num>
  <w:num w:numId="13">
    <w:abstractNumId w:val="8"/>
  </w:num>
  <w:num w:numId="14">
    <w:abstractNumId w:val="4"/>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07F38"/>
    <w:rsid w:val="000145E7"/>
    <w:rsid w:val="000B7BD8"/>
    <w:rsid w:val="000E26DC"/>
    <w:rsid w:val="0015162F"/>
    <w:rsid w:val="0017627F"/>
    <w:rsid w:val="001A29AE"/>
    <w:rsid w:val="001B646F"/>
    <w:rsid w:val="00225EBC"/>
    <w:rsid w:val="00245CBE"/>
    <w:rsid w:val="00280536"/>
    <w:rsid w:val="002E45D0"/>
    <w:rsid w:val="003168F8"/>
    <w:rsid w:val="003C2828"/>
    <w:rsid w:val="00432A50"/>
    <w:rsid w:val="00492666"/>
    <w:rsid w:val="004B7828"/>
    <w:rsid w:val="004E4F47"/>
    <w:rsid w:val="005173D8"/>
    <w:rsid w:val="00737693"/>
    <w:rsid w:val="007548D3"/>
    <w:rsid w:val="00776369"/>
    <w:rsid w:val="007A0AE7"/>
    <w:rsid w:val="0080631C"/>
    <w:rsid w:val="00811E2E"/>
    <w:rsid w:val="00876107"/>
    <w:rsid w:val="008807E8"/>
    <w:rsid w:val="008B3B53"/>
    <w:rsid w:val="008D27C3"/>
    <w:rsid w:val="00913869"/>
    <w:rsid w:val="00A414D3"/>
    <w:rsid w:val="00B43DAB"/>
    <w:rsid w:val="00B566FB"/>
    <w:rsid w:val="00B65511"/>
    <w:rsid w:val="00BA02B7"/>
    <w:rsid w:val="00BE3511"/>
    <w:rsid w:val="00BF0385"/>
    <w:rsid w:val="00C22B92"/>
    <w:rsid w:val="00C65A07"/>
    <w:rsid w:val="00DB6DAD"/>
    <w:rsid w:val="00E442CA"/>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C62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DAD"/>
    <w:pPr>
      <w:ind w:left="720"/>
    </w:pPr>
    <w:rPr>
      <w:sz w:val="22"/>
      <w:lang w:val="en-AU" w:eastAsia="en-US"/>
    </w:rPr>
  </w:style>
  <w:style w:type="paragraph" w:styleId="NoSpacing">
    <w:name w:val="No Spacing"/>
    <w:uiPriority w:val="1"/>
    <w:qFormat/>
    <w:rsid w:val="00DB6D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D1AD-3D2F-4E34-BD6E-F2966AE9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13751</Characters>
  <Application>Microsoft Office Word</Application>
  <DocSecurity>0</DocSecurity>
  <Lines>114</Lines>
  <Paragraphs>32</Paragraphs>
  <ScaleCrop>false</ScaleCrop>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2021-05-04T00:09:00Z</dcterms:created>
  <dcterms:modified xsi:type="dcterms:W3CDTF">2021-05-04T00:09:00Z</dcterms:modified>
</cp:coreProperties>
</file>