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936D3" w14:textId="77777777" w:rsidR="00BB71EA" w:rsidRDefault="00BB71EA" w:rsidP="00913869">
      <w:bookmarkStart w:id="0" w:name="_GoBack"/>
      <w:bookmarkEnd w:id="0"/>
    </w:p>
    <w:tbl>
      <w:tblPr>
        <w:tblW w:w="0" w:type="auto"/>
        <w:tblLook w:val="04A0" w:firstRow="1" w:lastRow="0" w:firstColumn="1" w:lastColumn="0" w:noHBand="0" w:noVBand="1"/>
      </w:tblPr>
      <w:tblGrid>
        <w:gridCol w:w="7890"/>
        <w:gridCol w:w="849"/>
      </w:tblGrid>
      <w:tr w:rsidR="00BB71EA" w:rsidRPr="00BF5F0C" w14:paraId="723FB284" w14:textId="77777777" w:rsidTr="00007C4E">
        <w:tc>
          <w:tcPr>
            <w:tcW w:w="8755" w:type="dxa"/>
            <w:gridSpan w:val="2"/>
            <w:shd w:val="clear" w:color="auto" w:fill="auto"/>
          </w:tcPr>
          <w:p w14:paraId="63A90F26" w14:textId="77777777" w:rsidR="00BB71EA" w:rsidRPr="00BF5F0C" w:rsidRDefault="00BB71EA" w:rsidP="00007C4E">
            <w:pPr>
              <w:tabs>
                <w:tab w:val="left" w:pos="851"/>
                <w:tab w:val="right" w:pos="8505"/>
              </w:tabs>
              <w:jc w:val="both"/>
              <w:rPr>
                <w:szCs w:val="24"/>
                <w:u w:val="single"/>
              </w:rPr>
            </w:pPr>
            <w:r w:rsidRPr="00BF5F0C">
              <w:rPr>
                <w:rFonts w:cs="Arial"/>
                <w:szCs w:val="24"/>
                <w:u w:val="single"/>
              </w:rPr>
              <w:t>Wednesday, 7 and Thursday, 8 April</w:t>
            </w:r>
            <w:r w:rsidRPr="00BF5F0C">
              <w:rPr>
                <w:szCs w:val="24"/>
                <w:u w:val="single"/>
              </w:rPr>
              <w:t xml:space="preserve"> </w:t>
            </w:r>
          </w:p>
          <w:p w14:paraId="67B6FE1E" w14:textId="77777777" w:rsidR="00BB71EA" w:rsidRPr="00BF5F0C" w:rsidRDefault="00BB71EA" w:rsidP="00007C4E">
            <w:pPr>
              <w:pStyle w:val="Title"/>
              <w:jc w:val="left"/>
              <w:rPr>
                <w:b w:val="0"/>
                <w:szCs w:val="24"/>
              </w:rPr>
            </w:pPr>
          </w:p>
        </w:tc>
      </w:tr>
      <w:tr w:rsidR="00BB71EA" w:rsidRPr="00BF5F0C" w14:paraId="5DEE7290" w14:textId="77777777" w:rsidTr="00007C4E">
        <w:tc>
          <w:tcPr>
            <w:tcW w:w="7905" w:type="dxa"/>
            <w:shd w:val="clear" w:color="auto" w:fill="auto"/>
          </w:tcPr>
          <w:p w14:paraId="10B06831" w14:textId="77777777" w:rsidR="00BB71EA" w:rsidRPr="00BF5F0C" w:rsidRDefault="00BB71EA" w:rsidP="00BB71EA">
            <w:pPr>
              <w:numPr>
                <w:ilvl w:val="0"/>
                <w:numId w:val="9"/>
              </w:numPr>
              <w:ind w:hanging="720"/>
              <w:rPr>
                <w:noProof/>
                <w:szCs w:val="24"/>
              </w:rPr>
            </w:pPr>
            <w:proofErr w:type="gramStart"/>
            <w:r w:rsidRPr="00BF5F0C">
              <w:rPr>
                <w:noProof/>
                <w:szCs w:val="24"/>
              </w:rPr>
              <w:t>Zhang</w:t>
            </w:r>
            <w:r w:rsidRPr="00BF5F0C">
              <w:rPr>
                <w:szCs w:val="24"/>
              </w:rPr>
              <w:t xml:space="preserve">  v</w:t>
            </w:r>
            <w:proofErr w:type="gramEnd"/>
            <w:r w:rsidRPr="00BF5F0C">
              <w:rPr>
                <w:szCs w:val="24"/>
              </w:rPr>
              <w:t xml:space="preserve">  </w:t>
            </w:r>
            <w:r w:rsidRPr="00BF5F0C">
              <w:rPr>
                <w:noProof/>
                <w:szCs w:val="24"/>
              </w:rPr>
              <w:t>The Commissioner of Police &amp; Ors</w:t>
            </w:r>
          </w:p>
        </w:tc>
        <w:tc>
          <w:tcPr>
            <w:tcW w:w="850" w:type="dxa"/>
            <w:shd w:val="clear" w:color="auto" w:fill="auto"/>
          </w:tcPr>
          <w:p w14:paraId="5A99EB8D" w14:textId="77777777" w:rsidR="00BB71EA" w:rsidRPr="00C36DBA" w:rsidRDefault="00BB71EA" w:rsidP="00BB71EA">
            <w:pPr>
              <w:pStyle w:val="Title"/>
              <w:rPr>
                <w:bCs/>
                <w:szCs w:val="24"/>
                <w:u w:val="none"/>
              </w:rPr>
            </w:pPr>
            <w:r w:rsidRPr="00C36DBA">
              <w:rPr>
                <w:bCs/>
                <w:szCs w:val="24"/>
                <w:u w:val="none"/>
              </w:rPr>
              <w:t>1</w:t>
            </w:r>
          </w:p>
        </w:tc>
      </w:tr>
    </w:tbl>
    <w:p w14:paraId="1FADDF32" w14:textId="77777777" w:rsidR="00BB71EA" w:rsidRPr="00BF5F0C" w:rsidRDefault="00BB71EA" w:rsidP="00913869">
      <w:pPr>
        <w:rPr>
          <w:szCs w:val="24"/>
        </w:rPr>
      </w:pPr>
    </w:p>
    <w:p w14:paraId="6C5855AE" w14:textId="77777777" w:rsidR="00BB71EA" w:rsidRPr="00BF5F0C" w:rsidRDefault="00BB71EA" w:rsidP="00913869">
      <w:pPr>
        <w:rPr>
          <w:szCs w:val="24"/>
        </w:rPr>
      </w:pPr>
    </w:p>
    <w:tbl>
      <w:tblPr>
        <w:tblW w:w="0" w:type="auto"/>
        <w:tblLook w:val="04A0" w:firstRow="1" w:lastRow="0" w:firstColumn="1" w:lastColumn="0" w:noHBand="0" w:noVBand="1"/>
      </w:tblPr>
      <w:tblGrid>
        <w:gridCol w:w="7890"/>
        <w:gridCol w:w="849"/>
      </w:tblGrid>
      <w:tr w:rsidR="00BB71EA" w:rsidRPr="00BF5F0C" w14:paraId="1EAB6C19" w14:textId="77777777" w:rsidTr="00007C4E">
        <w:tc>
          <w:tcPr>
            <w:tcW w:w="8755" w:type="dxa"/>
            <w:gridSpan w:val="2"/>
            <w:shd w:val="clear" w:color="auto" w:fill="auto"/>
          </w:tcPr>
          <w:p w14:paraId="13DBF038" w14:textId="77777777" w:rsidR="00BB71EA" w:rsidRPr="00BF5F0C" w:rsidRDefault="00BB71EA" w:rsidP="00007C4E">
            <w:pPr>
              <w:tabs>
                <w:tab w:val="left" w:pos="851"/>
                <w:tab w:val="right" w:pos="8505"/>
              </w:tabs>
              <w:jc w:val="both"/>
              <w:rPr>
                <w:szCs w:val="24"/>
                <w:u w:val="single"/>
              </w:rPr>
            </w:pPr>
            <w:r w:rsidRPr="00BF5F0C">
              <w:rPr>
                <w:rFonts w:cs="Arial"/>
                <w:szCs w:val="24"/>
                <w:u w:val="single"/>
              </w:rPr>
              <w:t>Friday, 9 April</w:t>
            </w:r>
            <w:r w:rsidRPr="00BF5F0C">
              <w:rPr>
                <w:szCs w:val="24"/>
                <w:u w:val="single"/>
              </w:rPr>
              <w:t xml:space="preserve"> </w:t>
            </w:r>
          </w:p>
          <w:p w14:paraId="779B5F7E" w14:textId="77777777" w:rsidR="00BB71EA" w:rsidRPr="00BF5F0C" w:rsidRDefault="00BB71EA" w:rsidP="00007C4E">
            <w:pPr>
              <w:pStyle w:val="Title"/>
              <w:jc w:val="left"/>
              <w:rPr>
                <w:b w:val="0"/>
                <w:szCs w:val="24"/>
              </w:rPr>
            </w:pPr>
          </w:p>
        </w:tc>
      </w:tr>
      <w:tr w:rsidR="00BB71EA" w:rsidRPr="00BF5F0C" w14:paraId="5E561B87" w14:textId="77777777" w:rsidTr="00007C4E">
        <w:tc>
          <w:tcPr>
            <w:tcW w:w="7905" w:type="dxa"/>
            <w:shd w:val="clear" w:color="auto" w:fill="auto"/>
          </w:tcPr>
          <w:p w14:paraId="315EB05B" w14:textId="77777777" w:rsidR="00BB71EA" w:rsidRPr="00BF5F0C" w:rsidRDefault="00BB71EA" w:rsidP="00BB71EA">
            <w:pPr>
              <w:numPr>
                <w:ilvl w:val="0"/>
                <w:numId w:val="9"/>
              </w:numPr>
              <w:ind w:hanging="720"/>
              <w:rPr>
                <w:noProof/>
                <w:szCs w:val="24"/>
              </w:rPr>
            </w:pPr>
            <w:r w:rsidRPr="00BF5F0C">
              <w:rPr>
                <w:noProof/>
                <w:szCs w:val="24"/>
              </w:rPr>
              <w:t xml:space="preserve">Sunland Group Limited &amp; </w:t>
            </w:r>
            <w:proofErr w:type="gramStart"/>
            <w:r w:rsidRPr="00BF5F0C">
              <w:rPr>
                <w:noProof/>
                <w:szCs w:val="24"/>
              </w:rPr>
              <w:t>Anor</w:t>
            </w:r>
            <w:r w:rsidRPr="00BF5F0C">
              <w:rPr>
                <w:szCs w:val="24"/>
              </w:rPr>
              <w:t xml:space="preserve">  v</w:t>
            </w:r>
            <w:proofErr w:type="gramEnd"/>
            <w:r w:rsidRPr="00BF5F0C">
              <w:rPr>
                <w:szCs w:val="24"/>
              </w:rPr>
              <w:t xml:space="preserve">  </w:t>
            </w:r>
            <w:r w:rsidRPr="00BF5F0C">
              <w:rPr>
                <w:noProof/>
                <w:szCs w:val="24"/>
              </w:rPr>
              <w:t>Gold Coast City Council</w:t>
            </w:r>
          </w:p>
        </w:tc>
        <w:tc>
          <w:tcPr>
            <w:tcW w:w="850" w:type="dxa"/>
            <w:shd w:val="clear" w:color="auto" w:fill="auto"/>
          </w:tcPr>
          <w:p w14:paraId="18A07285" w14:textId="74219152" w:rsidR="00BB71EA" w:rsidRPr="00C36DBA" w:rsidRDefault="00995D0B" w:rsidP="00512A05">
            <w:pPr>
              <w:pStyle w:val="Title"/>
              <w:rPr>
                <w:bCs/>
                <w:szCs w:val="24"/>
                <w:u w:val="none"/>
              </w:rPr>
            </w:pPr>
            <w:r>
              <w:rPr>
                <w:bCs/>
                <w:szCs w:val="24"/>
                <w:u w:val="none"/>
              </w:rPr>
              <w:t>3</w:t>
            </w:r>
          </w:p>
        </w:tc>
      </w:tr>
    </w:tbl>
    <w:p w14:paraId="286AE143" w14:textId="77777777" w:rsidR="00BB71EA" w:rsidRPr="00BF5F0C" w:rsidRDefault="00BB71EA" w:rsidP="00913869">
      <w:pPr>
        <w:rPr>
          <w:szCs w:val="24"/>
        </w:rPr>
      </w:pPr>
    </w:p>
    <w:p w14:paraId="27508B4D" w14:textId="77777777" w:rsidR="00BB71EA" w:rsidRPr="00BF5F0C" w:rsidRDefault="00BB71EA" w:rsidP="00913869">
      <w:pPr>
        <w:rPr>
          <w:szCs w:val="24"/>
        </w:rPr>
      </w:pPr>
    </w:p>
    <w:tbl>
      <w:tblPr>
        <w:tblW w:w="0" w:type="auto"/>
        <w:tblLook w:val="04A0" w:firstRow="1" w:lastRow="0" w:firstColumn="1" w:lastColumn="0" w:noHBand="0" w:noVBand="1"/>
      </w:tblPr>
      <w:tblGrid>
        <w:gridCol w:w="7890"/>
        <w:gridCol w:w="849"/>
      </w:tblGrid>
      <w:tr w:rsidR="00BB71EA" w:rsidRPr="00BF5F0C" w14:paraId="274BBF82" w14:textId="77777777" w:rsidTr="00007C4E">
        <w:tc>
          <w:tcPr>
            <w:tcW w:w="8755" w:type="dxa"/>
            <w:gridSpan w:val="2"/>
            <w:shd w:val="clear" w:color="auto" w:fill="auto"/>
          </w:tcPr>
          <w:p w14:paraId="57FCD925" w14:textId="77777777" w:rsidR="00BB71EA" w:rsidRPr="00BF5F0C" w:rsidRDefault="00BB71EA" w:rsidP="00BB71EA">
            <w:pPr>
              <w:tabs>
                <w:tab w:val="left" w:pos="851"/>
                <w:tab w:val="right" w:pos="8505"/>
              </w:tabs>
              <w:jc w:val="both"/>
              <w:rPr>
                <w:szCs w:val="24"/>
                <w:u w:val="single"/>
              </w:rPr>
            </w:pPr>
            <w:r w:rsidRPr="00BF5F0C">
              <w:rPr>
                <w:rFonts w:cs="Arial"/>
                <w:szCs w:val="24"/>
                <w:u w:val="single"/>
              </w:rPr>
              <w:t>Tuesday, 13 April</w:t>
            </w:r>
            <w:r w:rsidRPr="00BF5F0C">
              <w:rPr>
                <w:szCs w:val="24"/>
                <w:u w:val="single"/>
              </w:rPr>
              <w:t xml:space="preserve"> </w:t>
            </w:r>
          </w:p>
          <w:p w14:paraId="568AD64A" w14:textId="77777777" w:rsidR="00BB71EA" w:rsidRPr="00BF5F0C" w:rsidRDefault="00BB71EA" w:rsidP="00007C4E">
            <w:pPr>
              <w:pStyle w:val="Title"/>
              <w:jc w:val="left"/>
              <w:rPr>
                <w:b w:val="0"/>
                <w:szCs w:val="24"/>
              </w:rPr>
            </w:pPr>
          </w:p>
        </w:tc>
      </w:tr>
      <w:tr w:rsidR="00BB71EA" w:rsidRPr="00BF5F0C" w14:paraId="4C695AA2" w14:textId="77777777" w:rsidTr="00007C4E">
        <w:tc>
          <w:tcPr>
            <w:tcW w:w="7905" w:type="dxa"/>
            <w:shd w:val="clear" w:color="auto" w:fill="auto"/>
          </w:tcPr>
          <w:p w14:paraId="1FFEA3EA" w14:textId="77777777" w:rsidR="00BB71EA" w:rsidRPr="00BF5F0C" w:rsidRDefault="00BB71EA" w:rsidP="00BB71EA">
            <w:pPr>
              <w:numPr>
                <w:ilvl w:val="0"/>
                <w:numId w:val="9"/>
              </w:numPr>
              <w:ind w:hanging="720"/>
              <w:rPr>
                <w:noProof/>
                <w:szCs w:val="24"/>
              </w:rPr>
            </w:pPr>
            <w:r w:rsidRPr="00BF5F0C">
              <w:rPr>
                <w:noProof/>
                <w:szCs w:val="24"/>
              </w:rPr>
              <w:t xml:space="preserve">Commonwealth of </w:t>
            </w:r>
            <w:proofErr w:type="gramStart"/>
            <w:r w:rsidRPr="00BF5F0C">
              <w:rPr>
                <w:noProof/>
                <w:szCs w:val="24"/>
              </w:rPr>
              <w:t>Australia</w:t>
            </w:r>
            <w:r w:rsidRPr="00BF5F0C">
              <w:rPr>
                <w:szCs w:val="24"/>
              </w:rPr>
              <w:t xml:space="preserve">  v</w:t>
            </w:r>
            <w:proofErr w:type="gramEnd"/>
            <w:r w:rsidRPr="00BF5F0C">
              <w:rPr>
                <w:szCs w:val="24"/>
              </w:rPr>
              <w:t xml:space="preserve">  </w:t>
            </w:r>
            <w:r w:rsidRPr="00BF5F0C">
              <w:rPr>
                <w:noProof/>
                <w:szCs w:val="24"/>
              </w:rPr>
              <w:t>AJL20</w:t>
            </w:r>
          </w:p>
        </w:tc>
        <w:tc>
          <w:tcPr>
            <w:tcW w:w="850" w:type="dxa"/>
            <w:shd w:val="clear" w:color="auto" w:fill="auto"/>
          </w:tcPr>
          <w:p w14:paraId="06E2F8A4" w14:textId="557B8FD1" w:rsidR="00BB71EA" w:rsidRPr="00512A05" w:rsidRDefault="00995D0B" w:rsidP="00512A05">
            <w:pPr>
              <w:pStyle w:val="Title"/>
              <w:rPr>
                <w:szCs w:val="24"/>
                <w:u w:val="none"/>
              </w:rPr>
            </w:pPr>
            <w:r>
              <w:rPr>
                <w:szCs w:val="24"/>
                <w:u w:val="none"/>
              </w:rPr>
              <w:t>5</w:t>
            </w:r>
          </w:p>
        </w:tc>
      </w:tr>
    </w:tbl>
    <w:p w14:paraId="00C6D564" w14:textId="77777777" w:rsidR="00BB71EA" w:rsidRPr="00BF5F0C" w:rsidRDefault="00BB71EA" w:rsidP="00913869">
      <w:pPr>
        <w:rPr>
          <w:szCs w:val="24"/>
        </w:rPr>
      </w:pPr>
    </w:p>
    <w:p w14:paraId="66F51D51" w14:textId="77777777" w:rsidR="00BB71EA" w:rsidRPr="00BF5F0C" w:rsidRDefault="00BB71EA" w:rsidP="00913869">
      <w:pPr>
        <w:rPr>
          <w:szCs w:val="24"/>
        </w:rPr>
      </w:pPr>
    </w:p>
    <w:tbl>
      <w:tblPr>
        <w:tblW w:w="0" w:type="auto"/>
        <w:tblLook w:val="04A0" w:firstRow="1" w:lastRow="0" w:firstColumn="1" w:lastColumn="0" w:noHBand="0" w:noVBand="1"/>
      </w:tblPr>
      <w:tblGrid>
        <w:gridCol w:w="7890"/>
        <w:gridCol w:w="849"/>
      </w:tblGrid>
      <w:tr w:rsidR="00BB71EA" w:rsidRPr="00BF5F0C" w14:paraId="78619DB2" w14:textId="77777777" w:rsidTr="00007C4E">
        <w:tc>
          <w:tcPr>
            <w:tcW w:w="8755" w:type="dxa"/>
            <w:gridSpan w:val="2"/>
            <w:shd w:val="clear" w:color="auto" w:fill="auto"/>
          </w:tcPr>
          <w:p w14:paraId="64728AE9" w14:textId="77777777" w:rsidR="00BB71EA" w:rsidRPr="00BF5F0C" w:rsidRDefault="00BB71EA" w:rsidP="00BB71EA">
            <w:pPr>
              <w:tabs>
                <w:tab w:val="left" w:pos="851"/>
                <w:tab w:val="right" w:pos="8505"/>
              </w:tabs>
              <w:jc w:val="both"/>
              <w:rPr>
                <w:szCs w:val="24"/>
                <w:u w:val="single"/>
              </w:rPr>
            </w:pPr>
            <w:r w:rsidRPr="00BF5F0C">
              <w:rPr>
                <w:rFonts w:cs="Arial"/>
                <w:szCs w:val="24"/>
                <w:u w:val="single"/>
              </w:rPr>
              <w:t>Wednesday, 14 April</w:t>
            </w:r>
            <w:r w:rsidRPr="00BF5F0C">
              <w:rPr>
                <w:szCs w:val="24"/>
                <w:u w:val="single"/>
              </w:rPr>
              <w:t xml:space="preserve"> </w:t>
            </w:r>
          </w:p>
          <w:p w14:paraId="1947F3D3" w14:textId="77777777" w:rsidR="00BB71EA" w:rsidRPr="00BF5F0C" w:rsidRDefault="00BB71EA" w:rsidP="00007C4E">
            <w:pPr>
              <w:pStyle w:val="Title"/>
              <w:jc w:val="left"/>
              <w:rPr>
                <w:szCs w:val="24"/>
              </w:rPr>
            </w:pPr>
          </w:p>
        </w:tc>
      </w:tr>
      <w:tr w:rsidR="00BB71EA" w:rsidRPr="00BF5F0C" w14:paraId="7B1BFD7B" w14:textId="77777777" w:rsidTr="00007C4E">
        <w:tc>
          <w:tcPr>
            <w:tcW w:w="7905" w:type="dxa"/>
            <w:shd w:val="clear" w:color="auto" w:fill="auto"/>
          </w:tcPr>
          <w:p w14:paraId="53EBB0C5" w14:textId="77777777" w:rsidR="00BB71EA" w:rsidRPr="00BF5F0C" w:rsidRDefault="00BB71EA" w:rsidP="00BB71EA">
            <w:pPr>
              <w:numPr>
                <w:ilvl w:val="0"/>
                <w:numId w:val="9"/>
              </w:numPr>
              <w:ind w:hanging="720"/>
              <w:rPr>
                <w:noProof/>
                <w:szCs w:val="24"/>
              </w:rPr>
            </w:pPr>
            <w:r w:rsidRPr="00BF5F0C">
              <w:rPr>
                <w:noProof/>
                <w:szCs w:val="24"/>
              </w:rPr>
              <w:t xml:space="preserve">Deputy Commissioner of </w:t>
            </w:r>
            <w:proofErr w:type="gramStart"/>
            <w:r w:rsidRPr="00BF5F0C">
              <w:rPr>
                <w:noProof/>
                <w:szCs w:val="24"/>
              </w:rPr>
              <w:t xml:space="preserve">Taxation </w:t>
            </w:r>
            <w:r w:rsidRPr="00BF5F0C">
              <w:rPr>
                <w:szCs w:val="24"/>
              </w:rPr>
              <w:t xml:space="preserve"> v</w:t>
            </w:r>
            <w:proofErr w:type="gramEnd"/>
            <w:r w:rsidRPr="00BF5F0C">
              <w:rPr>
                <w:szCs w:val="24"/>
              </w:rPr>
              <w:t xml:space="preserve">  </w:t>
            </w:r>
            <w:r w:rsidRPr="00BF5F0C">
              <w:rPr>
                <w:noProof/>
                <w:szCs w:val="24"/>
              </w:rPr>
              <w:t>Shi</w:t>
            </w:r>
          </w:p>
        </w:tc>
        <w:tc>
          <w:tcPr>
            <w:tcW w:w="850" w:type="dxa"/>
            <w:shd w:val="clear" w:color="auto" w:fill="auto"/>
          </w:tcPr>
          <w:p w14:paraId="13E96031" w14:textId="2D44B7FB" w:rsidR="00BB71EA" w:rsidRPr="00512A05" w:rsidRDefault="00995D0B" w:rsidP="00512A05">
            <w:pPr>
              <w:pStyle w:val="Title"/>
              <w:rPr>
                <w:szCs w:val="24"/>
                <w:u w:val="none"/>
              </w:rPr>
            </w:pPr>
            <w:r>
              <w:rPr>
                <w:szCs w:val="24"/>
                <w:u w:val="none"/>
              </w:rPr>
              <w:t>6</w:t>
            </w:r>
          </w:p>
        </w:tc>
      </w:tr>
    </w:tbl>
    <w:p w14:paraId="7BD85509" w14:textId="77777777" w:rsidR="00BB71EA" w:rsidRPr="00BF5F0C" w:rsidRDefault="00BB71EA" w:rsidP="00913869">
      <w:pPr>
        <w:rPr>
          <w:szCs w:val="24"/>
        </w:rPr>
      </w:pPr>
    </w:p>
    <w:p w14:paraId="35433621" w14:textId="77777777" w:rsidR="00BB71EA" w:rsidRPr="00BF5F0C" w:rsidRDefault="00BB71EA" w:rsidP="00913869">
      <w:pPr>
        <w:rPr>
          <w:szCs w:val="24"/>
        </w:rPr>
      </w:pPr>
    </w:p>
    <w:tbl>
      <w:tblPr>
        <w:tblW w:w="0" w:type="auto"/>
        <w:tblLook w:val="04A0" w:firstRow="1" w:lastRow="0" w:firstColumn="1" w:lastColumn="0" w:noHBand="0" w:noVBand="1"/>
      </w:tblPr>
      <w:tblGrid>
        <w:gridCol w:w="7890"/>
        <w:gridCol w:w="849"/>
      </w:tblGrid>
      <w:tr w:rsidR="00BB71EA" w:rsidRPr="00BF5F0C" w14:paraId="72E32617" w14:textId="77777777" w:rsidTr="00007C4E">
        <w:tc>
          <w:tcPr>
            <w:tcW w:w="8755" w:type="dxa"/>
            <w:gridSpan w:val="2"/>
            <w:shd w:val="clear" w:color="auto" w:fill="auto"/>
          </w:tcPr>
          <w:p w14:paraId="6E804D34" w14:textId="77777777" w:rsidR="00BB71EA" w:rsidRPr="00BF5F0C" w:rsidRDefault="00BB71EA" w:rsidP="00007C4E">
            <w:pPr>
              <w:tabs>
                <w:tab w:val="left" w:pos="851"/>
                <w:tab w:val="right" w:pos="8505"/>
              </w:tabs>
              <w:jc w:val="both"/>
              <w:rPr>
                <w:szCs w:val="24"/>
                <w:u w:val="single"/>
              </w:rPr>
            </w:pPr>
            <w:r w:rsidRPr="00BF5F0C">
              <w:rPr>
                <w:rFonts w:cs="Arial"/>
                <w:szCs w:val="24"/>
                <w:u w:val="single"/>
              </w:rPr>
              <w:t>Thursday, 15 April</w:t>
            </w:r>
            <w:r w:rsidRPr="00BF5F0C">
              <w:rPr>
                <w:szCs w:val="24"/>
                <w:u w:val="single"/>
              </w:rPr>
              <w:t xml:space="preserve"> </w:t>
            </w:r>
          </w:p>
          <w:p w14:paraId="4B1EAD17" w14:textId="77777777" w:rsidR="00BB71EA" w:rsidRPr="00BF5F0C" w:rsidRDefault="00BB71EA" w:rsidP="00007C4E">
            <w:pPr>
              <w:pStyle w:val="Title"/>
              <w:jc w:val="left"/>
              <w:rPr>
                <w:szCs w:val="24"/>
              </w:rPr>
            </w:pPr>
          </w:p>
        </w:tc>
      </w:tr>
      <w:tr w:rsidR="00BB71EA" w:rsidRPr="00BF5F0C" w14:paraId="317B87C1" w14:textId="77777777" w:rsidTr="00007C4E">
        <w:tc>
          <w:tcPr>
            <w:tcW w:w="7905" w:type="dxa"/>
            <w:shd w:val="clear" w:color="auto" w:fill="auto"/>
          </w:tcPr>
          <w:p w14:paraId="0F393F4A" w14:textId="77777777" w:rsidR="00BB71EA" w:rsidRPr="00BF5F0C" w:rsidRDefault="00BB71EA" w:rsidP="00BB71EA">
            <w:pPr>
              <w:numPr>
                <w:ilvl w:val="0"/>
                <w:numId w:val="9"/>
              </w:numPr>
              <w:ind w:hanging="720"/>
              <w:rPr>
                <w:noProof/>
                <w:szCs w:val="24"/>
              </w:rPr>
            </w:pPr>
            <w:r w:rsidRPr="00BF5F0C">
              <w:rPr>
                <w:noProof/>
                <w:szCs w:val="24"/>
              </w:rPr>
              <w:t xml:space="preserve">Minister for Immigration, Citizenship, Migrant Services and Multicultural </w:t>
            </w:r>
            <w:proofErr w:type="gramStart"/>
            <w:r w:rsidRPr="00BF5F0C">
              <w:rPr>
                <w:noProof/>
                <w:szCs w:val="24"/>
              </w:rPr>
              <w:t>Affairs</w:t>
            </w:r>
            <w:r w:rsidRPr="00BF5F0C">
              <w:rPr>
                <w:szCs w:val="24"/>
              </w:rPr>
              <w:t xml:space="preserve">  v</w:t>
            </w:r>
            <w:proofErr w:type="gramEnd"/>
            <w:r w:rsidRPr="00BF5F0C">
              <w:rPr>
                <w:szCs w:val="24"/>
              </w:rPr>
              <w:t xml:space="preserve">  </w:t>
            </w:r>
            <w:r w:rsidRPr="00BF5F0C">
              <w:rPr>
                <w:noProof/>
                <w:szCs w:val="24"/>
              </w:rPr>
              <w:t>Moorcroft</w:t>
            </w:r>
          </w:p>
        </w:tc>
        <w:tc>
          <w:tcPr>
            <w:tcW w:w="850" w:type="dxa"/>
            <w:shd w:val="clear" w:color="auto" w:fill="auto"/>
          </w:tcPr>
          <w:p w14:paraId="223DA1F9" w14:textId="3C269CB9" w:rsidR="00BB71EA" w:rsidRPr="00512A05" w:rsidRDefault="00995D0B" w:rsidP="00512A05">
            <w:pPr>
              <w:pStyle w:val="Title"/>
              <w:rPr>
                <w:szCs w:val="24"/>
                <w:u w:val="none"/>
              </w:rPr>
            </w:pPr>
            <w:r>
              <w:rPr>
                <w:szCs w:val="24"/>
                <w:u w:val="none"/>
              </w:rPr>
              <w:t>8</w:t>
            </w:r>
          </w:p>
        </w:tc>
      </w:tr>
    </w:tbl>
    <w:p w14:paraId="6B13B6BA" w14:textId="77777777" w:rsidR="00BB71EA" w:rsidRPr="00BF5F0C" w:rsidRDefault="00BB71EA" w:rsidP="00913869">
      <w:pPr>
        <w:rPr>
          <w:szCs w:val="24"/>
        </w:rPr>
      </w:pPr>
    </w:p>
    <w:p w14:paraId="6E55DF93" w14:textId="77777777" w:rsidR="00BB71EA" w:rsidRPr="00BF5F0C" w:rsidRDefault="00BB71EA" w:rsidP="00913869">
      <w:pPr>
        <w:rPr>
          <w:szCs w:val="24"/>
        </w:rPr>
      </w:pPr>
    </w:p>
    <w:p w14:paraId="6F6EFAB8" w14:textId="77777777" w:rsidR="00BB71EA" w:rsidRDefault="00BB71EA" w:rsidP="00BB71EA">
      <w:pPr>
        <w:tabs>
          <w:tab w:val="left" w:pos="851"/>
          <w:tab w:val="right" w:pos="8505"/>
        </w:tabs>
        <w:jc w:val="center"/>
      </w:pPr>
      <w:r>
        <w:t>********************</w:t>
      </w:r>
    </w:p>
    <w:p w14:paraId="23114ABE" w14:textId="77777777" w:rsidR="00512A05" w:rsidRPr="00A121E2" w:rsidRDefault="00BB71EA" w:rsidP="00512A05">
      <w:pPr>
        <w:pStyle w:val="NoSpacing"/>
        <w:rPr>
          <w:rFonts w:ascii="Arial" w:eastAsia="Times New Roman" w:hAnsi="Arial" w:cs="Arial"/>
          <w:b/>
          <w:color w:val="000000"/>
          <w:sz w:val="24"/>
          <w:szCs w:val="24"/>
          <w:u w:val="single"/>
          <w:lang w:eastAsia="en-AU"/>
        </w:rPr>
      </w:pPr>
      <w:r>
        <w:br w:type="page"/>
      </w:r>
      <w:r w:rsidR="00512A05" w:rsidRPr="00A121E2">
        <w:rPr>
          <w:rFonts w:ascii="Arial" w:eastAsia="Times New Roman" w:hAnsi="Arial" w:cs="Arial"/>
          <w:b/>
          <w:color w:val="000000"/>
          <w:sz w:val="24"/>
          <w:szCs w:val="24"/>
          <w:u w:val="single"/>
          <w:lang w:eastAsia="en-AU"/>
        </w:rPr>
        <w:lastRenderedPageBreak/>
        <w:t xml:space="preserve">ZHANG v THE COMMISSIONER OF POLICE &amp; </w:t>
      </w:r>
      <w:proofErr w:type="gramStart"/>
      <w:r w:rsidR="00512A05" w:rsidRPr="00A121E2">
        <w:rPr>
          <w:rFonts w:ascii="Arial" w:eastAsia="Times New Roman" w:hAnsi="Arial" w:cs="Arial"/>
          <w:b/>
          <w:color w:val="000000"/>
          <w:sz w:val="24"/>
          <w:szCs w:val="24"/>
          <w:u w:val="single"/>
          <w:lang w:eastAsia="en-AU"/>
        </w:rPr>
        <w:t>ORS</w:t>
      </w:r>
      <w:r w:rsidR="00512A05" w:rsidRPr="00A121E2">
        <w:rPr>
          <w:rFonts w:ascii="Arial" w:eastAsia="Times New Roman" w:hAnsi="Arial" w:cs="Arial"/>
          <w:b/>
          <w:color w:val="000000"/>
          <w:sz w:val="24"/>
          <w:szCs w:val="24"/>
          <w:lang w:eastAsia="en-AU"/>
        </w:rPr>
        <w:t xml:space="preserve"> </w:t>
      </w:r>
      <w:r w:rsidR="00512A05">
        <w:rPr>
          <w:rFonts w:ascii="Arial" w:eastAsia="Times New Roman" w:hAnsi="Arial" w:cs="Arial"/>
          <w:b/>
          <w:color w:val="000000"/>
          <w:sz w:val="24"/>
          <w:szCs w:val="24"/>
          <w:lang w:eastAsia="en-AU"/>
        </w:rPr>
        <w:t xml:space="preserve"> </w:t>
      </w:r>
      <w:r w:rsidR="00512A05" w:rsidRPr="00A121E2">
        <w:rPr>
          <w:rFonts w:ascii="Arial" w:eastAsia="Times New Roman" w:hAnsi="Arial" w:cs="Arial"/>
          <w:b/>
          <w:color w:val="000000"/>
          <w:sz w:val="24"/>
          <w:szCs w:val="24"/>
          <w:lang w:eastAsia="en-AU"/>
        </w:rPr>
        <w:t>(</w:t>
      </w:r>
      <w:proofErr w:type="gramEnd"/>
      <w:r w:rsidR="00512A05" w:rsidRPr="00A121E2">
        <w:rPr>
          <w:rFonts w:ascii="Arial" w:eastAsia="Times New Roman" w:hAnsi="Arial" w:cs="Arial"/>
          <w:b/>
          <w:color w:val="000000"/>
          <w:sz w:val="24"/>
          <w:szCs w:val="24"/>
          <w:lang w:eastAsia="en-AU"/>
        </w:rPr>
        <w:t>S129/2020)</w:t>
      </w:r>
    </w:p>
    <w:p w14:paraId="696D1923" w14:textId="77777777" w:rsidR="00512A05" w:rsidRPr="00A920AB" w:rsidRDefault="00512A05" w:rsidP="00512A05">
      <w:pPr>
        <w:ind w:left="2694" w:hanging="2694"/>
        <w:rPr>
          <w:rFonts w:cs="Arial"/>
          <w:szCs w:val="24"/>
        </w:rPr>
      </w:pPr>
    </w:p>
    <w:p w14:paraId="196A43CF" w14:textId="77777777" w:rsidR="00512A05" w:rsidRPr="006A1C3E" w:rsidRDefault="00512A05" w:rsidP="00512A05">
      <w:pPr>
        <w:tabs>
          <w:tab w:val="left" w:pos="5812"/>
        </w:tabs>
        <w:ind w:left="2694" w:hanging="2694"/>
        <w:rPr>
          <w:rFonts w:cs="Arial"/>
          <w:szCs w:val="24"/>
        </w:rPr>
      </w:pPr>
      <w:r>
        <w:rPr>
          <w:rFonts w:cs="Arial"/>
          <w:szCs w:val="24"/>
          <w:u w:val="single"/>
        </w:rPr>
        <w:t>Date application for a constitutional or other writ filed</w:t>
      </w:r>
      <w:r w:rsidRPr="006A1C3E">
        <w:rPr>
          <w:rFonts w:cs="Arial"/>
          <w:szCs w:val="24"/>
        </w:rPr>
        <w:t>:</w:t>
      </w:r>
      <w:r w:rsidRPr="006A1C3E">
        <w:rPr>
          <w:rFonts w:cs="Arial"/>
          <w:szCs w:val="24"/>
        </w:rPr>
        <w:tab/>
      </w:r>
      <w:r>
        <w:rPr>
          <w:rFonts w:cs="Arial"/>
          <w:szCs w:val="24"/>
        </w:rPr>
        <w:t>3 August 2020</w:t>
      </w:r>
    </w:p>
    <w:p w14:paraId="1CB82BDA" w14:textId="77777777" w:rsidR="00512A05" w:rsidRPr="006A1C3E" w:rsidRDefault="00512A05" w:rsidP="00512A05">
      <w:pPr>
        <w:ind w:left="2694" w:hanging="2694"/>
        <w:rPr>
          <w:rFonts w:cs="Arial"/>
          <w:szCs w:val="24"/>
        </w:rPr>
      </w:pPr>
    </w:p>
    <w:p w14:paraId="607700E4" w14:textId="3FA155F4" w:rsidR="00512A05" w:rsidRDefault="00512A05" w:rsidP="00512A05">
      <w:pPr>
        <w:tabs>
          <w:tab w:val="left" w:pos="5812"/>
        </w:tabs>
        <w:ind w:left="2694" w:hanging="2694"/>
        <w:rPr>
          <w:rFonts w:cs="Arial"/>
          <w:szCs w:val="24"/>
        </w:rPr>
      </w:pPr>
      <w:r>
        <w:rPr>
          <w:rFonts w:cs="Arial"/>
          <w:szCs w:val="24"/>
          <w:u w:val="single"/>
        </w:rPr>
        <w:t>Date special case referred to Full Court</w:t>
      </w:r>
      <w:r w:rsidRPr="006A1C3E">
        <w:rPr>
          <w:rFonts w:cs="Arial"/>
          <w:szCs w:val="24"/>
        </w:rPr>
        <w:t>:</w:t>
      </w:r>
      <w:r>
        <w:rPr>
          <w:rFonts w:cs="Arial"/>
          <w:szCs w:val="24"/>
        </w:rPr>
        <w:tab/>
        <w:t>12 November 2020</w:t>
      </w:r>
      <w:bookmarkStart w:id="1" w:name="Heading133"/>
      <w:bookmarkEnd w:id="1"/>
    </w:p>
    <w:p w14:paraId="506A1B98" w14:textId="77777777" w:rsidR="00512A05" w:rsidRDefault="00512A05" w:rsidP="00512A05">
      <w:pPr>
        <w:ind w:left="2694" w:hanging="2694"/>
        <w:rPr>
          <w:rFonts w:cs="Arial"/>
          <w:szCs w:val="24"/>
        </w:rPr>
      </w:pPr>
    </w:p>
    <w:p w14:paraId="11B17E39" w14:textId="77777777" w:rsidR="00512A05" w:rsidRDefault="00512A05" w:rsidP="00512A05">
      <w:pPr>
        <w:jc w:val="both"/>
        <w:rPr>
          <w:rFonts w:cs="Arial"/>
          <w:szCs w:val="24"/>
        </w:rPr>
      </w:pPr>
      <w:r>
        <w:rPr>
          <w:rFonts w:cs="Arial"/>
          <w:szCs w:val="24"/>
        </w:rPr>
        <w:t xml:space="preserve">The Plaintiff, </w:t>
      </w:r>
      <w:proofErr w:type="spellStart"/>
      <w:r>
        <w:rPr>
          <w:rFonts w:cs="Arial"/>
          <w:szCs w:val="24"/>
        </w:rPr>
        <w:t>Mr</w:t>
      </w:r>
      <w:proofErr w:type="spellEnd"/>
      <w:r>
        <w:rPr>
          <w:rFonts w:cs="Arial"/>
          <w:szCs w:val="24"/>
        </w:rPr>
        <w:t xml:space="preserve"> John Zhang, is an Australian citizen who migrated to Australia from the People’s Republic of China (“the PRC”) in 1989.  From October 2018 to 21 September 2020 </w:t>
      </w:r>
      <w:proofErr w:type="spellStart"/>
      <w:r>
        <w:rPr>
          <w:rFonts w:cs="Arial"/>
          <w:szCs w:val="24"/>
        </w:rPr>
        <w:t>Mr</w:t>
      </w:r>
      <w:proofErr w:type="spellEnd"/>
      <w:r>
        <w:rPr>
          <w:rFonts w:cs="Arial"/>
          <w:szCs w:val="24"/>
        </w:rPr>
        <w:t xml:space="preserve"> Zhang was employed part-time at the New South Wales (“NSW”) Parliament in the office of the </w:t>
      </w:r>
      <w:proofErr w:type="spellStart"/>
      <w:r>
        <w:rPr>
          <w:rFonts w:cs="Arial"/>
          <w:szCs w:val="24"/>
        </w:rPr>
        <w:t>Honourable</w:t>
      </w:r>
      <w:proofErr w:type="spellEnd"/>
      <w:r>
        <w:rPr>
          <w:rFonts w:cs="Arial"/>
          <w:szCs w:val="24"/>
        </w:rPr>
        <w:t xml:space="preserve"> </w:t>
      </w:r>
      <w:proofErr w:type="spellStart"/>
      <w:r>
        <w:rPr>
          <w:rFonts w:cs="Arial"/>
          <w:szCs w:val="24"/>
        </w:rPr>
        <w:t>Shaoquett</w:t>
      </w:r>
      <w:proofErr w:type="spellEnd"/>
      <w:r>
        <w:rPr>
          <w:rFonts w:cs="Arial"/>
          <w:iCs/>
          <w:szCs w:val="24"/>
        </w:rPr>
        <w:t> </w:t>
      </w:r>
      <w:proofErr w:type="spellStart"/>
      <w:r>
        <w:rPr>
          <w:rFonts w:cs="Arial"/>
          <w:szCs w:val="24"/>
        </w:rPr>
        <w:t>Moselmane</w:t>
      </w:r>
      <w:proofErr w:type="spellEnd"/>
      <w:r>
        <w:rPr>
          <w:rFonts w:cs="Arial"/>
          <w:szCs w:val="24"/>
        </w:rPr>
        <w:t xml:space="preserve">, MLC, a member of the NSW </w:t>
      </w:r>
      <w:r w:rsidRPr="0039073B">
        <w:rPr>
          <w:rFonts w:cs="Arial"/>
          <w:szCs w:val="24"/>
        </w:rPr>
        <w:t>Opposition until his suspension from the Australian Labor Party on 27 June 2020.</w:t>
      </w:r>
    </w:p>
    <w:p w14:paraId="614408AD" w14:textId="77777777" w:rsidR="00512A05" w:rsidRDefault="00512A05" w:rsidP="00512A05">
      <w:pPr>
        <w:jc w:val="both"/>
        <w:rPr>
          <w:rFonts w:cs="Arial"/>
          <w:szCs w:val="24"/>
        </w:rPr>
      </w:pPr>
    </w:p>
    <w:p w14:paraId="0A0DC8FD" w14:textId="77777777" w:rsidR="00512A05" w:rsidRDefault="00512A05" w:rsidP="00512A05">
      <w:pPr>
        <w:jc w:val="both"/>
        <w:rPr>
          <w:rFonts w:cs="Arial"/>
          <w:szCs w:val="24"/>
        </w:rPr>
      </w:pPr>
      <w:r>
        <w:rPr>
          <w:rFonts w:cs="Arial"/>
          <w:szCs w:val="24"/>
        </w:rPr>
        <w:t xml:space="preserve">On 25 June 2020 the Second Defendant, a magistrate of the Local Court of NSW, issued two </w:t>
      </w:r>
      <w:r w:rsidRPr="00A12620">
        <w:rPr>
          <w:rFonts w:cs="Arial"/>
          <w:szCs w:val="24"/>
        </w:rPr>
        <w:t>search warrant</w:t>
      </w:r>
      <w:r>
        <w:rPr>
          <w:rFonts w:cs="Arial"/>
          <w:szCs w:val="24"/>
        </w:rPr>
        <w:t>s</w:t>
      </w:r>
      <w:r w:rsidRPr="00A12620">
        <w:rPr>
          <w:rFonts w:cs="Arial"/>
          <w:szCs w:val="24"/>
        </w:rPr>
        <w:t xml:space="preserve"> pursuant or purportedly pursuant to s</w:t>
      </w:r>
      <w:r>
        <w:rPr>
          <w:rFonts w:cs="Arial"/>
          <w:iCs/>
          <w:szCs w:val="24"/>
        </w:rPr>
        <w:t> </w:t>
      </w:r>
      <w:r>
        <w:rPr>
          <w:rFonts w:cs="Arial"/>
          <w:szCs w:val="24"/>
        </w:rPr>
        <w:t xml:space="preserve">3E of the </w:t>
      </w:r>
      <w:r>
        <w:rPr>
          <w:rFonts w:cs="Arial"/>
          <w:i/>
          <w:szCs w:val="24"/>
        </w:rPr>
        <w:t xml:space="preserve">Crimes Act 1914 </w:t>
      </w:r>
      <w:r>
        <w:rPr>
          <w:rFonts w:cs="Arial"/>
          <w:szCs w:val="24"/>
        </w:rPr>
        <w:t>(</w:t>
      </w:r>
      <w:proofErr w:type="spellStart"/>
      <w:r>
        <w:rPr>
          <w:rFonts w:cs="Arial"/>
          <w:szCs w:val="24"/>
        </w:rPr>
        <w:t>Cth</w:t>
      </w:r>
      <w:proofErr w:type="spellEnd"/>
      <w:r>
        <w:rPr>
          <w:rFonts w:cs="Arial"/>
          <w:szCs w:val="24"/>
        </w:rPr>
        <w:t xml:space="preserve">) (“the Act”) </w:t>
      </w:r>
      <w:proofErr w:type="spellStart"/>
      <w:r>
        <w:rPr>
          <w:rFonts w:cs="Arial"/>
          <w:szCs w:val="24"/>
        </w:rPr>
        <w:t>authorising</w:t>
      </w:r>
      <w:proofErr w:type="spellEnd"/>
      <w:r>
        <w:rPr>
          <w:rFonts w:cs="Arial"/>
          <w:szCs w:val="24"/>
        </w:rPr>
        <w:t xml:space="preserve"> members of the Australian Federal Police (“the AFP”) to enter and search </w:t>
      </w:r>
      <w:proofErr w:type="spellStart"/>
      <w:r>
        <w:rPr>
          <w:rFonts w:cs="Arial"/>
          <w:szCs w:val="24"/>
        </w:rPr>
        <w:t>Mr</w:t>
      </w:r>
      <w:proofErr w:type="spellEnd"/>
      <w:r>
        <w:rPr>
          <w:rFonts w:cs="Arial"/>
          <w:iCs/>
          <w:szCs w:val="24"/>
        </w:rPr>
        <w:t> </w:t>
      </w:r>
      <w:r>
        <w:rPr>
          <w:rFonts w:cs="Arial"/>
          <w:szCs w:val="24"/>
        </w:rPr>
        <w:t xml:space="preserve">Zhang’s residential premises (“the First Search Warrant”) and warehouse premises from which </w:t>
      </w:r>
      <w:proofErr w:type="spellStart"/>
      <w:r>
        <w:rPr>
          <w:rFonts w:cs="Arial"/>
          <w:szCs w:val="24"/>
        </w:rPr>
        <w:t>Mr</w:t>
      </w:r>
      <w:proofErr w:type="spellEnd"/>
      <w:r>
        <w:rPr>
          <w:rFonts w:cs="Arial"/>
          <w:iCs/>
          <w:szCs w:val="24"/>
        </w:rPr>
        <w:t> </w:t>
      </w:r>
      <w:r>
        <w:rPr>
          <w:rFonts w:cs="Arial"/>
          <w:szCs w:val="24"/>
        </w:rPr>
        <w:t xml:space="preserve">Zhang and his wife operated a business (“the Second Search Warrant”).  The Second Defendant also issued an order to </w:t>
      </w:r>
      <w:proofErr w:type="spellStart"/>
      <w:r>
        <w:rPr>
          <w:rFonts w:cs="Arial"/>
          <w:szCs w:val="24"/>
        </w:rPr>
        <w:t>Mr</w:t>
      </w:r>
      <w:proofErr w:type="spellEnd"/>
      <w:r>
        <w:rPr>
          <w:rFonts w:cs="Arial"/>
          <w:iCs/>
          <w:szCs w:val="24"/>
        </w:rPr>
        <w:t> </w:t>
      </w:r>
      <w:r>
        <w:rPr>
          <w:rFonts w:cs="Arial"/>
          <w:szCs w:val="24"/>
        </w:rPr>
        <w:t>Zhang pursuant to s</w:t>
      </w:r>
      <w:r>
        <w:rPr>
          <w:rFonts w:cs="Arial"/>
          <w:iCs/>
          <w:szCs w:val="24"/>
        </w:rPr>
        <w:t> </w:t>
      </w:r>
      <w:r>
        <w:rPr>
          <w:rFonts w:cs="Arial"/>
          <w:szCs w:val="24"/>
        </w:rPr>
        <w:t xml:space="preserve">3LA of the Act requiring </w:t>
      </w:r>
      <w:proofErr w:type="spellStart"/>
      <w:r>
        <w:rPr>
          <w:rFonts w:cs="Arial"/>
          <w:szCs w:val="24"/>
        </w:rPr>
        <w:t>Mr</w:t>
      </w:r>
      <w:proofErr w:type="spellEnd"/>
      <w:r>
        <w:rPr>
          <w:rFonts w:cs="Arial"/>
          <w:szCs w:val="24"/>
        </w:rPr>
        <w:t xml:space="preserve"> Zhang to provide the passcodes and other access assistance to three mobile phones at his residential premises (“the First s</w:t>
      </w:r>
      <w:r>
        <w:rPr>
          <w:rFonts w:cs="Arial"/>
          <w:iCs/>
          <w:szCs w:val="24"/>
        </w:rPr>
        <w:t> </w:t>
      </w:r>
      <w:r>
        <w:rPr>
          <w:rFonts w:cs="Arial"/>
          <w:szCs w:val="24"/>
        </w:rPr>
        <w:t xml:space="preserve">3LA Order”). </w:t>
      </w:r>
    </w:p>
    <w:p w14:paraId="4DE45A37" w14:textId="77777777" w:rsidR="00512A05" w:rsidRDefault="00512A05" w:rsidP="00512A05">
      <w:pPr>
        <w:jc w:val="both"/>
        <w:rPr>
          <w:rFonts w:cs="Arial"/>
          <w:szCs w:val="24"/>
        </w:rPr>
      </w:pPr>
    </w:p>
    <w:p w14:paraId="4C65D4AF" w14:textId="77777777" w:rsidR="00512A05" w:rsidRDefault="00512A05" w:rsidP="00512A05">
      <w:pPr>
        <w:jc w:val="both"/>
        <w:rPr>
          <w:rFonts w:cs="Arial"/>
          <w:szCs w:val="24"/>
        </w:rPr>
      </w:pPr>
      <w:r>
        <w:rPr>
          <w:rFonts w:cs="Arial"/>
          <w:szCs w:val="24"/>
        </w:rPr>
        <w:t xml:space="preserve">On 26, 27 and 28 June 2020 officers of the AFP executed the First and Second Search Warrants and searched </w:t>
      </w:r>
      <w:proofErr w:type="spellStart"/>
      <w:r>
        <w:rPr>
          <w:rFonts w:cs="Arial"/>
          <w:szCs w:val="24"/>
        </w:rPr>
        <w:t>Mr</w:t>
      </w:r>
      <w:proofErr w:type="spellEnd"/>
      <w:r>
        <w:rPr>
          <w:rFonts w:cs="Arial"/>
          <w:iCs/>
          <w:szCs w:val="24"/>
        </w:rPr>
        <w:t> </w:t>
      </w:r>
      <w:r>
        <w:rPr>
          <w:rFonts w:cs="Arial"/>
          <w:szCs w:val="24"/>
        </w:rPr>
        <w:t xml:space="preserve">Zhang’s residential premises and the warehouse premises.  Evidential material including mobile phones, computers and approximately $60,000 in cash contained in bundles of bank notes and in envelopes were identified and certain electronic devices were removed for examination.  In early July 2020, AFP officers conducted an examination of devices which had been removed </w:t>
      </w:r>
      <w:r w:rsidRPr="002D59F4">
        <w:rPr>
          <w:rFonts w:cs="Arial"/>
          <w:szCs w:val="24"/>
        </w:rPr>
        <w:t xml:space="preserve">including two Huawei mobile phones and three computers and requested that </w:t>
      </w:r>
      <w:proofErr w:type="spellStart"/>
      <w:r w:rsidRPr="002D59F4">
        <w:rPr>
          <w:rFonts w:cs="Arial"/>
          <w:szCs w:val="24"/>
        </w:rPr>
        <w:t>Mr</w:t>
      </w:r>
      <w:proofErr w:type="spellEnd"/>
      <w:r>
        <w:rPr>
          <w:rFonts w:cs="Arial"/>
          <w:iCs/>
          <w:szCs w:val="24"/>
        </w:rPr>
        <w:t> </w:t>
      </w:r>
      <w:r w:rsidRPr="002D59F4">
        <w:rPr>
          <w:rFonts w:cs="Arial"/>
          <w:szCs w:val="24"/>
        </w:rPr>
        <w:t xml:space="preserve">Zhang voluntarily provide passcodes for the WeChat application (an instant messaging service owned, controlled and operated by a company incorporated in the PRC) on the Huawei phones.  </w:t>
      </w:r>
    </w:p>
    <w:p w14:paraId="799D1C35" w14:textId="77777777" w:rsidR="00512A05" w:rsidRDefault="00512A05" w:rsidP="00512A05">
      <w:pPr>
        <w:jc w:val="both"/>
        <w:rPr>
          <w:rFonts w:cs="Arial"/>
          <w:szCs w:val="24"/>
        </w:rPr>
      </w:pPr>
    </w:p>
    <w:p w14:paraId="1B5006E8" w14:textId="77777777" w:rsidR="00512A05" w:rsidRDefault="00512A05" w:rsidP="00512A05">
      <w:pPr>
        <w:jc w:val="both"/>
        <w:rPr>
          <w:rFonts w:cs="Arial"/>
          <w:szCs w:val="24"/>
        </w:rPr>
      </w:pPr>
      <w:r>
        <w:rPr>
          <w:rFonts w:cs="Arial"/>
          <w:szCs w:val="24"/>
        </w:rPr>
        <w:t xml:space="preserve">On 23 July 2020 the Third Defendant, a registrar of the Local Court of NSW, issued a search </w:t>
      </w:r>
      <w:r w:rsidRPr="00A12620">
        <w:rPr>
          <w:rFonts w:cs="Arial"/>
          <w:szCs w:val="24"/>
        </w:rPr>
        <w:t>warrant pursuant or purportedly pursuant to s</w:t>
      </w:r>
      <w:r>
        <w:rPr>
          <w:rFonts w:cs="Arial"/>
          <w:iCs/>
          <w:szCs w:val="24"/>
        </w:rPr>
        <w:t> </w:t>
      </w:r>
      <w:r>
        <w:rPr>
          <w:rFonts w:cs="Arial"/>
          <w:szCs w:val="24"/>
        </w:rPr>
        <w:t xml:space="preserve">3E of the Act </w:t>
      </w:r>
      <w:proofErr w:type="spellStart"/>
      <w:r>
        <w:rPr>
          <w:rFonts w:cs="Arial"/>
          <w:szCs w:val="24"/>
        </w:rPr>
        <w:t>authorising</w:t>
      </w:r>
      <w:proofErr w:type="spellEnd"/>
      <w:r>
        <w:rPr>
          <w:rFonts w:cs="Arial"/>
          <w:szCs w:val="24"/>
        </w:rPr>
        <w:t xml:space="preserve"> members of the AFP to enter and search premises known as the ‘Jubilee Room’ in NSW Parliament House (“the Third Search Warrant”).  The Third Search Warrant was executed on 24 and 25 July 2020, during which AFP officers obtained copies of certain electronic data.</w:t>
      </w:r>
    </w:p>
    <w:p w14:paraId="6825AA40" w14:textId="77777777" w:rsidR="00512A05" w:rsidRDefault="00512A05" w:rsidP="00512A05">
      <w:pPr>
        <w:jc w:val="both"/>
        <w:rPr>
          <w:rFonts w:cs="Arial"/>
          <w:szCs w:val="24"/>
        </w:rPr>
      </w:pPr>
    </w:p>
    <w:p w14:paraId="08014D65" w14:textId="77777777" w:rsidR="00512A05" w:rsidRDefault="00512A05" w:rsidP="00512A05">
      <w:pPr>
        <w:jc w:val="both"/>
        <w:rPr>
          <w:rFonts w:cs="Arial"/>
          <w:szCs w:val="24"/>
        </w:rPr>
      </w:pPr>
      <w:r>
        <w:rPr>
          <w:rFonts w:cs="Arial"/>
          <w:szCs w:val="24"/>
        </w:rPr>
        <w:t>On 29 July 2020 the Fourth Defendant, a magistrate of the Local Court of NSW, made an order pursuant to s</w:t>
      </w:r>
      <w:r>
        <w:rPr>
          <w:rFonts w:cs="Arial"/>
          <w:iCs/>
          <w:szCs w:val="24"/>
        </w:rPr>
        <w:t> </w:t>
      </w:r>
      <w:r>
        <w:rPr>
          <w:rFonts w:cs="Arial"/>
          <w:szCs w:val="24"/>
        </w:rPr>
        <w:t xml:space="preserve">3LA of the Act requiring </w:t>
      </w:r>
      <w:proofErr w:type="spellStart"/>
      <w:r>
        <w:rPr>
          <w:rFonts w:cs="Arial"/>
          <w:szCs w:val="24"/>
        </w:rPr>
        <w:t>Mr</w:t>
      </w:r>
      <w:proofErr w:type="spellEnd"/>
      <w:r>
        <w:rPr>
          <w:rFonts w:cs="Arial"/>
          <w:iCs/>
          <w:szCs w:val="24"/>
        </w:rPr>
        <w:t> </w:t>
      </w:r>
      <w:r>
        <w:rPr>
          <w:rFonts w:cs="Arial"/>
          <w:szCs w:val="24"/>
        </w:rPr>
        <w:t>Zhang to provide any information or assistance that was reasonable and necessary to allow, amongst other things, AFP officers to access data held in or accessible from the Huawei phones (“the Second s</w:t>
      </w:r>
      <w:r>
        <w:rPr>
          <w:rFonts w:cs="Arial"/>
          <w:iCs/>
          <w:szCs w:val="24"/>
        </w:rPr>
        <w:t> </w:t>
      </w:r>
      <w:r>
        <w:rPr>
          <w:rFonts w:cs="Arial"/>
          <w:szCs w:val="24"/>
        </w:rPr>
        <w:t xml:space="preserve">3LA Order”).  </w:t>
      </w:r>
      <w:proofErr w:type="spellStart"/>
      <w:r>
        <w:rPr>
          <w:rFonts w:cs="Arial"/>
          <w:szCs w:val="24"/>
        </w:rPr>
        <w:t>Mr</w:t>
      </w:r>
      <w:proofErr w:type="spellEnd"/>
      <w:r>
        <w:rPr>
          <w:rFonts w:cs="Arial"/>
          <w:iCs/>
          <w:szCs w:val="24"/>
        </w:rPr>
        <w:t> </w:t>
      </w:r>
      <w:r>
        <w:rPr>
          <w:rFonts w:cs="Arial"/>
          <w:szCs w:val="24"/>
        </w:rPr>
        <w:t xml:space="preserve">Zhang subsequently provided passcodes for the </w:t>
      </w:r>
      <w:proofErr w:type="spellStart"/>
      <w:r>
        <w:rPr>
          <w:rFonts w:cs="Arial"/>
          <w:szCs w:val="24"/>
        </w:rPr>
        <w:t>Huawai</w:t>
      </w:r>
      <w:proofErr w:type="spellEnd"/>
      <w:r>
        <w:rPr>
          <w:rFonts w:cs="Arial"/>
          <w:szCs w:val="24"/>
        </w:rPr>
        <w:t xml:space="preserve"> phones but advised the AFP that he was unable recall his WeChat password and unable to find his WhatsApp password.</w:t>
      </w:r>
    </w:p>
    <w:p w14:paraId="3502BDA3" w14:textId="77777777" w:rsidR="00512A05" w:rsidRDefault="00512A05" w:rsidP="00512A05">
      <w:pPr>
        <w:jc w:val="both"/>
        <w:rPr>
          <w:rFonts w:cs="Arial"/>
          <w:szCs w:val="24"/>
        </w:rPr>
      </w:pPr>
    </w:p>
    <w:p w14:paraId="4531D48E" w14:textId="77777777" w:rsidR="00512A05" w:rsidRDefault="00512A05" w:rsidP="00512A05">
      <w:pPr>
        <w:jc w:val="both"/>
        <w:rPr>
          <w:rFonts w:cs="Arial"/>
          <w:szCs w:val="24"/>
        </w:rPr>
      </w:pPr>
      <w:r w:rsidRPr="00A62FDA">
        <w:rPr>
          <w:rFonts w:cs="Arial"/>
          <w:szCs w:val="24"/>
        </w:rPr>
        <w:t>Each of the First, Second and Third Search Warrants were expressed to relate to offences contrary to ss</w:t>
      </w:r>
      <w:r>
        <w:rPr>
          <w:rFonts w:cs="Arial"/>
          <w:iCs/>
          <w:szCs w:val="24"/>
        </w:rPr>
        <w:t> </w:t>
      </w:r>
      <w:r w:rsidRPr="00A62FDA">
        <w:rPr>
          <w:rFonts w:cs="Arial"/>
          <w:szCs w:val="24"/>
        </w:rPr>
        <w:t xml:space="preserve">92.3(1) and 92.3(2) of the Schedule to the </w:t>
      </w:r>
      <w:r w:rsidRPr="00A62FDA">
        <w:rPr>
          <w:rFonts w:cs="Arial"/>
          <w:i/>
          <w:szCs w:val="24"/>
        </w:rPr>
        <w:t xml:space="preserve">Criminal Code Act 1995 </w:t>
      </w:r>
      <w:r w:rsidRPr="00A62FDA">
        <w:rPr>
          <w:rFonts w:cs="Arial"/>
          <w:szCs w:val="24"/>
        </w:rPr>
        <w:t>(</w:t>
      </w:r>
      <w:proofErr w:type="spellStart"/>
      <w:r w:rsidRPr="00A62FDA">
        <w:rPr>
          <w:rFonts w:cs="Arial"/>
          <w:szCs w:val="24"/>
        </w:rPr>
        <w:t>Cth</w:t>
      </w:r>
      <w:proofErr w:type="spellEnd"/>
      <w:r w:rsidRPr="00A62FDA">
        <w:rPr>
          <w:rFonts w:cs="Arial"/>
          <w:szCs w:val="24"/>
        </w:rPr>
        <w:t>) (“the Criminal Code”)</w:t>
      </w:r>
      <w:r>
        <w:rPr>
          <w:rFonts w:cs="Arial"/>
          <w:szCs w:val="24"/>
        </w:rPr>
        <w:t>, being indictable offences of reckless foreign interference</w:t>
      </w:r>
      <w:r w:rsidRPr="00A62FDA">
        <w:rPr>
          <w:rFonts w:cs="Arial"/>
          <w:szCs w:val="24"/>
        </w:rPr>
        <w:t xml:space="preserve">.  The alleged conduct included engagement by </w:t>
      </w:r>
      <w:proofErr w:type="spellStart"/>
      <w:r w:rsidRPr="00A62FDA">
        <w:rPr>
          <w:rFonts w:cs="Arial"/>
          <w:szCs w:val="24"/>
        </w:rPr>
        <w:t>Mr</w:t>
      </w:r>
      <w:proofErr w:type="spellEnd"/>
      <w:r>
        <w:rPr>
          <w:rFonts w:cs="Arial"/>
          <w:iCs/>
          <w:szCs w:val="24"/>
        </w:rPr>
        <w:t> </w:t>
      </w:r>
      <w:r w:rsidRPr="00A62FDA">
        <w:rPr>
          <w:rFonts w:cs="Arial"/>
          <w:szCs w:val="24"/>
        </w:rPr>
        <w:t xml:space="preserve">Zhang and others while acting on behalf of Chinese State and Party apparatus in a private social </w:t>
      </w:r>
      <w:r w:rsidRPr="00A62FDA">
        <w:rPr>
          <w:rFonts w:cs="Arial"/>
          <w:szCs w:val="24"/>
        </w:rPr>
        <w:lastRenderedPageBreak/>
        <w:t>media chat group</w:t>
      </w:r>
      <w:r>
        <w:rPr>
          <w:rFonts w:cs="Arial"/>
          <w:szCs w:val="24"/>
        </w:rPr>
        <w:t xml:space="preserve"> and in other fora</w:t>
      </w:r>
      <w:r w:rsidRPr="00A62FDA">
        <w:rPr>
          <w:rFonts w:cs="Arial"/>
          <w:szCs w:val="24"/>
        </w:rPr>
        <w:t xml:space="preserve"> with </w:t>
      </w:r>
      <w:proofErr w:type="spellStart"/>
      <w:r w:rsidRPr="00A62FDA">
        <w:rPr>
          <w:rFonts w:cs="Arial"/>
          <w:szCs w:val="24"/>
        </w:rPr>
        <w:t>Mr</w:t>
      </w:r>
      <w:proofErr w:type="spellEnd"/>
      <w:r w:rsidRPr="00A62FDA">
        <w:rPr>
          <w:rFonts w:cs="Arial"/>
          <w:szCs w:val="24"/>
        </w:rPr>
        <w:t xml:space="preserve"> </w:t>
      </w:r>
      <w:proofErr w:type="spellStart"/>
      <w:r w:rsidRPr="00A62FDA">
        <w:rPr>
          <w:rFonts w:cs="Arial"/>
          <w:szCs w:val="24"/>
        </w:rPr>
        <w:t>Mosel</w:t>
      </w:r>
      <w:r>
        <w:rPr>
          <w:rFonts w:cs="Arial"/>
          <w:szCs w:val="24"/>
        </w:rPr>
        <w:t>m</w:t>
      </w:r>
      <w:r w:rsidRPr="00A62FDA">
        <w:rPr>
          <w:rFonts w:cs="Arial"/>
          <w:szCs w:val="24"/>
        </w:rPr>
        <w:t>ane</w:t>
      </w:r>
      <w:proofErr w:type="spellEnd"/>
      <w:r w:rsidRPr="00A62FDA">
        <w:rPr>
          <w:rFonts w:cs="Arial"/>
          <w:szCs w:val="24"/>
        </w:rPr>
        <w:t>, to advance the interests and policy goals of a foreign principal, being the PRC</w:t>
      </w:r>
      <w:r>
        <w:rPr>
          <w:rFonts w:cs="Arial"/>
          <w:szCs w:val="24"/>
        </w:rPr>
        <w:t>.</w:t>
      </w:r>
    </w:p>
    <w:p w14:paraId="23B42A39" w14:textId="77777777" w:rsidR="00512A05" w:rsidRDefault="00512A05" w:rsidP="00512A05">
      <w:pPr>
        <w:jc w:val="both"/>
        <w:rPr>
          <w:rFonts w:cs="Arial"/>
          <w:szCs w:val="24"/>
        </w:rPr>
      </w:pPr>
    </w:p>
    <w:p w14:paraId="51C48FFE" w14:textId="77777777" w:rsidR="00512A05" w:rsidRDefault="00512A05" w:rsidP="00512A05">
      <w:pPr>
        <w:jc w:val="both"/>
        <w:rPr>
          <w:rFonts w:cs="Arial"/>
          <w:szCs w:val="24"/>
        </w:rPr>
      </w:pPr>
      <w:r>
        <w:rPr>
          <w:rFonts w:cs="Arial"/>
          <w:szCs w:val="24"/>
        </w:rPr>
        <w:t xml:space="preserve">In his proceeding in this Court, </w:t>
      </w:r>
      <w:proofErr w:type="spellStart"/>
      <w:r>
        <w:rPr>
          <w:rFonts w:cs="Arial"/>
          <w:szCs w:val="24"/>
        </w:rPr>
        <w:t>Mr</w:t>
      </w:r>
      <w:proofErr w:type="spellEnd"/>
      <w:r>
        <w:rPr>
          <w:rFonts w:cs="Arial"/>
          <w:iCs/>
          <w:szCs w:val="24"/>
        </w:rPr>
        <w:t> </w:t>
      </w:r>
      <w:r>
        <w:rPr>
          <w:rFonts w:cs="Arial"/>
          <w:szCs w:val="24"/>
        </w:rPr>
        <w:t>Zhang seeks relief which includes the quashing of the First, Second and Third Search Warrants and the First and Second s</w:t>
      </w:r>
      <w:r>
        <w:rPr>
          <w:rFonts w:cs="Arial"/>
          <w:iCs/>
          <w:szCs w:val="24"/>
        </w:rPr>
        <w:t> </w:t>
      </w:r>
      <w:r>
        <w:rPr>
          <w:rFonts w:cs="Arial"/>
          <w:szCs w:val="24"/>
        </w:rPr>
        <w:t xml:space="preserve">3LA Orders.  </w:t>
      </w:r>
      <w:proofErr w:type="spellStart"/>
      <w:r>
        <w:rPr>
          <w:rFonts w:cs="Arial"/>
          <w:szCs w:val="24"/>
        </w:rPr>
        <w:t>Mr</w:t>
      </w:r>
      <w:proofErr w:type="spellEnd"/>
      <w:r>
        <w:rPr>
          <w:rFonts w:cs="Arial"/>
          <w:iCs/>
          <w:szCs w:val="24"/>
        </w:rPr>
        <w:t> </w:t>
      </w:r>
      <w:r>
        <w:rPr>
          <w:rFonts w:cs="Arial"/>
          <w:szCs w:val="24"/>
        </w:rPr>
        <w:t xml:space="preserve">Zhang also seeks that the material seized by the AFP be destroyed or delivered up to him. </w:t>
      </w:r>
    </w:p>
    <w:p w14:paraId="7CD4E174" w14:textId="77777777" w:rsidR="00512A05" w:rsidRDefault="00512A05" w:rsidP="00512A05">
      <w:pPr>
        <w:jc w:val="both"/>
        <w:rPr>
          <w:rFonts w:cs="Arial"/>
          <w:szCs w:val="24"/>
        </w:rPr>
      </w:pPr>
    </w:p>
    <w:p w14:paraId="0DDA2BB6" w14:textId="77777777" w:rsidR="00512A05" w:rsidRDefault="00512A05" w:rsidP="00512A05">
      <w:pPr>
        <w:jc w:val="both"/>
        <w:rPr>
          <w:rFonts w:cs="Arial"/>
          <w:szCs w:val="24"/>
        </w:rPr>
      </w:pPr>
      <w:r>
        <w:rPr>
          <w:rFonts w:cs="Arial"/>
          <w:szCs w:val="24"/>
        </w:rPr>
        <w:t>The parties filed a Special Case, the questions in which Justice</w:t>
      </w:r>
      <w:r>
        <w:rPr>
          <w:rFonts w:cs="Arial"/>
          <w:iCs/>
          <w:szCs w:val="24"/>
        </w:rPr>
        <w:t> </w:t>
      </w:r>
      <w:r>
        <w:rPr>
          <w:rFonts w:cs="Arial"/>
          <w:szCs w:val="24"/>
        </w:rPr>
        <w:t>Nettle referred for consideration by the Full Court.  The Special Case states the following questions for the opinion of the Court:</w:t>
      </w:r>
    </w:p>
    <w:p w14:paraId="05CB8F4E" w14:textId="77777777" w:rsidR="00512A05" w:rsidRDefault="00512A05" w:rsidP="00512A05">
      <w:pPr>
        <w:ind w:left="2694" w:hanging="2694"/>
        <w:rPr>
          <w:rFonts w:cs="Arial"/>
          <w:szCs w:val="24"/>
        </w:rPr>
      </w:pPr>
    </w:p>
    <w:p w14:paraId="6D4560ED" w14:textId="77777777" w:rsidR="00512A05" w:rsidRDefault="00512A05" w:rsidP="00512A05">
      <w:pPr>
        <w:numPr>
          <w:ilvl w:val="0"/>
          <w:numId w:val="10"/>
        </w:numPr>
        <w:autoSpaceDE w:val="0"/>
        <w:autoSpaceDN w:val="0"/>
        <w:adjustRightInd w:val="0"/>
        <w:ind w:hanging="578"/>
        <w:rPr>
          <w:rFonts w:cs="Arial"/>
          <w:szCs w:val="24"/>
        </w:rPr>
      </w:pPr>
      <w:r>
        <w:rPr>
          <w:rFonts w:cs="Arial"/>
          <w:szCs w:val="24"/>
        </w:rPr>
        <w:t>Are the First Search Warrant, the Second Search Warrant, and the Third Search Warrant invalid, in whole or in part, on the ground that:</w:t>
      </w:r>
    </w:p>
    <w:p w14:paraId="19A449C7" w14:textId="77777777" w:rsidR="00512A05" w:rsidRDefault="00512A05" w:rsidP="00512A05">
      <w:pPr>
        <w:autoSpaceDE w:val="0"/>
        <w:autoSpaceDN w:val="0"/>
        <w:adjustRightInd w:val="0"/>
        <w:ind w:left="720" w:hanging="436"/>
        <w:rPr>
          <w:rFonts w:cs="Arial"/>
          <w:szCs w:val="24"/>
        </w:rPr>
      </w:pPr>
    </w:p>
    <w:p w14:paraId="4EAF1D80" w14:textId="77777777" w:rsidR="00512A05" w:rsidRDefault="00512A05" w:rsidP="00512A05">
      <w:pPr>
        <w:numPr>
          <w:ilvl w:val="1"/>
          <w:numId w:val="10"/>
        </w:numPr>
        <w:autoSpaceDE w:val="0"/>
        <w:autoSpaceDN w:val="0"/>
        <w:adjustRightInd w:val="0"/>
        <w:ind w:left="1276" w:hanging="567"/>
        <w:rPr>
          <w:rFonts w:cs="Arial"/>
          <w:szCs w:val="24"/>
        </w:rPr>
      </w:pPr>
      <w:r>
        <w:rPr>
          <w:rFonts w:cs="Arial"/>
          <w:szCs w:val="24"/>
        </w:rPr>
        <w:t>they misstate the substance of s</w:t>
      </w:r>
      <w:r>
        <w:rPr>
          <w:rFonts w:cs="Arial"/>
          <w:iCs/>
          <w:szCs w:val="24"/>
        </w:rPr>
        <w:t> </w:t>
      </w:r>
      <w:r>
        <w:rPr>
          <w:rFonts w:cs="Arial"/>
          <w:szCs w:val="24"/>
        </w:rPr>
        <w:t xml:space="preserve">92.3(2) of the </w:t>
      </w:r>
      <w:r w:rsidRPr="006065E5">
        <w:rPr>
          <w:rFonts w:cs="Arial"/>
          <w:szCs w:val="24"/>
        </w:rPr>
        <w:t xml:space="preserve">Criminal </w:t>
      </w:r>
      <w:proofErr w:type="gramStart"/>
      <w:r w:rsidRPr="006065E5">
        <w:rPr>
          <w:rFonts w:cs="Arial"/>
          <w:szCs w:val="24"/>
        </w:rPr>
        <w:t>Code</w:t>
      </w:r>
      <w:r>
        <w:rPr>
          <w:rFonts w:cs="Arial"/>
          <w:szCs w:val="24"/>
        </w:rPr>
        <w:t>?</w:t>
      </w:r>
      <w:proofErr w:type="gramEnd"/>
    </w:p>
    <w:p w14:paraId="2F0B98E8" w14:textId="77777777" w:rsidR="00512A05" w:rsidRDefault="00512A05" w:rsidP="00512A05">
      <w:pPr>
        <w:autoSpaceDE w:val="0"/>
        <w:autoSpaceDN w:val="0"/>
        <w:adjustRightInd w:val="0"/>
        <w:ind w:left="1276" w:hanging="567"/>
        <w:rPr>
          <w:rFonts w:cs="Arial"/>
          <w:szCs w:val="24"/>
        </w:rPr>
      </w:pPr>
    </w:p>
    <w:p w14:paraId="6AF5DB37" w14:textId="77777777" w:rsidR="00512A05" w:rsidRDefault="00512A05" w:rsidP="00512A05">
      <w:pPr>
        <w:numPr>
          <w:ilvl w:val="1"/>
          <w:numId w:val="10"/>
        </w:numPr>
        <w:autoSpaceDE w:val="0"/>
        <w:autoSpaceDN w:val="0"/>
        <w:adjustRightInd w:val="0"/>
        <w:ind w:left="1276" w:hanging="567"/>
        <w:rPr>
          <w:rFonts w:cs="Arial"/>
          <w:szCs w:val="24"/>
        </w:rPr>
      </w:pPr>
      <w:r>
        <w:rPr>
          <w:rFonts w:cs="Arial"/>
          <w:szCs w:val="24"/>
        </w:rPr>
        <w:t xml:space="preserve">they fail to state the offences to which they relate with sufficient </w:t>
      </w:r>
      <w:proofErr w:type="gramStart"/>
      <w:r>
        <w:rPr>
          <w:rFonts w:cs="Arial"/>
          <w:szCs w:val="24"/>
        </w:rPr>
        <w:t>precision?</w:t>
      </w:r>
      <w:proofErr w:type="gramEnd"/>
    </w:p>
    <w:p w14:paraId="74E7AC23" w14:textId="77777777" w:rsidR="00512A05" w:rsidRDefault="00512A05" w:rsidP="00512A05">
      <w:pPr>
        <w:autoSpaceDE w:val="0"/>
        <w:autoSpaceDN w:val="0"/>
        <w:adjustRightInd w:val="0"/>
        <w:ind w:left="1276" w:hanging="567"/>
        <w:rPr>
          <w:rFonts w:cs="Arial"/>
          <w:szCs w:val="24"/>
        </w:rPr>
      </w:pPr>
    </w:p>
    <w:p w14:paraId="76C3AEED" w14:textId="77777777" w:rsidR="00512A05" w:rsidRDefault="00512A05" w:rsidP="00512A05">
      <w:pPr>
        <w:numPr>
          <w:ilvl w:val="1"/>
          <w:numId w:val="10"/>
        </w:numPr>
        <w:autoSpaceDE w:val="0"/>
        <w:autoSpaceDN w:val="0"/>
        <w:adjustRightInd w:val="0"/>
        <w:ind w:left="1276" w:hanging="567"/>
        <w:rPr>
          <w:rFonts w:cs="Arial"/>
          <w:szCs w:val="24"/>
        </w:rPr>
      </w:pPr>
      <w:r>
        <w:rPr>
          <w:rFonts w:cs="Arial"/>
          <w:szCs w:val="24"/>
        </w:rPr>
        <w:t>s</w:t>
      </w:r>
      <w:r>
        <w:rPr>
          <w:rFonts w:cs="Arial"/>
          <w:iCs/>
          <w:szCs w:val="24"/>
        </w:rPr>
        <w:t> </w:t>
      </w:r>
      <w:r>
        <w:rPr>
          <w:rFonts w:cs="Arial"/>
          <w:szCs w:val="24"/>
        </w:rPr>
        <w:t xml:space="preserve">92.3(1) of the </w:t>
      </w:r>
      <w:r w:rsidRPr="006065E5">
        <w:rPr>
          <w:rFonts w:cs="Arial"/>
          <w:szCs w:val="24"/>
        </w:rPr>
        <w:t>Criminal Code</w:t>
      </w:r>
      <w:r>
        <w:rPr>
          <w:rFonts w:cs="Arial"/>
          <w:i/>
          <w:szCs w:val="24"/>
        </w:rPr>
        <w:t xml:space="preserve"> </w:t>
      </w:r>
      <w:r>
        <w:rPr>
          <w:rFonts w:cs="Arial"/>
          <w:szCs w:val="24"/>
        </w:rPr>
        <w:t xml:space="preserve">is invalid on the ground that it impermissibly burdens the implied freedom of political </w:t>
      </w:r>
      <w:proofErr w:type="gramStart"/>
      <w:r>
        <w:rPr>
          <w:rFonts w:cs="Arial"/>
          <w:szCs w:val="24"/>
        </w:rPr>
        <w:t>communication?</w:t>
      </w:r>
      <w:proofErr w:type="gramEnd"/>
    </w:p>
    <w:p w14:paraId="4C1AAFCF" w14:textId="77777777" w:rsidR="00512A05" w:rsidRDefault="00512A05" w:rsidP="00512A05">
      <w:pPr>
        <w:autoSpaceDE w:val="0"/>
        <w:autoSpaceDN w:val="0"/>
        <w:adjustRightInd w:val="0"/>
        <w:ind w:left="1276" w:hanging="567"/>
        <w:rPr>
          <w:rFonts w:cs="Arial"/>
          <w:szCs w:val="24"/>
        </w:rPr>
      </w:pPr>
    </w:p>
    <w:p w14:paraId="36D77FD3" w14:textId="77777777" w:rsidR="00512A05" w:rsidRDefault="00512A05" w:rsidP="00512A05">
      <w:pPr>
        <w:numPr>
          <w:ilvl w:val="1"/>
          <w:numId w:val="10"/>
        </w:numPr>
        <w:autoSpaceDE w:val="0"/>
        <w:autoSpaceDN w:val="0"/>
        <w:adjustRightInd w:val="0"/>
        <w:ind w:left="1276" w:hanging="567"/>
        <w:rPr>
          <w:rFonts w:cs="Arial"/>
          <w:szCs w:val="24"/>
        </w:rPr>
      </w:pPr>
      <w:r>
        <w:rPr>
          <w:rFonts w:cs="Arial"/>
          <w:szCs w:val="24"/>
        </w:rPr>
        <w:t>s</w:t>
      </w:r>
      <w:r>
        <w:rPr>
          <w:rFonts w:cs="Arial"/>
          <w:iCs/>
          <w:szCs w:val="24"/>
        </w:rPr>
        <w:t> </w:t>
      </w:r>
      <w:r>
        <w:rPr>
          <w:rFonts w:cs="Arial"/>
          <w:szCs w:val="24"/>
        </w:rPr>
        <w:t xml:space="preserve">92.3(2) of the </w:t>
      </w:r>
      <w:r w:rsidRPr="006065E5">
        <w:rPr>
          <w:rFonts w:cs="Arial"/>
          <w:szCs w:val="24"/>
        </w:rPr>
        <w:t>Criminal Code</w:t>
      </w:r>
      <w:r>
        <w:rPr>
          <w:rFonts w:cs="Arial"/>
          <w:i/>
          <w:szCs w:val="24"/>
        </w:rPr>
        <w:t xml:space="preserve"> </w:t>
      </w:r>
      <w:r>
        <w:rPr>
          <w:rFonts w:cs="Arial"/>
          <w:szCs w:val="24"/>
        </w:rPr>
        <w:t xml:space="preserve">is invalid on the ground that it impermissibly burdens the implied freedom of political </w:t>
      </w:r>
      <w:proofErr w:type="gramStart"/>
      <w:r>
        <w:rPr>
          <w:rFonts w:cs="Arial"/>
          <w:szCs w:val="24"/>
        </w:rPr>
        <w:t>communication?</w:t>
      </w:r>
      <w:proofErr w:type="gramEnd"/>
    </w:p>
    <w:p w14:paraId="044FA383" w14:textId="77777777" w:rsidR="00512A05" w:rsidRDefault="00512A05" w:rsidP="00512A05">
      <w:pPr>
        <w:autoSpaceDE w:val="0"/>
        <w:autoSpaceDN w:val="0"/>
        <w:adjustRightInd w:val="0"/>
        <w:ind w:left="720" w:hanging="436"/>
        <w:rPr>
          <w:rFonts w:cs="Arial"/>
          <w:szCs w:val="24"/>
        </w:rPr>
      </w:pPr>
    </w:p>
    <w:p w14:paraId="7E40949B" w14:textId="77777777" w:rsidR="00512A05" w:rsidRDefault="00512A05" w:rsidP="00512A05">
      <w:pPr>
        <w:numPr>
          <w:ilvl w:val="0"/>
          <w:numId w:val="10"/>
        </w:numPr>
        <w:autoSpaceDE w:val="0"/>
        <w:autoSpaceDN w:val="0"/>
        <w:adjustRightInd w:val="0"/>
        <w:ind w:hanging="578"/>
        <w:rPr>
          <w:rFonts w:cs="Arial"/>
          <w:szCs w:val="24"/>
        </w:rPr>
      </w:pPr>
      <w:proofErr w:type="gramStart"/>
      <w:r>
        <w:rPr>
          <w:rFonts w:cs="Arial"/>
          <w:szCs w:val="24"/>
        </w:rPr>
        <w:t>In light of</w:t>
      </w:r>
      <w:proofErr w:type="gramEnd"/>
      <w:r>
        <w:rPr>
          <w:rFonts w:cs="Arial"/>
          <w:szCs w:val="24"/>
        </w:rPr>
        <w:t xml:space="preserve"> the answer to Question 1, is the First s</w:t>
      </w:r>
      <w:r>
        <w:rPr>
          <w:rFonts w:cs="Arial"/>
          <w:iCs/>
          <w:szCs w:val="24"/>
        </w:rPr>
        <w:t> </w:t>
      </w:r>
      <w:r>
        <w:rPr>
          <w:rFonts w:cs="Arial"/>
          <w:szCs w:val="24"/>
        </w:rPr>
        <w:t>3LA Order and/or the Second s</w:t>
      </w:r>
      <w:r>
        <w:rPr>
          <w:rFonts w:cs="Arial"/>
          <w:iCs/>
          <w:szCs w:val="24"/>
        </w:rPr>
        <w:t> </w:t>
      </w:r>
      <w:r>
        <w:rPr>
          <w:rFonts w:cs="Arial"/>
          <w:szCs w:val="24"/>
        </w:rPr>
        <w:t>3LA Order invalid?</w:t>
      </w:r>
    </w:p>
    <w:p w14:paraId="0E91EB1C" w14:textId="77777777" w:rsidR="00512A05" w:rsidRDefault="00512A05" w:rsidP="00512A05">
      <w:pPr>
        <w:autoSpaceDE w:val="0"/>
        <w:autoSpaceDN w:val="0"/>
        <w:adjustRightInd w:val="0"/>
        <w:ind w:left="720"/>
        <w:rPr>
          <w:rFonts w:cs="Arial"/>
          <w:szCs w:val="24"/>
        </w:rPr>
      </w:pPr>
    </w:p>
    <w:p w14:paraId="0EF53AC3" w14:textId="77777777" w:rsidR="00512A05" w:rsidRDefault="00512A05" w:rsidP="00512A05">
      <w:pPr>
        <w:numPr>
          <w:ilvl w:val="0"/>
          <w:numId w:val="10"/>
        </w:numPr>
        <w:autoSpaceDE w:val="0"/>
        <w:autoSpaceDN w:val="0"/>
        <w:adjustRightInd w:val="0"/>
        <w:ind w:hanging="578"/>
        <w:rPr>
          <w:rFonts w:cs="Arial"/>
          <w:szCs w:val="24"/>
        </w:rPr>
      </w:pPr>
      <w:r>
        <w:rPr>
          <w:rFonts w:cs="Arial"/>
          <w:szCs w:val="24"/>
        </w:rPr>
        <w:t>Is s</w:t>
      </w:r>
      <w:r>
        <w:rPr>
          <w:rFonts w:cs="Arial"/>
          <w:iCs/>
          <w:szCs w:val="24"/>
        </w:rPr>
        <w:t> </w:t>
      </w:r>
      <w:r>
        <w:rPr>
          <w:rFonts w:cs="Arial"/>
          <w:szCs w:val="24"/>
        </w:rPr>
        <w:t xml:space="preserve">92.3(1) of the </w:t>
      </w:r>
      <w:r w:rsidRPr="006065E5">
        <w:rPr>
          <w:rFonts w:cs="Arial"/>
          <w:szCs w:val="24"/>
        </w:rPr>
        <w:t>Criminal Code</w:t>
      </w:r>
      <w:r>
        <w:rPr>
          <w:rFonts w:cs="Arial"/>
          <w:szCs w:val="24"/>
        </w:rPr>
        <w:t xml:space="preserve"> invalid on the ground that it impermissibly burdens the implied freedom of political communication?</w:t>
      </w:r>
    </w:p>
    <w:p w14:paraId="70DBF70B" w14:textId="77777777" w:rsidR="00512A05" w:rsidRDefault="00512A05" w:rsidP="00512A05">
      <w:pPr>
        <w:autoSpaceDE w:val="0"/>
        <w:autoSpaceDN w:val="0"/>
        <w:adjustRightInd w:val="0"/>
        <w:ind w:left="720"/>
        <w:rPr>
          <w:rFonts w:cs="Arial"/>
          <w:szCs w:val="24"/>
        </w:rPr>
      </w:pPr>
    </w:p>
    <w:p w14:paraId="41A167A4" w14:textId="77777777" w:rsidR="00512A05" w:rsidRDefault="00512A05" w:rsidP="00512A05">
      <w:pPr>
        <w:numPr>
          <w:ilvl w:val="0"/>
          <w:numId w:val="10"/>
        </w:numPr>
        <w:autoSpaceDE w:val="0"/>
        <w:autoSpaceDN w:val="0"/>
        <w:adjustRightInd w:val="0"/>
        <w:ind w:hanging="578"/>
        <w:rPr>
          <w:rFonts w:cs="Arial"/>
          <w:szCs w:val="24"/>
        </w:rPr>
      </w:pPr>
      <w:r>
        <w:rPr>
          <w:rFonts w:cs="Arial"/>
          <w:szCs w:val="24"/>
        </w:rPr>
        <w:t>Is s</w:t>
      </w:r>
      <w:r>
        <w:rPr>
          <w:rFonts w:cs="Arial"/>
          <w:iCs/>
          <w:szCs w:val="24"/>
        </w:rPr>
        <w:t> </w:t>
      </w:r>
      <w:r>
        <w:rPr>
          <w:rFonts w:cs="Arial"/>
          <w:szCs w:val="24"/>
        </w:rPr>
        <w:t>92.3(2) of the Criminal Code invalid on the ground that it impermissibly burdens the implied freedom of political communication?</w:t>
      </w:r>
    </w:p>
    <w:p w14:paraId="6811E826" w14:textId="77777777" w:rsidR="00512A05" w:rsidRDefault="00512A05" w:rsidP="00512A05">
      <w:pPr>
        <w:autoSpaceDE w:val="0"/>
        <w:autoSpaceDN w:val="0"/>
        <w:adjustRightInd w:val="0"/>
        <w:ind w:left="720"/>
        <w:rPr>
          <w:rFonts w:cs="Arial"/>
          <w:szCs w:val="24"/>
        </w:rPr>
      </w:pPr>
    </w:p>
    <w:p w14:paraId="1203F763" w14:textId="77777777" w:rsidR="00512A05" w:rsidRDefault="00512A05" w:rsidP="00512A05">
      <w:pPr>
        <w:numPr>
          <w:ilvl w:val="0"/>
          <w:numId w:val="10"/>
        </w:numPr>
        <w:autoSpaceDE w:val="0"/>
        <w:autoSpaceDN w:val="0"/>
        <w:adjustRightInd w:val="0"/>
        <w:ind w:hanging="578"/>
        <w:rPr>
          <w:rFonts w:cs="Arial"/>
          <w:szCs w:val="24"/>
        </w:rPr>
      </w:pPr>
      <w:r>
        <w:rPr>
          <w:rFonts w:cs="Arial"/>
          <w:szCs w:val="24"/>
        </w:rPr>
        <w:t xml:space="preserve">If the answer to any or </w:t>
      </w:r>
      <w:proofErr w:type="gramStart"/>
      <w:r>
        <w:rPr>
          <w:rFonts w:cs="Arial"/>
          <w:szCs w:val="24"/>
        </w:rPr>
        <w:t>all of</w:t>
      </w:r>
      <w:proofErr w:type="gramEnd"/>
      <w:r>
        <w:rPr>
          <w:rFonts w:cs="Arial"/>
          <w:szCs w:val="24"/>
        </w:rPr>
        <w:t xml:space="preserve"> the questions (1)-(4) is ‘yes’, what relief, if any, should issue?</w:t>
      </w:r>
    </w:p>
    <w:p w14:paraId="3D3654ED" w14:textId="77777777" w:rsidR="00512A05" w:rsidRDefault="00512A05" w:rsidP="00512A05">
      <w:pPr>
        <w:autoSpaceDE w:val="0"/>
        <w:autoSpaceDN w:val="0"/>
        <w:adjustRightInd w:val="0"/>
        <w:ind w:left="720"/>
        <w:rPr>
          <w:rFonts w:cs="Arial"/>
          <w:szCs w:val="24"/>
        </w:rPr>
      </w:pPr>
    </w:p>
    <w:p w14:paraId="6864D845" w14:textId="77777777" w:rsidR="00512A05" w:rsidRDefault="00512A05" w:rsidP="00512A05">
      <w:pPr>
        <w:numPr>
          <w:ilvl w:val="0"/>
          <w:numId w:val="10"/>
        </w:numPr>
        <w:autoSpaceDE w:val="0"/>
        <w:autoSpaceDN w:val="0"/>
        <w:adjustRightInd w:val="0"/>
        <w:ind w:hanging="578"/>
        <w:rPr>
          <w:rFonts w:cs="Arial"/>
          <w:szCs w:val="24"/>
        </w:rPr>
      </w:pPr>
      <w:r>
        <w:rPr>
          <w:rFonts w:cs="Arial"/>
          <w:szCs w:val="24"/>
        </w:rPr>
        <w:t>Who should pay the costs of the proceeding?</w:t>
      </w:r>
    </w:p>
    <w:p w14:paraId="7FC9B68A" w14:textId="77777777" w:rsidR="00512A05" w:rsidRDefault="00512A05" w:rsidP="00512A05">
      <w:pPr>
        <w:pStyle w:val="ListParagraph"/>
        <w:rPr>
          <w:rFonts w:cs="Arial"/>
          <w:sz w:val="24"/>
          <w:szCs w:val="24"/>
        </w:rPr>
      </w:pPr>
    </w:p>
    <w:p w14:paraId="786CC66A" w14:textId="551D9F89" w:rsidR="00512A05" w:rsidRPr="00D57EC4" w:rsidRDefault="00512A05" w:rsidP="00512A05">
      <w:pPr>
        <w:autoSpaceDE w:val="0"/>
        <w:autoSpaceDN w:val="0"/>
        <w:adjustRightInd w:val="0"/>
        <w:jc w:val="both"/>
        <w:rPr>
          <w:rFonts w:cs="Arial"/>
          <w:szCs w:val="24"/>
        </w:rPr>
      </w:pPr>
      <w:r w:rsidRPr="00D57EC4">
        <w:rPr>
          <w:rFonts w:cs="Arial"/>
          <w:szCs w:val="24"/>
        </w:rPr>
        <w:t>A Notice of a Constitutional Matter was filed by the Plaintiff.  The Attorneys-General of the Commonwealth</w:t>
      </w:r>
      <w:r>
        <w:rPr>
          <w:rFonts w:cs="Arial"/>
          <w:szCs w:val="24"/>
        </w:rPr>
        <w:t xml:space="preserve">, New South Wales and </w:t>
      </w:r>
      <w:r w:rsidRPr="00D57EC4">
        <w:rPr>
          <w:rFonts w:cs="Arial"/>
          <w:szCs w:val="24"/>
        </w:rPr>
        <w:t>South Australia are intervening in the proceeding.</w:t>
      </w:r>
    </w:p>
    <w:p w14:paraId="0F95497A" w14:textId="508BCD1C" w:rsidR="00BB71EA" w:rsidRDefault="00BB71EA" w:rsidP="00913869"/>
    <w:p w14:paraId="1E488923" w14:textId="5FC1BC82" w:rsidR="00512A05" w:rsidRDefault="00512A05">
      <w:r>
        <w:br w:type="page"/>
      </w:r>
    </w:p>
    <w:p w14:paraId="4C018943" w14:textId="77777777" w:rsidR="00995D0B" w:rsidRPr="002647FA" w:rsidRDefault="00995D0B" w:rsidP="00995D0B">
      <w:pPr>
        <w:pStyle w:val="NoSpacing"/>
        <w:rPr>
          <w:rFonts w:ascii="Arial" w:eastAsia="Times New Roman" w:hAnsi="Arial" w:cs="Arial"/>
          <w:b/>
          <w:color w:val="000000"/>
          <w:sz w:val="24"/>
          <w:szCs w:val="24"/>
          <w:u w:val="single"/>
          <w:lang w:eastAsia="en-AU"/>
        </w:rPr>
      </w:pPr>
      <w:r w:rsidRPr="002647FA">
        <w:rPr>
          <w:rFonts w:ascii="Arial" w:eastAsia="Times New Roman" w:hAnsi="Arial" w:cs="Arial"/>
          <w:b/>
          <w:color w:val="000000"/>
          <w:sz w:val="24"/>
          <w:szCs w:val="24"/>
          <w:u w:val="single"/>
          <w:lang w:eastAsia="en-AU"/>
        </w:rPr>
        <w:lastRenderedPageBreak/>
        <w:t xml:space="preserve">SUNLAND GROUP LIMITED &amp; ANOR v GOLD COAST CITY </w:t>
      </w:r>
      <w:proofErr w:type="gramStart"/>
      <w:r w:rsidRPr="002647FA">
        <w:rPr>
          <w:rFonts w:ascii="Arial" w:eastAsia="Times New Roman" w:hAnsi="Arial" w:cs="Arial"/>
          <w:b/>
          <w:color w:val="000000"/>
          <w:sz w:val="24"/>
          <w:szCs w:val="24"/>
          <w:u w:val="single"/>
          <w:lang w:eastAsia="en-AU"/>
        </w:rPr>
        <w:t>COUNCIL</w:t>
      </w:r>
      <w:r w:rsidRPr="002647FA">
        <w:rPr>
          <w:rFonts w:ascii="Arial" w:eastAsia="Times New Roman" w:hAnsi="Arial" w:cs="Arial"/>
          <w:b/>
          <w:color w:val="000000"/>
          <w:sz w:val="24"/>
          <w:szCs w:val="24"/>
          <w:lang w:eastAsia="en-AU"/>
        </w:rPr>
        <w:t xml:space="preserve"> </w:t>
      </w:r>
      <w:r>
        <w:rPr>
          <w:rFonts w:ascii="Arial" w:eastAsia="Times New Roman" w:hAnsi="Arial" w:cs="Arial"/>
          <w:b/>
          <w:color w:val="000000"/>
          <w:sz w:val="24"/>
          <w:szCs w:val="24"/>
          <w:lang w:eastAsia="en-AU"/>
        </w:rPr>
        <w:t xml:space="preserve"> </w:t>
      </w:r>
      <w:r w:rsidRPr="002647FA">
        <w:rPr>
          <w:rFonts w:ascii="Arial" w:eastAsia="Times New Roman" w:hAnsi="Arial" w:cs="Arial"/>
          <w:b/>
          <w:color w:val="000000"/>
          <w:sz w:val="24"/>
          <w:szCs w:val="24"/>
          <w:lang w:eastAsia="en-AU"/>
        </w:rPr>
        <w:t>(</w:t>
      </w:r>
      <w:proofErr w:type="gramEnd"/>
      <w:r w:rsidRPr="002647FA">
        <w:rPr>
          <w:rFonts w:ascii="Arial" w:eastAsia="Times New Roman" w:hAnsi="Arial" w:cs="Arial"/>
          <w:b/>
          <w:color w:val="000000"/>
          <w:sz w:val="24"/>
          <w:szCs w:val="24"/>
          <w:lang w:eastAsia="en-AU"/>
        </w:rPr>
        <w:t>B64/2020)</w:t>
      </w:r>
    </w:p>
    <w:p w14:paraId="71FBA19C" w14:textId="77777777" w:rsidR="00995D0B" w:rsidRPr="00A920AB" w:rsidRDefault="00995D0B" w:rsidP="00995D0B">
      <w:pPr>
        <w:ind w:left="2694" w:hanging="2694"/>
        <w:rPr>
          <w:rFonts w:cs="Arial"/>
          <w:szCs w:val="24"/>
        </w:rPr>
      </w:pPr>
    </w:p>
    <w:p w14:paraId="5D73C871" w14:textId="77777777" w:rsidR="00995D0B" w:rsidRPr="006A1C3E" w:rsidRDefault="00995D0B" w:rsidP="00995D0B">
      <w:pPr>
        <w:ind w:left="2694" w:hanging="2694"/>
        <w:rPr>
          <w:rFonts w:cs="Arial"/>
          <w:szCs w:val="24"/>
        </w:rPr>
      </w:pPr>
      <w:r w:rsidRPr="006A1C3E">
        <w:rPr>
          <w:rFonts w:cs="Arial"/>
          <w:szCs w:val="24"/>
          <w:u w:val="single"/>
        </w:rPr>
        <w:t>Court appealed from</w:t>
      </w:r>
      <w:r w:rsidRPr="006A1C3E">
        <w:rPr>
          <w:rFonts w:cs="Arial"/>
          <w:szCs w:val="24"/>
        </w:rPr>
        <w:t>:</w:t>
      </w:r>
      <w:r w:rsidRPr="006A1C3E">
        <w:rPr>
          <w:rFonts w:cs="Arial"/>
          <w:szCs w:val="24"/>
        </w:rPr>
        <w:tab/>
      </w:r>
      <w:r>
        <w:rPr>
          <w:rFonts w:cs="Arial"/>
          <w:szCs w:val="24"/>
        </w:rPr>
        <w:t>Court of Appeal of the Supreme Court of Queensland</w:t>
      </w:r>
    </w:p>
    <w:p w14:paraId="3DDD911C" w14:textId="77777777" w:rsidR="00995D0B" w:rsidRPr="006A1C3E" w:rsidRDefault="00995D0B" w:rsidP="00995D0B">
      <w:pPr>
        <w:ind w:left="2694" w:hanging="2694"/>
        <w:rPr>
          <w:rFonts w:cs="Arial"/>
          <w:szCs w:val="24"/>
        </w:rPr>
      </w:pPr>
      <w:r w:rsidRPr="006A1C3E">
        <w:rPr>
          <w:rFonts w:cs="Arial"/>
          <w:szCs w:val="24"/>
        </w:rPr>
        <w:t xml:space="preserve"> </w:t>
      </w:r>
      <w:r w:rsidRPr="006A1C3E">
        <w:rPr>
          <w:rFonts w:cs="Arial"/>
          <w:szCs w:val="24"/>
        </w:rPr>
        <w:tab/>
      </w:r>
      <w:r>
        <w:rPr>
          <w:rFonts w:cs="Arial"/>
          <w:szCs w:val="24"/>
        </w:rPr>
        <w:t>[2020] QCA 89</w:t>
      </w:r>
    </w:p>
    <w:p w14:paraId="7814B4E3" w14:textId="77777777" w:rsidR="00995D0B" w:rsidRPr="006A1C3E" w:rsidRDefault="00995D0B" w:rsidP="00995D0B">
      <w:pPr>
        <w:ind w:left="2694" w:hanging="2694"/>
        <w:rPr>
          <w:rFonts w:cs="Arial"/>
          <w:szCs w:val="24"/>
        </w:rPr>
      </w:pPr>
      <w:r w:rsidRPr="006A1C3E">
        <w:rPr>
          <w:rFonts w:cs="Arial"/>
          <w:szCs w:val="24"/>
        </w:rPr>
        <w:tab/>
      </w:r>
    </w:p>
    <w:p w14:paraId="4D6C60E0" w14:textId="77777777" w:rsidR="00995D0B" w:rsidRPr="006A1C3E" w:rsidRDefault="00995D0B" w:rsidP="00995D0B">
      <w:pPr>
        <w:ind w:left="2694" w:hanging="2694"/>
        <w:rPr>
          <w:rFonts w:cs="Arial"/>
          <w:szCs w:val="24"/>
        </w:rPr>
      </w:pPr>
      <w:r w:rsidRPr="006A1C3E">
        <w:rPr>
          <w:rFonts w:cs="Arial"/>
          <w:szCs w:val="24"/>
          <w:u w:val="single"/>
        </w:rPr>
        <w:t>Date of judgment</w:t>
      </w:r>
      <w:r w:rsidRPr="006A1C3E">
        <w:rPr>
          <w:rFonts w:cs="Arial"/>
          <w:szCs w:val="24"/>
        </w:rPr>
        <w:t>:</w:t>
      </w:r>
      <w:r w:rsidRPr="006A1C3E">
        <w:rPr>
          <w:rFonts w:cs="Arial"/>
          <w:szCs w:val="24"/>
        </w:rPr>
        <w:tab/>
      </w:r>
      <w:r>
        <w:rPr>
          <w:rFonts w:cs="Arial"/>
          <w:szCs w:val="24"/>
        </w:rPr>
        <w:t>1 May 2020</w:t>
      </w:r>
    </w:p>
    <w:p w14:paraId="51CD4751" w14:textId="77777777" w:rsidR="00995D0B" w:rsidRPr="006A1C3E" w:rsidRDefault="00995D0B" w:rsidP="00995D0B">
      <w:pPr>
        <w:ind w:left="2694" w:hanging="2694"/>
        <w:rPr>
          <w:rFonts w:cs="Arial"/>
          <w:szCs w:val="24"/>
        </w:rPr>
      </w:pPr>
    </w:p>
    <w:p w14:paraId="4B35D560" w14:textId="77777777" w:rsidR="00995D0B" w:rsidRDefault="00995D0B" w:rsidP="00995D0B">
      <w:pPr>
        <w:ind w:left="2694" w:hanging="2694"/>
        <w:rPr>
          <w:rFonts w:cs="Arial"/>
          <w:szCs w:val="24"/>
        </w:rPr>
      </w:pPr>
      <w:r w:rsidRPr="006A1C3E">
        <w:rPr>
          <w:rFonts w:cs="Arial"/>
          <w:szCs w:val="24"/>
          <w:u w:val="single"/>
        </w:rPr>
        <w:t>Special leave granted</w:t>
      </w:r>
      <w:r w:rsidRPr="006A1C3E">
        <w:rPr>
          <w:rFonts w:cs="Arial"/>
          <w:szCs w:val="24"/>
        </w:rPr>
        <w:t>:</w:t>
      </w:r>
      <w:r w:rsidRPr="006A1C3E">
        <w:rPr>
          <w:rFonts w:cs="Arial"/>
          <w:szCs w:val="24"/>
        </w:rPr>
        <w:tab/>
      </w:r>
      <w:r>
        <w:rPr>
          <w:rFonts w:cs="Arial"/>
          <w:szCs w:val="24"/>
        </w:rPr>
        <w:t>13 October</w:t>
      </w:r>
      <w:r w:rsidRPr="006A1C3E">
        <w:rPr>
          <w:rFonts w:cs="Arial"/>
          <w:szCs w:val="24"/>
        </w:rPr>
        <w:t xml:space="preserve"> 2020</w:t>
      </w:r>
    </w:p>
    <w:p w14:paraId="6B47B3BE" w14:textId="77777777" w:rsidR="00995D0B" w:rsidRPr="006A1C3E" w:rsidRDefault="00995D0B" w:rsidP="00995D0B">
      <w:pPr>
        <w:ind w:left="2694" w:hanging="2694"/>
        <w:rPr>
          <w:rFonts w:cs="Arial"/>
          <w:szCs w:val="24"/>
        </w:rPr>
      </w:pPr>
    </w:p>
    <w:p w14:paraId="38C76122" w14:textId="77777777" w:rsidR="00995D0B" w:rsidRDefault="00995D0B" w:rsidP="00995D0B">
      <w:pPr>
        <w:shd w:val="clear" w:color="auto" w:fill="FFFFFF"/>
        <w:jc w:val="both"/>
        <w:rPr>
          <w:rFonts w:cs="Arial"/>
          <w:szCs w:val="24"/>
        </w:rPr>
      </w:pPr>
      <w:r>
        <w:rPr>
          <w:rFonts w:cs="Arial"/>
          <w:szCs w:val="24"/>
        </w:rPr>
        <w:t>The essential question in this appeal is which of two regimes for a developer’s financial contributions to a local government for the funding of infrastructure is applicable to a certain development of real property.</w:t>
      </w:r>
    </w:p>
    <w:p w14:paraId="53E61869" w14:textId="77777777" w:rsidR="00995D0B" w:rsidRDefault="00995D0B" w:rsidP="00995D0B">
      <w:pPr>
        <w:shd w:val="clear" w:color="auto" w:fill="FFFFFF"/>
        <w:jc w:val="both"/>
        <w:rPr>
          <w:rFonts w:cs="Arial"/>
          <w:szCs w:val="24"/>
        </w:rPr>
      </w:pPr>
    </w:p>
    <w:p w14:paraId="3D4363CA" w14:textId="77777777" w:rsidR="00995D0B" w:rsidRPr="00C50D9F" w:rsidRDefault="00995D0B" w:rsidP="00995D0B">
      <w:pPr>
        <w:shd w:val="clear" w:color="auto" w:fill="FFFFFF"/>
        <w:jc w:val="both"/>
        <w:rPr>
          <w:rFonts w:cs="Arial"/>
          <w:color w:val="808080" w:themeColor="background1" w:themeShade="80"/>
          <w:szCs w:val="24"/>
        </w:rPr>
      </w:pPr>
      <w:r>
        <w:rPr>
          <w:rFonts w:cs="Arial"/>
          <w:szCs w:val="24"/>
        </w:rPr>
        <w:t xml:space="preserve">In 2007, the Planning and Environment Court granted a preliminary development approval (“the Preliminary Approval”) over a parcel of undeveloped land within the local government area of the Respondent (“the Council”), under the </w:t>
      </w:r>
      <w:r>
        <w:rPr>
          <w:rFonts w:cs="Arial"/>
          <w:i/>
          <w:szCs w:val="24"/>
        </w:rPr>
        <w:t xml:space="preserve">Integrated Planning Act 1997 </w:t>
      </w:r>
      <w:r>
        <w:rPr>
          <w:rFonts w:cs="Arial"/>
          <w:szCs w:val="24"/>
        </w:rPr>
        <w:t>(Qld) (“the IPA”).  The Preliminary Approval was granted subject to certain conditions.  Relevantly, the conditions included requirements that the developer make contributions to the Council for the cost of certain infrastructure (two of the conditions allowing existing credits to offset the contributions payable).  The contributions were expressed to be in accordance with certain planning scheme policies (“</w:t>
      </w:r>
      <w:bookmarkStart w:id="2" w:name="_Hlk67903968"/>
      <w:r>
        <w:rPr>
          <w:rFonts w:cs="Arial"/>
          <w:szCs w:val="24"/>
        </w:rPr>
        <w:t>the Policies</w:t>
      </w:r>
      <w:bookmarkEnd w:id="2"/>
      <w:r>
        <w:rPr>
          <w:rFonts w:cs="Arial"/>
          <w:szCs w:val="24"/>
        </w:rPr>
        <w:t>”), which had been made by the Council under the IPA.</w:t>
      </w:r>
    </w:p>
    <w:p w14:paraId="5D580895" w14:textId="77777777" w:rsidR="00995D0B" w:rsidRDefault="00995D0B" w:rsidP="00995D0B">
      <w:pPr>
        <w:shd w:val="clear" w:color="auto" w:fill="FFFFFF"/>
        <w:jc w:val="both"/>
        <w:rPr>
          <w:rFonts w:cs="Arial"/>
          <w:szCs w:val="24"/>
        </w:rPr>
      </w:pPr>
    </w:p>
    <w:p w14:paraId="154E31EB" w14:textId="77777777" w:rsidR="00995D0B" w:rsidRDefault="00995D0B" w:rsidP="00995D0B">
      <w:pPr>
        <w:shd w:val="clear" w:color="auto" w:fill="FFFFFF"/>
        <w:jc w:val="both"/>
        <w:rPr>
          <w:rFonts w:cs="Arial"/>
          <w:szCs w:val="24"/>
        </w:rPr>
      </w:pPr>
      <w:r>
        <w:rPr>
          <w:rFonts w:cs="Arial"/>
          <w:szCs w:val="24"/>
        </w:rPr>
        <w:t xml:space="preserve">The Second Appellant is part of a group of companies controlled by the First Appellant (the Appellants together, “Sunland”).  In May 2015, the Second Appellant </w:t>
      </w:r>
      <w:r w:rsidRPr="000328BD">
        <w:rPr>
          <w:rFonts w:cs="Arial"/>
          <w:szCs w:val="24"/>
        </w:rPr>
        <w:t>purchased the land</w:t>
      </w:r>
      <w:r>
        <w:rPr>
          <w:rFonts w:cs="Arial"/>
          <w:szCs w:val="24"/>
        </w:rPr>
        <w:t xml:space="preserve"> the subject of the Preliminary Approval</w:t>
      </w:r>
      <w:r w:rsidRPr="000328BD">
        <w:rPr>
          <w:rFonts w:cs="Arial"/>
          <w:szCs w:val="24"/>
        </w:rPr>
        <w:t xml:space="preserve">.  By that time, </w:t>
      </w:r>
      <w:r>
        <w:rPr>
          <w:rFonts w:cs="Arial"/>
          <w:szCs w:val="24"/>
        </w:rPr>
        <w:t>the Policies</w:t>
      </w:r>
      <w:r w:rsidRPr="000328BD">
        <w:rPr>
          <w:rFonts w:cs="Arial"/>
          <w:szCs w:val="24"/>
        </w:rPr>
        <w:t xml:space="preserve"> had ceased to have effect and the IPA had been repealed and replaced with the </w:t>
      </w:r>
      <w:r w:rsidRPr="000328BD">
        <w:rPr>
          <w:rFonts w:cs="Arial"/>
          <w:i/>
          <w:szCs w:val="24"/>
        </w:rPr>
        <w:t xml:space="preserve">Sustainable Planning Act </w:t>
      </w:r>
      <w:r>
        <w:rPr>
          <w:rFonts w:cs="Arial"/>
          <w:i/>
          <w:szCs w:val="24"/>
        </w:rPr>
        <w:t xml:space="preserve">2009 </w:t>
      </w:r>
      <w:r>
        <w:rPr>
          <w:rFonts w:cs="Arial"/>
          <w:szCs w:val="24"/>
        </w:rPr>
        <w:t>(Qld) (“the SPA”).  Although the SPA changed the way in which infrastructure contributions were levied, the Preliminary Approval remained in effect pursuant to transitional provisions in the SPA.  Amendments made to the SPA in 2011 required a local government to give an infrastructure charges notice (“ICN”) upon the giving of a development approval (where the local government had resolved that an “adopted infrastructure charge” applied to a development).  In 2015 and 2016 ICNs were issued to Sunland by the Council upon the latter’s approval of development applications lodged by Sunland.</w:t>
      </w:r>
    </w:p>
    <w:p w14:paraId="73DDCC86" w14:textId="77777777" w:rsidR="00995D0B" w:rsidRDefault="00995D0B" w:rsidP="00995D0B">
      <w:pPr>
        <w:shd w:val="clear" w:color="auto" w:fill="FFFFFF"/>
        <w:jc w:val="both"/>
        <w:rPr>
          <w:rFonts w:cs="Arial"/>
          <w:szCs w:val="24"/>
        </w:rPr>
      </w:pPr>
    </w:p>
    <w:p w14:paraId="1EFC2DD0" w14:textId="77777777" w:rsidR="00995D0B" w:rsidRDefault="00995D0B" w:rsidP="00995D0B">
      <w:pPr>
        <w:shd w:val="clear" w:color="auto" w:fill="FFFFFF"/>
        <w:jc w:val="both"/>
        <w:rPr>
          <w:rFonts w:cs="Arial"/>
          <w:szCs w:val="24"/>
        </w:rPr>
      </w:pPr>
      <w:r>
        <w:rPr>
          <w:rFonts w:cs="Arial"/>
          <w:szCs w:val="24"/>
        </w:rPr>
        <w:t xml:space="preserve">In July 2017 the SPA was repealed and replaced with the </w:t>
      </w:r>
      <w:r>
        <w:rPr>
          <w:rFonts w:cs="Arial"/>
          <w:i/>
          <w:szCs w:val="24"/>
        </w:rPr>
        <w:t xml:space="preserve">Planning Act 2016 </w:t>
      </w:r>
      <w:r>
        <w:rPr>
          <w:rFonts w:cs="Arial"/>
          <w:szCs w:val="24"/>
        </w:rPr>
        <w:t>(Qld) (“the Planning Act”), s 286 of which had the effect of preserving the Preliminary Approval.</w:t>
      </w:r>
    </w:p>
    <w:p w14:paraId="4B76453A" w14:textId="77777777" w:rsidR="00995D0B" w:rsidRDefault="00995D0B" w:rsidP="00995D0B">
      <w:pPr>
        <w:shd w:val="clear" w:color="auto" w:fill="FFFFFF"/>
        <w:jc w:val="both"/>
        <w:rPr>
          <w:rFonts w:cs="Arial"/>
          <w:szCs w:val="24"/>
        </w:rPr>
      </w:pPr>
    </w:p>
    <w:p w14:paraId="134A928C" w14:textId="77777777" w:rsidR="00995D0B" w:rsidRDefault="00995D0B" w:rsidP="00995D0B">
      <w:pPr>
        <w:shd w:val="clear" w:color="auto" w:fill="FFFFFF"/>
        <w:jc w:val="both"/>
        <w:rPr>
          <w:rFonts w:cs="Arial"/>
          <w:szCs w:val="24"/>
        </w:rPr>
      </w:pPr>
      <w:r>
        <w:rPr>
          <w:rFonts w:cs="Arial"/>
          <w:szCs w:val="24"/>
        </w:rPr>
        <w:t>In 2017 the Sunland Parties commenced proceedings in the Planning and Environment Court of Queensland, seeking declarations</w:t>
      </w:r>
      <w:r w:rsidRPr="006113A3">
        <w:rPr>
          <w:rFonts w:cs="Arial"/>
          <w:szCs w:val="24"/>
        </w:rPr>
        <w:t xml:space="preserve"> that the Council could collect infrastructure contributions, and would apply infrastructure credits, only in accordance with the conditions set out in the Preliminary Approval.</w:t>
      </w:r>
      <w:r>
        <w:rPr>
          <w:rFonts w:cs="Arial"/>
          <w:szCs w:val="24"/>
        </w:rPr>
        <w:t xml:space="preserve">  The Council however contended that </w:t>
      </w:r>
      <w:r w:rsidRPr="002A4CDB">
        <w:rPr>
          <w:rFonts w:cs="Arial"/>
          <w:szCs w:val="24"/>
        </w:rPr>
        <w:t xml:space="preserve">the Policies </w:t>
      </w:r>
      <w:r>
        <w:rPr>
          <w:rFonts w:cs="Arial"/>
          <w:szCs w:val="24"/>
        </w:rPr>
        <w:t xml:space="preserve">underlying the </w:t>
      </w:r>
      <w:r w:rsidRPr="006113A3">
        <w:rPr>
          <w:rFonts w:cs="Arial"/>
          <w:szCs w:val="24"/>
        </w:rPr>
        <w:t xml:space="preserve">conditions in the Preliminary Approval were no longer applicable and that Sunland was required to make payments in accordance with the </w:t>
      </w:r>
      <w:r>
        <w:rPr>
          <w:rFonts w:cs="Arial"/>
          <w:szCs w:val="24"/>
        </w:rPr>
        <w:t>ICNs</w:t>
      </w:r>
      <w:r w:rsidRPr="006113A3">
        <w:rPr>
          <w:rFonts w:cs="Arial"/>
          <w:szCs w:val="24"/>
        </w:rPr>
        <w:t>.</w:t>
      </w:r>
      <w:r>
        <w:rPr>
          <w:rFonts w:cs="Arial"/>
          <w:szCs w:val="24"/>
        </w:rPr>
        <w:t xml:space="preserve">  Judge Everson held that the repeal of the Policies was inconsequential and that s 880(3)(b) and (d) of the SPA expressly preserved the infrastructure conditions pertaining to instruments such as the Preliminary Approval.  His </w:t>
      </w:r>
      <w:proofErr w:type="spellStart"/>
      <w:r>
        <w:rPr>
          <w:rFonts w:cs="Arial"/>
          <w:szCs w:val="24"/>
        </w:rPr>
        <w:t>Honour</w:t>
      </w:r>
      <w:proofErr w:type="spellEnd"/>
      <w:r>
        <w:rPr>
          <w:rFonts w:cs="Arial"/>
          <w:szCs w:val="24"/>
        </w:rPr>
        <w:t xml:space="preserve"> </w:t>
      </w:r>
      <w:r w:rsidRPr="006113A3">
        <w:rPr>
          <w:rFonts w:cs="Arial"/>
          <w:szCs w:val="24"/>
        </w:rPr>
        <w:t xml:space="preserve">therefore found in </w:t>
      </w:r>
      <w:proofErr w:type="spellStart"/>
      <w:r w:rsidRPr="006113A3">
        <w:rPr>
          <w:rFonts w:cs="Arial"/>
          <w:szCs w:val="24"/>
        </w:rPr>
        <w:t>favour</w:t>
      </w:r>
      <w:proofErr w:type="spellEnd"/>
      <w:r w:rsidRPr="006113A3">
        <w:rPr>
          <w:rFonts w:cs="Arial"/>
          <w:szCs w:val="24"/>
        </w:rPr>
        <w:t xml:space="preserve"> of Sunland and</w:t>
      </w:r>
      <w:r>
        <w:rPr>
          <w:rFonts w:cs="Arial"/>
          <w:szCs w:val="24"/>
        </w:rPr>
        <w:t xml:space="preserve"> declared that the Council had no power to issue ICNs (by that time, under s 119 of the Planning Act).</w:t>
      </w:r>
    </w:p>
    <w:p w14:paraId="2EE4BB7C" w14:textId="77777777" w:rsidR="00995D0B" w:rsidRDefault="00995D0B" w:rsidP="00995D0B">
      <w:pPr>
        <w:shd w:val="clear" w:color="auto" w:fill="FFFFFF"/>
        <w:jc w:val="both"/>
        <w:rPr>
          <w:rFonts w:cs="Arial"/>
          <w:szCs w:val="24"/>
        </w:rPr>
      </w:pPr>
    </w:p>
    <w:p w14:paraId="17F9477C" w14:textId="77777777" w:rsidR="00995D0B" w:rsidRDefault="00995D0B" w:rsidP="00995D0B">
      <w:pPr>
        <w:shd w:val="clear" w:color="auto" w:fill="FFFFFF"/>
        <w:jc w:val="both"/>
        <w:rPr>
          <w:rFonts w:cs="Arial"/>
          <w:szCs w:val="24"/>
        </w:rPr>
      </w:pPr>
      <w:r>
        <w:rPr>
          <w:rFonts w:cs="Arial"/>
          <w:szCs w:val="24"/>
        </w:rPr>
        <w:t xml:space="preserve">The Court of </w:t>
      </w:r>
      <w:r w:rsidRPr="00256121">
        <w:rPr>
          <w:rFonts w:cs="Arial"/>
          <w:szCs w:val="24"/>
        </w:rPr>
        <w:t>Appeal (</w:t>
      </w:r>
      <w:proofErr w:type="spellStart"/>
      <w:r w:rsidRPr="00256121">
        <w:rPr>
          <w:rFonts w:cs="Arial"/>
          <w:szCs w:val="24"/>
        </w:rPr>
        <w:t>Sofronoff</w:t>
      </w:r>
      <w:proofErr w:type="spellEnd"/>
      <w:r w:rsidRPr="00256121">
        <w:rPr>
          <w:rFonts w:cs="Arial"/>
          <w:szCs w:val="24"/>
        </w:rPr>
        <w:t xml:space="preserve"> P, </w:t>
      </w:r>
      <w:proofErr w:type="spellStart"/>
      <w:r w:rsidRPr="00256121">
        <w:rPr>
          <w:rFonts w:cs="Arial"/>
          <w:szCs w:val="24"/>
        </w:rPr>
        <w:t>Philippides</w:t>
      </w:r>
      <w:proofErr w:type="spellEnd"/>
      <w:r w:rsidRPr="00256121">
        <w:rPr>
          <w:rFonts w:cs="Arial"/>
          <w:szCs w:val="24"/>
        </w:rPr>
        <w:t xml:space="preserve"> and McMurdo JJA) </w:t>
      </w:r>
      <w:r>
        <w:rPr>
          <w:rFonts w:cs="Arial"/>
          <w:szCs w:val="24"/>
        </w:rPr>
        <w:t xml:space="preserve">unanimously allowed an appeal by the Council and set aside the declarations made by Judge Everson.  Their </w:t>
      </w:r>
      <w:proofErr w:type="spellStart"/>
      <w:r>
        <w:rPr>
          <w:rFonts w:cs="Arial"/>
          <w:szCs w:val="24"/>
        </w:rPr>
        <w:t>Honours</w:t>
      </w:r>
      <w:proofErr w:type="spellEnd"/>
      <w:r>
        <w:rPr>
          <w:rFonts w:cs="Arial"/>
          <w:szCs w:val="24"/>
        </w:rPr>
        <w:t xml:space="preserve"> held that s 880(2)(b) of the SPA prevented the Council from imposing a condition under a planning scheme policy, and further held that s 880(3) of the SPA did not apply, as the conditions of the Preliminary Approval dealing with infrastructure contributions did not of themselves give rise to an obligation to pay such contributions.  Rather, a developer’s obligation to pay arose only through conditions imposed when a development application was approved by the Council.  The Court of Appeal held that the continuing effect of the Preliminary Approval, under s 286(2) of the Planning Act, must be considered in that light.  The Council was required to issue ICNs and it had no power to require the payment of infrastructure contributions calculated under the Policies.</w:t>
      </w:r>
    </w:p>
    <w:p w14:paraId="513825CE" w14:textId="77777777" w:rsidR="00995D0B" w:rsidRDefault="00995D0B" w:rsidP="00995D0B">
      <w:pPr>
        <w:shd w:val="clear" w:color="auto" w:fill="FFFFFF"/>
        <w:jc w:val="both"/>
        <w:rPr>
          <w:rFonts w:cs="Arial"/>
          <w:szCs w:val="24"/>
        </w:rPr>
      </w:pPr>
    </w:p>
    <w:p w14:paraId="720F2DCB" w14:textId="77777777" w:rsidR="00995D0B" w:rsidRDefault="00995D0B" w:rsidP="00995D0B">
      <w:pPr>
        <w:shd w:val="clear" w:color="auto" w:fill="FFFFFF"/>
        <w:jc w:val="both"/>
        <w:rPr>
          <w:rFonts w:cs="Arial"/>
          <w:szCs w:val="24"/>
        </w:rPr>
      </w:pPr>
      <w:r w:rsidRPr="00E50C12">
        <w:rPr>
          <w:rFonts w:cs="Arial"/>
          <w:szCs w:val="24"/>
        </w:rPr>
        <w:t>The grounds of appeal are:</w:t>
      </w:r>
    </w:p>
    <w:p w14:paraId="4B5CBC68" w14:textId="77777777" w:rsidR="00995D0B" w:rsidRPr="00FE4BAE" w:rsidRDefault="00995D0B" w:rsidP="00995D0B">
      <w:pPr>
        <w:shd w:val="clear" w:color="auto" w:fill="FFFFFF"/>
        <w:jc w:val="both"/>
        <w:rPr>
          <w:rFonts w:cs="Arial"/>
          <w:szCs w:val="24"/>
        </w:rPr>
      </w:pPr>
    </w:p>
    <w:p w14:paraId="3FB4BEC5" w14:textId="77777777" w:rsidR="00995D0B" w:rsidRPr="003806FD" w:rsidRDefault="00995D0B" w:rsidP="00995D0B">
      <w:pPr>
        <w:numPr>
          <w:ilvl w:val="0"/>
          <w:numId w:val="11"/>
        </w:numPr>
        <w:autoSpaceDE w:val="0"/>
        <w:autoSpaceDN w:val="0"/>
        <w:adjustRightInd w:val="0"/>
        <w:ind w:left="426" w:hanging="426"/>
        <w:jc w:val="both"/>
        <w:rPr>
          <w:rFonts w:cs="Arial"/>
          <w:szCs w:val="24"/>
        </w:rPr>
      </w:pPr>
      <w:r w:rsidRPr="00FE4BAE">
        <w:rPr>
          <w:rFonts w:cs="Arial"/>
          <w:szCs w:val="24"/>
        </w:rPr>
        <w:t xml:space="preserve">The </w:t>
      </w:r>
      <w:r>
        <w:rPr>
          <w:rFonts w:cs="Arial"/>
          <w:szCs w:val="24"/>
        </w:rPr>
        <w:t>Court of Appeal erred by:</w:t>
      </w:r>
    </w:p>
    <w:p w14:paraId="14074F01" w14:textId="77777777" w:rsidR="00995D0B" w:rsidRPr="003806FD" w:rsidRDefault="00995D0B" w:rsidP="00995D0B">
      <w:pPr>
        <w:numPr>
          <w:ilvl w:val="1"/>
          <w:numId w:val="11"/>
        </w:numPr>
        <w:autoSpaceDE w:val="0"/>
        <w:autoSpaceDN w:val="0"/>
        <w:adjustRightInd w:val="0"/>
        <w:spacing w:before="180" w:after="180"/>
        <w:ind w:left="992" w:hanging="567"/>
        <w:jc w:val="both"/>
        <w:rPr>
          <w:rFonts w:cs="Arial"/>
          <w:szCs w:val="24"/>
        </w:rPr>
      </w:pPr>
      <w:r>
        <w:rPr>
          <w:rFonts w:cs="Arial"/>
          <w:szCs w:val="24"/>
        </w:rPr>
        <w:t>construing conditions of a development approval as merely statements as to the scope of future possible conditions to be imposed and not as imposing operable conditions or terms binding on the developer; and</w:t>
      </w:r>
    </w:p>
    <w:p w14:paraId="776E9F1E" w14:textId="77777777" w:rsidR="00995D0B" w:rsidRDefault="00995D0B" w:rsidP="00995D0B">
      <w:pPr>
        <w:numPr>
          <w:ilvl w:val="1"/>
          <w:numId w:val="11"/>
        </w:numPr>
        <w:autoSpaceDE w:val="0"/>
        <w:autoSpaceDN w:val="0"/>
        <w:adjustRightInd w:val="0"/>
        <w:ind w:left="993" w:hanging="567"/>
        <w:jc w:val="both"/>
        <w:rPr>
          <w:rFonts w:cs="Arial"/>
          <w:szCs w:val="24"/>
        </w:rPr>
      </w:pPr>
      <w:r>
        <w:rPr>
          <w:rFonts w:cs="Arial"/>
          <w:szCs w:val="24"/>
        </w:rPr>
        <w:t xml:space="preserve">resolving an ambiguity in the conditions of a development approval against the developer, rather than, </w:t>
      </w:r>
      <w:r>
        <w:rPr>
          <w:rFonts w:cs="Arial"/>
          <w:i/>
          <w:szCs w:val="24"/>
        </w:rPr>
        <w:t xml:space="preserve">contra proferentem, </w:t>
      </w:r>
      <w:r>
        <w:rPr>
          <w:rFonts w:cs="Arial"/>
          <w:szCs w:val="24"/>
        </w:rPr>
        <w:t>against the Council.</w:t>
      </w:r>
    </w:p>
    <w:p w14:paraId="69DB4638" w14:textId="77777777" w:rsidR="00995D0B" w:rsidRDefault="00995D0B" w:rsidP="00995D0B">
      <w:pPr>
        <w:autoSpaceDE w:val="0"/>
        <w:autoSpaceDN w:val="0"/>
        <w:adjustRightInd w:val="0"/>
        <w:jc w:val="both"/>
        <w:rPr>
          <w:rFonts w:cs="Arial"/>
          <w:szCs w:val="24"/>
        </w:rPr>
      </w:pPr>
    </w:p>
    <w:p w14:paraId="1C21CA28" w14:textId="77777777" w:rsidR="00995D0B" w:rsidRDefault="00995D0B" w:rsidP="00995D0B">
      <w:pPr>
        <w:autoSpaceDE w:val="0"/>
        <w:autoSpaceDN w:val="0"/>
        <w:adjustRightInd w:val="0"/>
        <w:jc w:val="both"/>
        <w:rPr>
          <w:rFonts w:cs="Arial"/>
          <w:szCs w:val="24"/>
        </w:rPr>
      </w:pPr>
      <w:r>
        <w:rPr>
          <w:rFonts w:cs="Arial"/>
          <w:szCs w:val="24"/>
        </w:rPr>
        <w:t>The Council has filed a notice of contention, which raises the following grounds:</w:t>
      </w:r>
    </w:p>
    <w:p w14:paraId="57552504" w14:textId="77777777" w:rsidR="00995D0B" w:rsidRDefault="00995D0B" w:rsidP="00995D0B">
      <w:pPr>
        <w:autoSpaceDE w:val="0"/>
        <w:autoSpaceDN w:val="0"/>
        <w:adjustRightInd w:val="0"/>
        <w:jc w:val="both"/>
        <w:rPr>
          <w:rFonts w:cs="Arial"/>
          <w:szCs w:val="24"/>
        </w:rPr>
      </w:pPr>
    </w:p>
    <w:p w14:paraId="7879E50A" w14:textId="77777777" w:rsidR="00995D0B" w:rsidRPr="003806FD" w:rsidRDefault="00995D0B" w:rsidP="00995D0B">
      <w:pPr>
        <w:numPr>
          <w:ilvl w:val="0"/>
          <w:numId w:val="11"/>
        </w:numPr>
        <w:autoSpaceDE w:val="0"/>
        <w:autoSpaceDN w:val="0"/>
        <w:adjustRightInd w:val="0"/>
        <w:ind w:left="426" w:hanging="426"/>
        <w:jc w:val="both"/>
        <w:rPr>
          <w:rFonts w:cs="Arial"/>
          <w:szCs w:val="24"/>
        </w:rPr>
      </w:pPr>
      <w:r w:rsidRPr="00FE4BAE">
        <w:rPr>
          <w:rFonts w:cs="Arial"/>
          <w:szCs w:val="24"/>
        </w:rPr>
        <w:t xml:space="preserve">The </w:t>
      </w:r>
      <w:r>
        <w:rPr>
          <w:rFonts w:cs="Arial"/>
          <w:szCs w:val="24"/>
        </w:rPr>
        <w:t>Court of Appeal failed to decide the Council’s submission that if, on their proper construction, the conditions of the Preliminary Approval did impose an obligation to pay infrastructure contributions:</w:t>
      </w:r>
    </w:p>
    <w:p w14:paraId="7754A19F" w14:textId="77777777" w:rsidR="00995D0B" w:rsidRPr="003806FD" w:rsidRDefault="00995D0B" w:rsidP="00995D0B">
      <w:pPr>
        <w:numPr>
          <w:ilvl w:val="1"/>
          <w:numId w:val="11"/>
        </w:numPr>
        <w:autoSpaceDE w:val="0"/>
        <w:autoSpaceDN w:val="0"/>
        <w:adjustRightInd w:val="0"/>
        <w:spacing w:before="180"/>
        <w:ind w:left="992" w:hanging="567"/>
        <w:jc w:val="both"/>
        <w:rPr>
          <w:rFonts w:cs="Arial"/>
          <w:szCs w:val="24"/>
        </w:rPr>
      </w:pPr>
      <w:r>
        <w:rPr>
          <w:rFonts w:cs="Arial"/>
          <w:szCs w:val="24"/>
        </w:rPr>
        <w:t xml:space="preserve">amendments to the SPA effected by the </w:t>
      </w:r>
      <w:r w:rsidRPr="00240493">
        <w:rPr>
          <w:rFonts w:cs="Arial"/>
          <w:i/>
          <w:szCs w:val="24"/>
        </w:rPr>
        <w:t>Sustainable Planning (Housing Affordability and Infrastructure Charges Reform) Amendment Act 2011</w:t>
      </w:r>
      <w:r>
        <w:rPr>
          <w:rFonts w:cs="Arial"/>
          <w:szCs w:val="24"/>
        </w:rPr>
        <w:t xml:space="preserve"> (Qld) and the Planning Act obliged the Council to give Sunland an ICN in respect of any development permit given for development approved (but not </w:t>
      </w:r>
      <w:proofErr w:type="spellStart"/>
      <w:r>
        <w:rPr>
          <w:rFonts w:cs="Arial"/>
          <w:szCs w:val="24"/>
        </w:rPr>
        <w:t>authorised</w:t>
      </w:r>
      <w:proofErr w:type="spellEnd"/>
      <w:r>
        <w:rPr>
          <w:rFonts w:cs="Arial"/>
          <w:szCs w:val="24"/>
        </w:rPr>
        <w:t xml:space="preserve">) by the Preliminary Approval; </w:t>
      </w:r>
    </w:p>
    <w:p w14:paraId="04C94DAC" w14:textId="77777777" w:rsidR="00995D0B" w:rsidRPr="003806FD" w:rsidRDefault="00995D0B" w:rsidP="00995D0B">
      <w:pPr>
        <w:numPr>
          <w:ilvl w:val="1"/>
          <w:numId w:val="11"/>
        </w:numPr>
        <w:autoSpaceDE w:val="0"/>
        <w:autoSpaceDN w:val="0"/>
        <w:adjustRightInd w:val="0"/>
        <w:spacing w:before="180"/>
        <w:ind w:left="992" w:hanging="567"/>
        <w:jc w:val="both"/>
        <w:rPr>
          <w:rFonts w:cs="Arial"/>
          <w:szCs w:val="24"/>
        </w:rPr>
      </w:pPr>
      <w:r>
        <w:rPr>
          <w:rFonts w:cs="Arial"/>
          <w:szCs w:val="24"/>
        </w:rPr>
        <w:t xml:space="preserve">once given, an ICN was the source of Sunland’s obligation to pay infrastructure charges in respect of development </w:t>
      </w:r>
      <w:proofErr w:type="spellStart"/>
      <w:r>
        <w:rPr>
          <w:rFonts w:cs="Arial"/>
          <w:szCs w:val="24"/>
        </w:rPr>
        <w:t>authorised</w:t>
      </w:r>
      <w:proofErr w:type="spellEnd"/>
      <w:r>
        <w:rPr>
          <w:rFonts w:cs="Arial"/>
          <w:szCs w:val="24"/>
        </w:rPr>
        <w:t xml:space="preserve"> by a development permit;</w:t>
      </w:r>
    </w:p>
    <w:p w14:paraId="39B56B2B" w14:textId="77777777" w:rsidR="00995D0B" w:rsidRPr="00983EC4" w:rsidRDefault="00995D0B" w:rsidP="00995D0B">
      <w:pPr>
        <w:numPr>
          <w:ilvl w:val="1"/>
          <w:numId w:val="11"/>
        </w:numPr>
        <w:autoSpaceDE w:val="0"/>
        <w:autoSpaceDN w:val="0"/>
        <w:adjustRightInd w:val="0"/>
        <w:spacing w:before="180"/>
        <w:ind w:left="992" w:hanging="567"/>
        <w:jc w:val="both"/>
        <w:rPr>
          <w:rFonts w:cs="Arial"/>
          <w:szCs w:val="24"/>
        </w:rPr>
      </w:pPr>
      <w:r>
        <w:rPr>
          <w:rFonts w:cs="Arial"/>
          <w:szCs w:val="24"/>
        </w:rPr>
        <w:t>the Council’s obligation to give an ICN upon giving a development permit, and Sunland’s obligation to pay any infrastructure charges imposed by an ICN, prevailed over conditions imposed on a preliminary approval under earlier legislation.</w:t>
      </w:r>
    </w:p>
    <w:p w14:paraId="2669BB4B" w14:textId="009F627D" w:rsidR="00995D0B" w:rsidRDefault="00995D0B" w:rsidP="00913869">
      <w:r>
        <w:br/>
      </w:r>
    </w:p>
    <w:p w14:paraId="7D91FCD2" w14:textId="77777777" w:rsidR="00995D0B" w:rsidRDefault="00995D0B">
      <w:r>
        <w:br w:type="page"/>
      </w:r>
    </w:p>
    <w:p w14:paraId="0EAA6078" w14:textId="77777777" w:rsidR="00995D0B" w:rsidRPr="00D6552B" w:rsidRDefault="00995D0B" w:rsidP="00995D0B">
      <w:pPr>
        <w:rPr>
          <w:rFonts w:cs="Arial"/>
          <w:b/>
          <w:szCs w:val="24"/>
        </w:rPr>
      </w:pPr>
      <w:r>
        <w:rPr>
          <w:rFonts w:cs="Arial"/>
          <w:b/>
          <w:szCs w:val="24"/>
          <w:u w:val="single"/>
        </w:rPr>
        <w:lastRenderedPageBreak/>
        <w:t>COMMONWEALTH OF AUSTRALIA v AJL</w:t>
      </w:r>
      <w:proofErr w:type="gramStart"/>
      <w:r>
        <w:rPr>
          <w:rFonts w:cs="Arial"/>
          <w:b/>
          <w:szCs w:val="24"/>
          <w:u w:val="single"/>
        </w:rPr>
        <w:t>20</w:t>
      </w:r>
      <w:r w:rsidRPr="00D6552B">
        <w:rPr>
          <w:rFonts w:cs="Arial"/>
          <w:b/>
          <w:szCs w:val="24"/>
        </w:rPr>
        <w:t xml:space="preserve"> </w:t>
      </w:r>
      <w:r>
        <w:rPr>
          <w:rFonts w:cs="Arial"/>
          <w:b/>
          <w:szCs w:val="24"/>
        </w:rPr>
        <w:t xml:space="preserve"> </w:t>
      </w:r>
      <w:r w:rsidRPr="00D6552B">
        <w:rPr>
          <w:rFonts w:cs="Arial"/>
          <w:b/>
          <w:szCs w:val="24"/>
        </w:rPr>
        <w:t>(</w:t>
      </w:r>
      <w:proofErr w:type="gramEnd"/>
      <w:r>
        <w:rPr>
          <w:rFonts w:cs="Arial"/>
          <w:b/>
          <w:szCs w:val="24"/>
        </w:rPr>
        <w:t>C16/2020; C17/2020</w:t>
      </w:r>
      <w:r w:rsidRPr="00D6552B">
        <w:rPr>
          <w:rFonts w:cs="Arial"/>
          <w:b/>
          <w:szCs w:val="24"/>
        </w:rPr>
        <w:t>)</w:t>
      </w:r>
    </w:p>
    <w:p w14:paraId="394390A5" w14:textId="77777777" w:rsidR="00995D0B" w:rsidRPr="00D6552B" w:rsidRDefault="00995D0B" w:rsidP="00995D0B">
      <w:pPr>
        <w:rPr>
          <w:rFonts w:cs="Arial"/>
          <w:szCs w:val="24"/>
        </w:rPr>
      </w:pPr>
    </w:p>
    <w:p w14:paraId="7010D47E" w14:textId="77777777" w:rsidR="00995D0B" w:rsidRPr="00D6552B" w:rsidRDefault="00995D0B" w:rsidP="00995D0B">
      <w:pPr>
        <w:rPr>
          <w:rFonts w:cs="Arial"/>
          <w:szCs w:val="24"/>
        </w:rPr>
      </w:pPr>
      <w:r w:rsidRPr="00D6552B">
        <w:rPr>
          <w:rFonts w:cs="Arial"/>
          <w:szCs w:val="24"/>
          <w:u w:val="single"/>
        </w:rPr>
        <w:t>Date Cause Removed</w:t>
      </w:r>
      <w:r w:rsidRPr="00D6552B">
        <w:rPr>
          <w:rFonts w:cs="Arial"/>
          <w:szCs w:val="24"/>
        </w:rPr>
        <w:t>:</w:t>
      </w:r>
      <w:r w:rsidRPr="00D6552B">
        <w:rPr>
          <w:rFonts w:cs="Arial"/>
          <w:szCs w:val="24"/>
        </w:rPr>
        <w:tab/>
      </w:r>
      <w:r>
        <w:rPr>
          <w:rFonts w:cs="Arial"/>
          <w:szCs w:val="24"/>
        </w:rPr>
        <w:t>17 December</w:t>
      </w:r>
      <w:r w:rsidRPr="00D6552B">
        <w:rPr>
          <w:rFonts w:cs="Arial"/>
          <w:szCs w:val="24"/>
        </w:rPr>
        <w:t xml:space="preserve"> 2020</w:t>
      </w:r>
    </w:p>
    <w:p w14:paraId="50B4DBB6" w14:textId="77777777" w:rsidR="00995D0B" w:rsidRDefault="00995D0B" w:rsidP="00995D0B">
      <w:pPr>
        <w:jc w:val="both"/>
        <w:rPr>
          <w:rFonts w:cs="Arial"/>
          <w:szCs w:val="24"/>
        </w:rPr>
      </w:pPr>
    </w:p>
    <w:p w14:paraId="455DAB5C" w14:textId="77777777" w:rsidR="00995D0B" w:rsidRDefault="00995D0B" w:rsidP="00995D0B">
      <w:pPr>
        <w:jc w:val="both"/>
        <w:rPr>
          <w:rFonts w:cs="Arial"/>
          <w:szCs w:val="24"/>
        </w:rPr>
      </w:pPr>
      <w:r>
        <w:rPr>
          <w:rFonts w:cs="Arial"/>
          <w:szCs w:val="24"/>
        </w:rPr>
        <w:t>The respondent is a citizen of Syria who arrived in Australia in May 2005 on a child visa.  In October 2014 the Minister cancelled that visa under s</w:t>
      </w:r>
      <w:r>
        <w:rPr>
          <w:rFonts w:cs="Arial"/>
          <w:iCs/>
          <w:szCs w:val="24"/>
        </w:rPr>
        <w:t> </w:t>
      </w:r>
      <w:r>
        <w:rPr>
          <w:rFonts w:cs="Arial"/>
          <w:szCs w:val="24"/>
        </w:rPr>
        <w:t xml:space="preserve">501(2) of the </w:t>
      </w:r>
      <w:r w:rsidRPr="0005165B">
        <w:rPr>
          <w:rFonts w:cs="Arial"/>
          <w:i/>
          <w:iCs/>
          <w:szCs w:val="24"/>
        </w:rPr>
        <w:t>Migration Act 1958</w:t>
      </w:r>
      <w:r>
        <w:rPr>
          <w:rFonts w:cs="Arial"/>
          <w:szCs w:val="24"/>
        </w:rPr>
        <w:t xml:space="preserve"> (</w:t>
      </w:r>
      <w:proofErr w:type="spellStart"/>
      <w:r>
        <w:rPr>
          <w:rFonts w:cs="Arial"/>
          <w:szCs w:val="24"/>
        </w:rPr>
        <w:t>Cth</w:t>
      </w:r>
      <w:proofErr w:type="spellEnd"/>
      <w:r>
        <w:rPr>
          <w:rFonts w:cs="Arial"/>
          <w:szCs w:val="24"/>
        </w:rPr>
        <w:t>) (‘the Act’).  The respondent then became an unlawful non-citizen and was detained under s</w:t>
      </w:r>
      <w:r>
        <w:rPr>
          <w:rFonts w:cs="Arial"/>
          <w:iCs/>
          <w:szCs w:val="24"/>
        </w:rPr>
        <w:t> </w:t>
      </w:r>
      <w:r>
        <w:rPr>
          <w:rFonts w:cs="Arial"/>
          <w:szCs w:val="24"/>
        </w:rPr>
        <w:t xml:space="preserve">189(1) of the Act. </w:t>
      </w:r>
    </w:p>
    <w:p w14:paraId="3583C4E2" w14:textId="77777777" w:rsidR="00995D0B" w:rsidRDefault="00995D0B" w:rsidP="00995D0B">
      <w:pPr>
        <w:jc w:val="both"/>
        <w:rPr>
          <w:rFonts w:cs="Arial"/>
          <w:szCs w:val="24"/>
        </w:rPr>
      </w:pPr>
    </w:p>
    <w:p w14:paraId="1B24F17D" w14:textId="77777777" w:rsidR="00995D0B" w:rsidRDefault="00995D0B" w:rsidP="00995D0B">
      <w:pPr>
        <w:jc w:val="both"/>
        <w:rPr>
          <w:rFonts w:cs="Arial"/>
          <w:szCs w:val="24"/>
        </w:rPr>
      </w:pPr>
      <w:r>
        <w:rPr>
          <w:rFonts w:cs="Arial"/>
          <w:szCs w:val="24"/>
        </w:rPr>
        <w:t xml:space="preserve">In November 2019 the respondent commenced proceedings in the Federal Court claiming damages for false imprisonment since July 2019.  As the respondent also sought released from immigration detention, another proceeding was commenced in the Federal Circuit Court in May 2020 making the same allegations but seeking an order in the nature of </w:t>
      </w:r>
      <w:r>
        <w:rPr>
          <w:rFonts w:cs="Arial"/>
          <w:i/>
          <w:iCs/>
          <w:szCs w:val="24"/>
        </w:rPr>
        <w:t>habeas corpus</w:t>
      </w:r>
      <w:r>
        <w:rPr>
          <w:rFonts w:cs="Arial"/>
          <w:szCs w:val="24"/>
        </w:rPr>
        <w:t>.  That proceeding was then transferred to the Federal Court under s</w:t>
      </w:r>
      <w:r>
        <w:rPr>
          <w:rFonts w:cs="Arial"/>
          <w:iCs/>
          <w:szCs w:val="24"/>
        </w:rPr>
        <w:t> </w:t>
      </w:r>
      <w:r>
        <w:rPr>
          <w:rFonts w:cs="Arial"/>
          <w:szCs w:val="24"/>
        </w:rPr>
        <w:t xml:space="preserve">39 of the </w:t>
      </w:r>
      <w:r w:rsidRPr="0005165B">
        <w:rPr>
          <w:rFonts w:cs="Arial"/>
          <w:i/>
          <w:iCs/>
          <w:szCs w:val="24"/>
        </w:rPr>
        <w:t>Federal Circuit Court of Australia Act 1999</w:t>
      </w:r>
      <w:r>
        <w:rPr>
          <w:rFonts w:cs="Arial"/>
          <w:szCs w:val="24"/>
        </w:rPr>
        <w:t xml:space="preserve"> (</w:t>
      </w:r>
      <w:proofErr w:type="spellStart"/>
      <w:r>
        <w:rPr>
          <w:rFonts w:cs="Arial"/>
          <w:szCs w:val="24"/>
        </w:rPr>
        <w:t>Cth</w:t>
      </w:r>
      <w:proofErr w:type="spellEnd"/>
      <w:r>
        <w:rPr>
          <w:rFonts w:cs="Arial"/>
          <w:szCs w:val="24"/>
        </w:rPr>
        <w:t xml:space="preserve">). </w:t>
      </w:r>
    </w:p>
    <w:p w14:paraId="735104A6" w14:textId="77777777" w:rsidR="00995D0B" w:rsidRDefault="00995D0B" w:rsidP="00995D0B">
      <w:pPr>
        <w:jc w:val="both"/>
        <w:rPr>
          <w:rFonts w:cs="Arial"/>
          <w:szCs w:val="24"/>
        </w:rPr>
      </w:pPr>
    </w:p>
    <w:p w14:paraId="062C5602" w14:textId="77777777" w:rsidR="00995D0B" w:rsidRDefault="00995D0B" w:rsidP="00995D0B">
      <w:pPr>
        <w:jc w:val="both"/>
        <w:rPr>
          <w:rFonts w:cs="Arial"/>
          <w:szCs w:val="24"/>
        </w:rPr>
      </w:pPr>
      <w:r>
        <w:rPr>
          <w:rFonts w:cs="Arial"/>
          <w:szCs w:val="24"/>
        </w:rPr>
        <w:t>In September 2020 Justice Bromberg ordered that the respondent be released and published reasons for making that order.  Justice</w:t>
      </w:r>
      <w:r>
        <w:rPr>
          <w:rFonts w:cs="Arial"/>
          <w:iCs/>
          <w:szCs w:val="24"/>
        </w:rPr>
        <w:t> </w:t>
      </w:r>
      <w:r>
        <w:rPr>
          <w:rFonts w:cs="Arial"/>
          <w:szCs w:val="24"/>
        </w:rPr>
        <w:t xml:space="preserve">Bromberg also made a declaration that the respondent’s detention during the period July – November 2019 and after November 2019 was unlawful.  In October 2020 the Commonwealth filed notices of appeal in the Full Court of the Federal Court in each proceeding. </w:t>
      </w:r>
    </w:p>
    <w:p w14:paraId="6DEC4E62" w14:textId="77777777" w:rsidR="00995D0B" w:rsidRDefault="00995D0B" w:rsidP="00995D0B">
      <w:pPr>
        <w:jc w:val="both"/>
        <w:rPr>
          <w:rFonts w:cs="Arial"/>
          <w:szCs w:val="24"/>
        </w:rPr>
      </w:pPr>
    </w:p>
    <w:p w14:paraId="1D8806A1" w14:textId="77777777" w:rsidR="00995D0B" w:rsidRPr="00D6552B" w:rsidRDefault="00995D0B" w:rsidP="00995D0B">
      <w:pPr>
        <w:autoSpaceDE w:val="0"/>
        <w:autoSpaceDN w:val="0"/>
        <w:adjustRightInd w:val="0"/>
        <w:jc w:val="both"/>
        <w:rPr>
          <w:rFonts w:cs="Arial"/>
          <w:szCs w:val="24"/>
        </w:rPr>
      </w:pPr>
      <w:r w:rsidRPr="00D6552B">
        <w:rPr>
          <w:rFonts w:cs="Arial"/>
          <w:szCs w:val="24"/>
        </w:rPr>
        <w:t xml:space="preserve">On </w:t>
      </w:r>
      <w:r>
        <w:rPr>
          <w:rFonts w:cs="Arial"/>
          <w:szCs w:val="24"/>
        </w:rPr>
        <w:t>14 December</w:t>
      </w:r>
      <w:r w:rsidRPr="00D6552B">
        <w:rPr>
          <w:rFonts w:cs="Arial"/>
          <w:szCs w:val="24"/>
        </w:rPr>
        <w:t xml:space="preserve"> 2020 the Attorney-General of the Commonwealth applied to this Court to remove the proceeding</w:t>
      </w:r>
      <w:r>
        <w:rPr>
          <w:rFonts w:cs="Arial"/>
          <w:szCs w:val="24"/>
        </w:rPr>
        <w:t>s</w:t>
      </w:r>
      <w:r w:rsidRPr="00D6552B">
        <w:rPr>
          <w:rFonts w:cs="Arial"/>
          <w:szCs w:val="24"/>
        </w:rPr>
        <w:t xml:space="preserve"> from </w:t>
      </w:r>
      <w:r>
        <w:rPr>
          <w:rFonts w:cs="Arial"/>
          <w:szCs w:val="24"/>
        </w:rPr>
        <w:t>Full Court of the Federal Court of Australia</w:t>
      </w:r>
      <w:r w:rsidRPr="00D6552B">
        <w:rPr>
          <w:rFonts w:cs="Arial"/>
          <w:szCs w:val="24"/>
        </w:rPr>
        <w:t xml:space="preserve">.  On </w:t>
      </w:r>
      <w:r>
        <w:rPr>
          <w:rFonts w:cs="Arial"/>
          <w:szCs w:val="24"/>
        </w:rPr>
        <w:t>17 December 2020</w:t>
      </w:r>
      <w:r w:rsidRPr="00D6552B">
        <w:rPr>
          <w:rFonts w:cs="Arial"/>
          <w:szCs w:val="24"/>
        </w:rPr>
        <w:t xml:space="preserve"> </w:t>
      </w:r>
      <w:r>
        <w:rPr>
          <w:rFonts w:cs="Arial"/>
          <w:szCs w:val="24"/>
        </w:rPr>
        <w:t>Justice</w:t>
      </w:r>
      <w:r>
        <w:rPr>
          <w:rFonts w:cs="Arial"/>
          <w:iCs/>
          <w:szCs w:val="24"/>
        </w:rPr>
        <w:t> </w:t>
      </w:r>
      <w:r>
        <w:rPr>
          <w:rFonts w:cs="Arial"/>
          <w:szCs w:val="24"/>
        </w:rPr>
        <w:t>Bell</w:t>
      </w:r>
      <w:r w:rsidRPr="00D6552B">
        <w:rPr>
          <w:rFonts w:cs="Arial"/>
          <w:szCs w:val="24"/>
        </w:rPr>
        <w:t xml:space="preserve"> made that order.</w:t>
      </w:r>
      <w:r>
        <w:rPr>
          <w:rFonts w:cs="Arial"/>
          <w:szCs w:val="24"/>
        </w:rPr>
        <w:t xml:space="preserve"> </w:t>
      </w:r>
      <w:r w:rsidRPr="00D6552B">
        <w:rPr>
          <w:rFonts w:cs="Arial"/>
          <w:szCs w:val="24"/>
        </w:rPr>
        <w:t xml:space="preserve"> </w:t>
      </w:r>
      <w:r>
        <w:rPr>
          <w:rFonts w:cs="Arial"/>
          <w:szCs w:val="24"/>
        </w:rPr>
        <w:t xml:space="preserve">Accordingly, those appeals will now be considered by the High Court of Australia. </w:t>
      </w:r>
      <w:r w:rsidRPr="00D6552B">
        <w:rPr>
          <w:rFonts w:cs="Arial"/>
          <w:szCs w:val="24"/>
        </w:rPr>
        <w:t xml:space="preserve"> </w:t>
      </w:r>
    </w:p>
    <w:p w14:paraId="0673203D" w14:textId="77777777" w:rsidR="00995D0B" w:rsidRPr="00D6552B" w:rsidRDefault="00995D0B" w:rsidP="00995D0B">
      <w:pPr>
        <w:jc w:val="both"/>
        <w:rPr>
          <w:rFonts w:cs="Arial"/>
          <w:szCs w:val="24"/>
        </w:rPr>
      </w:pPr>
    </w:p>
    <w:p w14:paraId="09A87E29" w14:textId="77777777" w:rsidR="00995D0B" w:rsidRDefault="00995D0B" w:rsidP="00995D0B">
      <w:pPr>
        <w:autoSpaceDE w:val="0"/>
        <w:autoSpaceDN w:val="0"/>
        <w:adjustRightInd w:val="0"/>
        <w:jc w:val="both"/>
        <w:rPr>
          <w:rFonts w:cs="Arial"/>
          <w:szCs w:val="24"/>
        </w:rPr>
      </w:pPr>
      <w:r>
        <w:rPr>
          <w:rFonts w:cs="Arial"/>
          <w:szCs w:val="24"/>
        </w:rPr>
        <w:t>The appeals to the Full Court of the Federal Court concern the lawfulness of the detention of an unlawful non-citizen under s</w:t>
      </w:r>
      <w:r>
        <w:rPr>
          <w:rFonts w:cs="Arial"/>
          <w:iCs/>
          <w:szCs w:val="24"/>
        </w:rPr>
        <w:t> </w:t>
      </w:r>
      <w:r>
        <w:rPr>
          <w:rFonts w:cs="Arial"/>
          <w:szCs w:val="24"/>
        </w:rPr>
        <w:t>189 of the Act where there has not been compliance with the statutory duty under s</w:t>
      </w:r>
      <w:r>
        <w:rPr>
          <w:rFonts w:cs="Arial"/>
          <w:iCs/>
          <w:szCs w:val="24"/>
        </w:rPr>
        <w:t> </w:t>
      </w:r>
      <w:r>
        <w:rPr>
          <w:rFonts w:cs="Arial"/>
          <w:szCs w:val="24"/>
        </w:rPr>
        <w:t xml:space="preserve">198 of the Act to remove that person ‘as soon as reasonably practicable’. </w:t>
      </w:r>
    </w:p>
    <w:p w14:paraId="1FFC8EA3" w14:textId="77777777" w:rsidR="00995D0B" w:rsidRDefault="00995D0B" w:rsidP="00995D0B">
      <w:pPr>
        <w:autoSpaceDE w:val="0"/>
        <w:autoSpaceDN w:val="0"/>
        <w:adjustRightInd w:val="0"/>
        <w:jc w:val="both"/>
        <w:rPr>
          <w:rFonts w:cs="Arial"/>
          <w:szCs w:val="24"/>
        </w:rPr>
      </w:pPr>
    </w:p>
    <w:p w14:paraId="36F8CF58" w14:textId="77777777" w:rsidR="00995D0B" w:rsidRDefault="00995D0B" w:rsidP="00995D0B">
      <w:pPr>
        <w:autoSpaceDE w:val="0"/>
        <w:autoSpaceDN w:val="0"/>
        <w:adjustRightInd w:val="0"/>
        <w:jc w:val="both"/>
        <w:rPr>
          <w:rFonts w:cs="Arial"/>
          <w:szCs w:val="24"/>
        </w:rPr>
      </w:pPr>
      <w:r>
        <w:rPr>
          <w:rFonts w:cs="Arial"/>
          <w:szCs w:val="24"/>
        </w:rPr>
        <w:t>The constitutional issue is whether, to the extent ss</w:t>
      </w:r>
      <w:r>
        <w:rPr>
          <w:rFonts w:cs="Arial"/>
          <w:iCs/>
          <w:szCs w:val="24"/>
        </w:rPr>
        <w:t> </w:t>
      </w:r>
      <w:r>
        <w:rPr>
          <w:rFonts w:cs="Arial"/>
          <w:szCs w:val="24"/>
        </w:rPr>
        <w:t xml:space="preserve">189 and 196 of the Act </w:t>
      </w:r>
      <w:proofErr w:type="spellStart"/>
      <w:r>
        <w:rPr>
          <w:rFonts w:cs="Arial"/>
          <w:szCs w:val="24"/>
        </w:rPr>
        <w:t>authorise</w:t>
      </w:r>
      <w:proofErr w:type="spellEnd"/>
      <w:r>
        <w:rPr>
          <w:rFonts w:cs="Arial"/>
          <w:szCs w:val="24"/>
        </w:rPr>
        <w:t xml:space="preserve"> and required the detention of an unlawful non-citizen until, relevantly, he or she is in fact removed under s</w:t>
      </w:r>
      <w:r>
        <w:rPr>
          <w:rFonts w:cs="Arial"/>
          <w:iCs/>
          <w:szCs w:val="24"/>
        </w:rPr>
        <w:t> </w:t>
      </w:r>
      <w:r>
        <w:rPr>
          <w:rFonts w:cs="Arial"/>
          <w:szCs w:val="24"/>
        </w:rPr>
        <w:t xml:space="preserve">198 despite non-compliance with the duty under that section, those sections can do so consistently with the requirements of Chapter III of the Constitution. </w:t>
      </w:r>
    </w:p>
    <w:p w14:paraId="02372B6E" w14:textId="77777777" w:rsidR="00995D0B" w:rsidRPr="00D6552B" w:rsidRDefault="00995D0B" w:rsidP="00995D0B">
      <w:pPr>
        <w:autoSpaceDE w:val="0"/>
        <w:autoSpaceDN w:val="0"/>
        <w:adjustRightInd w:val="0"/>
        <w:jc w:val="both"/>
        <w:rPr>
          <w:rFonts w:cs="Arial"/>
          <w:szCs w:val="24"/>
        </w:rPr>
      </w:pPr>
    </w:p>
    <w:p w14:paraId="1989C0E1" w14:textId="77777777" w:rsidR="00995D0B" w:rsidRPr="00D6552B" w:rsidRDefault="00995D0B" w:rsidP="00995D0B">
      <w:pPr>
        <w:jc w:val="both"/>
        <w:rPr>
          <w:rFonts w:cs="Arial"/>
          <w:szCs w:val="24"/>
        </w:rPr>
      </w:pPr>
    </w:p>
    <w:p w14:paraId="54B927C5" w14:textId="77777777" w:rsidR="00995D0B" w:rsidRPr="00D6552B" w:rsidRDefault="00995D0B" w:rsidP="00995D0B">
      <w:pPr>
        <w:rPr>
          <w:rFonts w:cs="Arial"/>
          <w:szCs w:val="24"/>
        </w:rPr>
      </w:pPr>
    </w:p>
    <w:p w14:paraId="28B3465F" w14:textId="617FB140" w:rsidR="00995D0B" w:rsidRDefault="00995D0B" w:rsidP="00913869">
      <w:r>
        <w:br/>
      </w:r>
    </w:p>
    <w:p w14:paraId="7ABFDB15" w14:textId="77777777" w:rsidR="00995D0B" w:rsidRDefault="00995D0B">
      <w:r>
        <w:br w:type="page"/>
      </w:r>
    </w:p>
    <w:p w14:paraId="0D8F6E7B" w14:textId="77777777" w:rsidR="00995D0B" w:rsidRPr="002E600A" w:rsidRDefault="00995D0B" w:rsidP="00995D0B">
      <w:pPr>
        <w:pStyle w:val="NoSpacing"/>
        <w:rPr>
          <w:rFonts w:ascii="Arial" w:eastAsia="Times New Roman" w:hAnsi="Arial" w:cs="Arial"/>
          <w:b/>
          <w:color w:val="000000"/>
          <w:sz w:val="24"/>
          <w:szCs w:val="24"/>
          <w:u w:val="single"/>
          <w:lang w:eastAsia="en-AU"/>
        </w:rPr>
      </w:pPr>
      <w:r w:rsidRPr="002E600A">
        <w:rPr>
          <w:rFonts w:ascii="Arial" w:eastAsia="Times New Roman" w:hAnsi="Arial" w:cs="Arial"/>
          <w:b/>
          <w:color w:val="000000"/>
          <w:sz w:val="24"/>
          <w:szCs w:val="24"/>
          <w:u w:val="single"/>
          <w:lang w:eastAsia="en-AU"/>
        </w:rPr>
        <w:lastRenderedPageBreak/>
        <w:t xml:space="preserve">DEPUTY COMMISSIONER OF TAXATION v </w:t>
      </w:r>
      <w:proofErr w:type="gramStart"/>
      <w:r w:rsidRPr="002E600A">
        <w:rPr>
          <w:rFonts w:ascii="Arial" w:eastAsia="Times New Roman" w:hAnsi="Arial" w:cs="Arial"/>
          <w:b/>
          <w:color w:val="000000"/>
          <w:sz w:val="24"/>
          <w:szCs w:val="24"/>
          <w:u w:val="single"/>
          <w:lang w:eastAsia="en-AU"/>
        </w:rPr>
        <w:t>SHI</w:t>
      </w:r>
      <w:r w:rsidRPr="002E600A">
        <w:rPr>
          <w:rFonts w:ascii="Arial" w:eastAsia="Times New Roman" w:hAnsi="Arial" w:cs="Arial"/>
          <w:b/>
          <w:color w:val="000000"/>
          <w:sz w:val="24"/>
          <w:szCs w:val="24"/>
          <w:lang w:eastAsia="en-AU"/>
        </w:rPr>
        <w:t xml:space="preserve"> </w:t>
      </w:r>
      <w:r>
        <w:rPr>
          <w:rFonts w:ascii="Arial" w:eastAsia="Times New Roman" w:hAnsi="Arial" w:cs="Arial"/>
          <w:b/>
          <w:color w:val="000000"/>
          <w:sz w:val="24"/>
          <w:szCs w:val="24"/>
          <w:lang w:eastAsia="en-AU"/>
        </w:rPr>
        <w:t xml:space="preserve"> </w:t>
      </w:r>
      <w:r w:rsidRPr="002E600A">
        <w:rPr>
          <w:rFonts w:ascii="Arial" w:eastAsia="Times New Roman" w:hAnsi="Arial" w:cs="Arial"/>
          <w:b/>
          <w:color w:val="000000"/>
          <w:sz w:val="24"/>
          <w:szCs w:val="24"/>
          <w:lang w:eastAsia="en-AU"/>
        </w:rPr>
        <w:t>(</w:t>
      </w:r>
      <w:proofErr w:type="gramEnd"/>
      <w:r w:rsidRPr="002E600A">
        <w:rPr>
          <w:rFonts w:ascii="Arial" w:eastAsia="Times New Roman" w:hAnsi="Arial" w:cs="Arial"/>
          <w:b/>
          <w:color w:val="000000"/>
          <w:sz w:val="24"/>
          <w:szCs w:val="24"/>
          <w:lang w:eastAsia="en-AU"/>
        </w:rPr>
        <w:t>S211/2020)</w:t>
      </w:r>
    </w:p>
    <w:p w14:paraId="528E1A42" w14:textId="77777777" w:rsidR="00995D0B" w:rsidRPr="00A920AB" w:rsidRDefault="00995D0B" w:rsidP="00995D0B">
      <w:pPr>
        <w:ind w:left="2694" w:hanging="2694"/>
        <w:rPr>
          <w:rFonts w:cs="Arial"/>
          <w:szCs w:val="24"/>
        </w:rPr>
      </w:pPr>
    </w:p>
    <w:p w14:paraId="30922AF2" w14:textId="77777777" w:rsidR="00995D0B" w:rsidRPr="006A1C3E" w:rsidRDefault="00995D0B" w:rsidP="00995D0B">
      <w:pPr>
        <w:ind w:left="2694" w:hanging="2694"/>
        <w:rPr>
          <w:rFonts w:cs="Arial"/>
          <w:szCs w:val="24"/>
        </w:rPr>
      </w:pPr>
      <w:r w:rsidRPr="006A1C3E">
        <w:rPr>
          <w:rFonts w:cs="Arial"/>
          <w:szCs w:val="24"/>
          <w:u w:val="single"/>
        </w:rPr>
        <w:t>Court appealed from</w:t>
      </w:r>
      <w:r w:rsidRPr="006A1C3E">
        <w:rPr>
          <w:rFonts w:cs="Arial"/>
          <w:szCs w:val="24"/>
        </w:rPr>
        <w:t>:</w:t>
      </w:r>
      <w:r w:rsidRPr="006A1C3E">
        <w:rPr>
          <w:rFonts w:cs="Arial"/>
          <w:szCs w:val="24"/>
        </w:rPr>
        <w:tab/>
      </w:r>
      <w:r>
        <w:rPr>
          <w:rFonts w:cs="Arial"/>
          <w:szCs w:val="24"/>
        </w:rPr>
        <w:t>Full Court of the Federal Court of Australia</w:t>
      </w:r>
    </w:p>
    <w:p w14:paraId="72865F00" w14:textId="77777777" w:rsidR="00995D0B" w:rsidRPr="006A1C3E" w:rsidRDefault="00995D0B" w:rsidP="00995D0B">
      <w:pPr>
        <w:ind w:left="2694" w:hanging="2694"/>
        <w:rPr>
          <w:rFonts w:cs="Arial"/>
          <w:szCs w:val="24"/>
        </w:rPr>
      </w:pPr>
      <w:r w:rsidRPr="006A1C3E">
        <w:rPr>
          <w:rFonts w:cs="Arial"/>
          <w:szCs w:val="24"/>
        </w:rPr>
        <w:t xml:space="preserve"> </w:t>
      </w:r>
      <w:r w:rsidRPr="006A1C3E">
        <w:rPr>
          <w:rFonts w:cs="Arial"/>
          <w:szCs w:val="24"/>
        </w:rPr>
        <w:tab/>
      </w:r>
      <w:r>
        <w:rPr>
          <w:rFonts w:cs="Arial"/>
          <w:szCs w:val="24"/>
        </w:rPr>
        <w:t>[2020] FCAFC 100</w:t>
      </w:r>
    </w:p>
    <w:p w14:paraId="27F78215" w14:textId="77777777" w:rsidR="00995D0B" w:rsidRPr="006A1C3E" w:rsidRDefault="00995D0B" w:rsidP="00995D0B">
      <w:pPr>
        <w:ind w:left="2694" w:hanging="2694"/>
        <w:rPr>
          <w:rFonts w:cs="Arial"/>
          <w:szCs w:val="24"/>
        </w:rPr>
      </w:pPr>
      <w:r w:rsidRPr="006A1C3E">
        <w:rPr>
          <w:rFonts w:cs="Arial"/>
          <w:szCs w:val="24"/>
        </w:rPr>
        <w:tab/>
      </w:r>
    </w:p>
    <w:p w14:paraId="5D461580" w14:textId="77777777" w:rsidR="00995D0B" w:rsidRPr="006A1C3E" w:rsidRDefault="00995D0B" w:rsidP="00995D0B">
      <w:pPr>
        <w:ind w:left="2694" w:hanging="2694"/>
        <w:rPr>
          <w:rFonts w:cs="Arial"/>
          <w:szCs w:val="24"/>
        </w:rPr>
      </w:pPr>
      <w:r w:rsidRPr="006A1C3E">
        <w:rPr>
          <w:rFonts w:cs="Arial"/>
          <w:szCs w:val="24"/>
          <w:u w:val="single"/>
        </w:rPr>
        <w:t>Date of judgment</w:t>
      </w:r>
      <w:r w:rsidRPr="006A1C3E">
        <w:rPr>
          <w:rFonts w:cs="Arial"/>
          <w:szCs w:val="24"/>
        </w:rPr>
        <w:t>:</w:t>
      </w:r>
      <w:r w:rsidRPr="006A1C3E">
        <w:rPr>
          <w:rFonts w:cs="Arial"/>
          <w:szCs w:val="24"/>
        </w:rPr>
        <w:tab/>
      </w:r>
      <w:r>
        <w:rPr>
          <w:rFonts w:cs="Arial"/>
          <w:szCs w:val="24"/>
        </w:rPr>
        <w:t>4 June 2020</w:t>
      </w:r>
    </w:p>
    <w:p w14:paraId="64B3C057" w14:textId="77777777" w:rsidR="00995D0B" w:rsidRPr="006A1C3E" w:rsidRDefault="00995D0B" w:rsidP="00995D0B">
      <w:pPr>
        <w:ind w:left="2694" w:hanging="2694"/>
        <w:rPr>
          <w:rFonts w:cs="Arial"/>
          <w:szCs w:val="24"/>
        </w:rPr>
      </w:pPr>
    </w:p>
    <w:p w14:paraId="5EE6B893" w14:textId="77777777" w:rsidR="00995D0B" w:rsidRDefault="00995D0B" w:rsidP="00995D0B">
      <w:pPr>
        <w:ind w:left="2694" w:hanging="2694"/>
        <w:rPr>
          <w:rFonts w:cs="Arial"/>
          <w:szCs w:val="24"/>
        </w:rPr>
      </w:pPr>
      <w:r w:rsidRPr="006A1C3E">
        <w:rPr>
          <w:rFonts w:cs="Arial"/>
          <w:szCs w:val="24"/>
          <w:u w:val="single"/>
        </w:rPr>
        <w:t>Special leave granted</w:t>
      </w:r>
      <w:r w:rsidRPr="006A1C3E">
        <w:rPr>
          <w:rFonts w:cs="Arial"/>
          <w:szCs w:val="24"/>
        </w:rPr>
        <w:t>:</w:t>
      </w:r>
      <w:r w:rsidRPr="006A1C3E">
        <w:rPr>
          <w:rFonts w:cs="Arial"/>
          <w:szCs w:val="24"/>
        </w:rPr>
        <w:tab/>
      </w:r>
      <w:r>
        <w:rPr>
          <w:rFonts w:cs="Arial"/>
          <w:szCs w:val="24"/>
        </w:rPr>
        <w:t>11 November</w:t>
      </w:r>
      <w:r w:rsidRPr="006A1C3E">
        <w:rPr>
          <w:rFonts w:cs="Arial"/>
          <w:szCs w:val="24"/>
        </w:rPr>
        <w:t xml:space="preserve"> 2020</w:t>
      </w:r>
    </w:p>
    <w:p w14:paraId="5443B99D" w14:textId="77777777" w:rsidR="00995D0B" w:rsidRDefault="00995D0B" w:rsidP="00995D0B">
      <w:pPr>
        <w:shd w:val="clear" w:color="auto" w:fill="FFFFFF"/>
        <w:jc w:val="both"/>
        <w:rPr>
          <w:rFonts w:cs="Arial"/>
          <w:szCs w:val="24"/>
        </w:rPr>
      </w:pPr>
    </w:p>
    <w:p w14:paraId="4534B08C" w14:textId="77777777" w:rsidR="00995D0B" w:rsidRDefault="00995D0B" w:rsidP="00995D0B">
      <w:pPr>
        <w:shd w:val="clear" w:color="auto" w:fill="FFFFFF"/>
        <w:jc w:val="both"/>
        <w:rPr>
          <w:rFonts w:cs="Arial"/>
          <w:szCs w:val="24"/>
        </w:rPr>
      </w:pPr>
      <w:r>
        <w:rPr>
          <w:rFonts w:cs="Arial"/>
          <w:szCs w:val="24"/>
        </w:rPr>
        <w:t xml:space="preserve">On 27 November 2018 freezing orders were made against </w:t>
      </w:r>
      <w:proofErr w:type="spellStart"/>
      <w:r>
        <w:rPr>
          <w:rFonts w:cs="Arial"/>
          <w:szCs w:val="24"/>
        </w:rPr>
        <w:t>Mr</w:t>
      </w:r>
      <w:proofErr w:type="spellEnd"/>
      <w:r>
        <w:rPr>
          <w:rFonts w:cs="Arial"/>
          <w:iCs/>
          <w:szCs w:val="24"/>
        </w:rPr>
        <w:t> </w:t>
      </w:r>
      <w:r>
        <w:rPr>
          <w:rFonts w:cs="Arial"/>
          <w:szCs w:val="24"/>
        </w:rPr>
        <w:t>Zu</w:t>
      </w:r>
      <w:r>
        <w:rPr>
          <w:rFonts w:cs="Arial"/>
          <w:iCs/>
          <w:szCs w:val="24"/>
        </w:rPr>
        <w:t> </w:t>
      </w:r>
      <w:proofErr w:type="spellStart"/>
      <w:r>
        <w:rPr>
          <w:rFonts w:cs="Arial"/>
          <w:szCs w:val="24"/>
        </w:rPr>
        <w:t>Neng</w:t>
      </w:r>
      <w:proofErr w:type="spellEnd"/>
      <w:r>
        <w:rPr>
          <w:rFonts w:cs="Arial"/>
          <w:iCs/>
          <w:szCs w:val="24"/>
        </w:rPr>
        <w:t> </w:t>
      </w:r>
      <w:r>
        <w:rPr>
          <w:rFonts w:cs="Arial"/>
          <w:szCs w:val="24"/>
        </w:rPr>
        <w:t xml:space="preserve">Shi by the Federal Court in proceedings commenced by the Appellant to recover </w:t>
      </w:r>
      <w:proofErr w:type="spellStart"/>
      <w:r>
        <w:rPr>
          <w:rFonts w:cs="Arial"/>
          <w:szCs w:val="24"/>
        </w:rPr>
        <w:t>Mr</w:t>
      </w:r>
      <w:proofErr w:type="spellEnd"/>
      <w:r>
        <w:rPr>
          <w:rFonts w:cs="Arial"/>
          <w:iCs/>
          <w:szCs w:val="24"/>
        </w:rPr>
        <w:t> </w:t>
      </w:r>
      <w:r>
        <w:rPr>
          <w:rFonts w:cs="Arial"/>
          <w:szCs w:val="24"/>
        </w:rPr>
        <w:t xml:space="preserve">Shi’s unpaid tax liabilities.  Ancillary disclosure orders were also made requiring </w:t>
      </w:r>
      <w:proofErr w:type="spellStart"/>
      <w:r>
        <w:rPr>
          <w:rFonts w:cs="Arial"/>
          <w:szCs w:val="24"/>
        </w:rPr>
        <w:t>Mr</w:t>
      </w:r>
      <w:proofErr w:type="spellEnd"/>
      <w:r>
        <w:rPr>
          <w:rFonts w:cs="Arial"/>
          <w:iCs/>
          <w:szCs w:val="24"/>
        </w:rPr>
        <w:t> </w:t>
      </w:r>
      <w:r>
        <w:rPr>
          <w:rFonts w:cs="Arial"/>
          <w:szCs w:val="24"/>
        </w:rPr>
        <w:t xml:space="preserve">Shi to disclose details of his worldwide assets.  In response, </w:t>
      </w:r>
      <w:proofErr w:type="spellStart"/>
      <w:r>
        <w:rPr>
          <w:rFonts w:cs="Arial"/>
          <w:szCs w:val="24"/>
        </w:rPr>
        <w:t>Mr</w:t>
      </w:r>
      <w:proofErr w:type="spellEnd"/>
      <w:r>
        <w:rPr>
          <w:rFonts w:cs="Arial"/>
          <w:szCs w:val="24"/>
        </w:rPr>
        <w:t xml:space="preserve"> Shi filed two affidavits.  The first was filed and served on the Appellant, disclosing assets with an estimated aggregate value of $360,100.00.  A copy of the second affidavit, disclosing further assets, was delivered to the Court in a sealed envelope under a claim that its contents should not be disclosed by reason of the privilege against self-incrimination (“the Privileged Affidavit”).  On 24 April 2019 judgment was entered by consent for the Appellant against </w:t>
      </w:r>
      <w:proofErr w:type="spellStart"/>
      <w:r>
        <w:rPr>
          <w:rFonts w:cs="Arial"/>
          <w:szCs w:val="24"/>
        </w:rPr>
        <w:t>Mr</w:t>
      </w:r>
      <w:proofErr w:type="spellEnd"/>
      <w:r>
        <w:rPr>
          <w:rFonts w:cs="Arial"/>
          <w:iCs/>
          <w:szCs w:val="24"/>
        </w:rPr>
        <w:t> </w:t>
      </w:r>
      <w:r>
        <w:rPr>
          <w:rFonts w:cs="Arial"/>
          <w:szCs w:val="24"/>
        </w:rPr>
        <w:t>Shi in the amount of $42,297,437.65.</w:t>
      </w:r>
    </w:p>
    <w:p w14:paraId="1165D603" w14:textId="77777777" w:rsidR="00995D0B" w:rsidRDefault="00995D0B" w:rsidP="00995D0B">
      <w:pPr>
        <w:shd w:val="clear" w:color="auto" w:fill="FFFFFF"/>
        <w:jc w:val="both"/>
        <w:rPr>
          <w:rFonts w:cs="Arial"/>
          <w:szCs w:val="24"/>
        </w:rPr>
      </w:pPr>
    </w:p>
    <w:p w14:paraId="0ACFDAD4" w14:textId="77777777" w:rsidR="00995D0B" w:rsidRDefault="00995D0B" w:rsidP="00995D0B">
      <w:pPr>
        <w:shd w:val="clear" w:color="auto" w:fill="FFFFFF"/>
        <w:jc w:val="both"/>
        <w:rPr>
          <w:rFonts w:cs="Arial"/>
          <w:szCs w:val="24"/>
        </w:rPr>
      </w:pPr>
      <w:r>
        <w:rPr>
          <w:rFonts w:cs="Arial"/>
          <w:szCs w:val="24"/>
        </w:rPr>
        <w:t xml:space="preserve">In the week prior to judgment being entered, </w:t>
      </w:r>
      <w:proofErr w:type="spellStart"/>
      <w:r>
        <w:rPr>
          <w:rFonts w:cs="Arial"/>
          <w:szCs w:val="24"/>
        </w:rPr>
        <w:t>Mr</w:t>
      </w:r>
      <w:proofErr w:type="spellEnd"/>
      <w:r>
        <w:rPr>
          <w:rFonts w:cs="Arial"/>
          <w:iCs/>
          <w:szCs w:val="24"/>
        </w:rPr>
        <w:t> </w:t>
      </w:r>
      <w:r>
        <w:rPr>
          <w:rFonts w:cs="Arial"/>
          <w:szCs w:val="24"/>
        </w:rPr>
        <w:t>Shi sought, by an interlocutory application, orders under s</w:t>
      </w:r>
      <w:r>
        <w:rPr>
          <w:rFonts w:cs="Arial"/>
          <w:iCs/>
          <w:szCs w:val="24"/>
        </w:rPr>
        <w:t> </w:t>
      </w:r>
      <w:r>
        <w:rPr>
          <w:rFonts w:cs="Arial"/>
          <w:szCs w:val="24"/>
        </w:rPr>
        <w:t xml:space="preserve">128A of the </w:t>
      </w:r>
      <w:r>
        <w:rPr>
          <w:rFonts w:cs="Arial"/>
          <w:i/>
          <w:szCs w:val="24"/>
        </w:rPr>
        <w:t xml:space="preserve">Evidence Act 1995 </w:t>
      </w:r>
      <w:r>
        <w:rPr>
          <w:rFonts w:cs="Arial"/>
          <w:szCs w:val="24"/>
        </w:rPr>
        <w:t>(</w:t>
      </w:r>
      <w:proofErr w:type="spellStart"/>
      <w:r>
        <w:rPr>
          <w:rFonts w:cs="Arial"/>
          <w:szCs w:val="24"/>
        </w:rPr>
        <w:t>Cth</w:t>
      </w:r>
      <w:proofErr w:type="spellEnd"/>
      <w:r>
        <w:rPr>
          <w:rFonts w:cs="Arial"/>
          <w:szCs w:val="24"/>
        </w:rPr>
        <w:t xml:space="preserve">) (“the Act”) that the Privileged Affidavit be returned to him or, in the alternative, that if the Court ordered disclosure of the Privileged Affidavit then </w:t>
      </w:r>
      <w:proofErr w:type="spellStart"/>
      <w:r>
        <w:rPr>
          <w:rFonts w:cs="Arial"/>
          <w:szCs w:val="24"/>
        </w:rPr>
        <w:t>Mr</w:t>
      </w:r>
      <w:proofErr w:type="spellEnd"/>
      <w:r>
        <w:rPr>
          <w:rFonts w:cs="Arial"/>
          <w:iCs/>
          <w:szCs w:val="24"/>
        </w:rPr>
        <w:t> </w:t>
      </w:r>
      <w:r>
        <w:rPr>
          <w:rFonts w:cs="Arial"/>
          <w:szCs w:val="24"/>
        </w:rPr>
        <w:t>Shi be given a certificate under s</w:t>
      </w:r>
      <w:r>
        <w:rPr>
          <w:rFonts w:cs="Arial"/>
          <w:iCs/>
          <w:szCs w:val="24"/>
        </w:rPr>
        <w:t> </w:t>
      </w:r>
      <w:r>
        <w:rPr>
          <w:rFonts w:cs="Arial"/>
          <w:szCs w:val="24"/>
        </w:rPr>
        <w:t xml:space="preserve">128A(7)-(8) of the Act prohibiting any evidence, document or thing obtained as a result of the disclosure from being used against </w:t>
      </w:r>
      <w:proofErr w:type="spellStart"/>
      <w:r>
        <w:rPr>
          <w:rFonts w:cs="Arial"/>
          <w:szCs w:val="24"/>
        </w:rPr>
        <w:t>Mr</w:t>
      </w:r>
      <w:proofErr w:type="spellEnd"/>
      <w:r>
        <w:rPr>
          <w:rFonts w:cs="Arial"/>
          <w:iCs/>
          <w:szCs w:val="24"/>
        </w:rPr>
        <w:t> </w:t>
      </w:r>
      <w:r>
        <w:rPr>
          <w:rFonts w:cs="Arial"/>
          <w:szCs w:val="24"/>
        </w:rPr>
        <w:t>Shi in any proceeding in an Australian court (“the Application”).</w:t>
      </w:r>
    </w:p>
    <w:p w14:paraId="630AB128" w14:textId="77777777" w:rsidR="00995D0B" w:rsidRDefault="00995D0B" w:rsidP="00995D0B">
      <w:pPr>
        <w:shd w:val="clear" w:color="auto" w:fill="FFFFFF"/>
        <w:jc w:val="both"/>
        <w:rPr>
          <w:rFonts w:cs="Arial"/>
          <w:szCs w:val="24"/>
        </w:rPr>
      </w:pPr>
    </w:p>
    <w:p w14:paraId="2C3B49F0" w14:textId="77777777" w:rsidR="00995D0B" w:rsidRDefault="00995D0B" w:rsidP="00995D0B">
      <w:pPr>
        <w:shd w:val="clear" w:color="auto" w:fill="FFFFFF"/>
        <w:jc w:val="both"/>
        <w:rPr>
          <w:rFonts w:cs="Arial"/>
          <w:szCs w:val="24"/>
        </w:rPr>
      </w:pPr>
      <w:r>
        <w:rPr>
          <w:rFonts w:cs="Arial"/>
          <w:szCs w:val="24"/>
        </w:rPr>
        <w:t xml:space="preserve">The application was </w:t>
      </w:r>
      <w:r w:rsidRPr="00D54E49">
        <w:rPr>
          <w:rFonts w:cs="Arial"/>
          <w:szCs w:val="24"/>
        </w:rPr>
        <w:t>determined by Justice</w:t>
      </w:r>
      <w:r>
        <w:rPr>
          <w:rFonts w:cs="Arial"/>
          <w:iCs/>
          <w:szCs w:val="24"/>
        </w:rPr>
        <w:t> </w:t>
      </w:r>
      <w:r w:rsidRPr="00D54E49">
        <w:rPr>
          <w:rFonts w:cs="Arial"/>
          <w:szCs w:val="24"/>
        </w:rPr>
        <w:t xml:space="preserve">Steward on 21 June 2019.  His </w:t>
      </w:r>
      <w:proofErr w:type="spellStart"/>
      <w:r w:rsidRPr="00D54E49">
        <w:rPr>
          <w:rFonts w:cs="Arial"/>
          <w:szCs w:val="24"/>
        </w:rPr>
        <w:t>Honour</w:t>
      </w:r>
      <w:proofErr w:type="spellEnd"/>
      <w:r w:rsidRPr="00D54E49">
        <w:rPr>
          <w:rFonts w:cs="Arial"/>
          <w:szCs w:val="24"/>
        </w:rPr>
        <w:t xml:space="preserve"> </w:t>
      </w:r>
      <w:r>
        <w:rPr>
          <w:rFonts w:cs="Arial"/>
          <w:szCs w:val="24"/>
        </w:rPr>
        <w:t xml:space="preserve">read the Privileged Affidavit and was satisfied that its contents disclosed reasonable grounds for the claims of privilege against self-incrimination and may tend to prove that </w:t>
      </w:r>
      <w:proofErr w:type="spellStart"/>
      <w:r>
        <w:rPr>
          <w:rFonts w:cs="Arial"/>
          <w:szCs w:val="24"/>
        </w:rPr>
        <w:t>Mr</w:t>
      </w:r>
      <w:proofErr w:type="spellEnd"/>
      <w:r>
        <w:rPr>
          <w:rFonts w:cs="Arial"/>
          <w:iCs/>
          <w:szCs w:val="24"/>
        </w:rPr>
        <w:t> </w:t>
      </w:r>
      <w:r>
        <w:rPr>
          <w:rFonts w:cs="Arial"/>
          <w:szCs w:val="24"/>
        </w:rPr>
        <w:t xml:space="preserve">Shi had committed an Australian offence but not an offence in China.  His </w:t>
      </w:r>
      <w:proofErr w:type="spellStart"/>
      <w:r>
        <w:rPr>
          <w:rFonts w:cs="Arial"/>
          <w:szCs w:val="24"/>
        </w:rPr>
        <w:t>Honour</w:t>
      </w:r>
      <w:proofErr w:type="spellEnd"/>
      <w:r>
        <w:rPr>
          <w:rFonts w:cs="Arial"/>
          <w:szCs w:val="24"/>
        </w:rPr>
        <w:t xml:space="preserve"> was not satisfied that the interests of justice required the Privileged Affidavit to be disclosed to the Appellant and ordered its return.  Justice</w:t>
      </w:r>
      <w:r>
        <w:rPr>
          <w:rFonts w:cs="Arial"/>
          <w:iCs/>
          <w:szCs w:val="24"/>
        </w:rPr>
        <w:t> </w:t>
      </w:r>
      <w:r>
        <w:rPr>
          <w:rFonts w:cs="Arial"/>
          <w:szCs w:val="24"/>
        </w:rPr>
        <w:t xml:space="preserve">Steward considered it in the public interest that the Appellant have access to the most complete information concerning the worldwide assets of </w:t>
      </w:r>
      <w:proofErr w:type="spellStart"/>
      <w:r>
        <w:rPr>
          <w:rFonts w:cs="Arial"/>
          <w:szCs w:val="24"/>
        </w:rPr>
        <w:t>Mr</w:t>
      </w:r>
      <w:proofErr w:type="spellEnd"/>
      <w:r>
        <w:rPr>
          <w:rFonts w:cs="Arial"/>
          <w:iCs/>
          <w:szCs w:val="24"/>
        </w:rPr>
        <w:t> </w:t>
      </w:r>
      <w:r>
        <w:rPr>
          <w:rFonts w:cs="Arial"/>
          <w:szCs w:val="24"/>
        </w:rPr>
        <w:t xml:space="preserve">Shi and be able to use any resulting information for the purposes of recovery including against </w:t>
      </w:r>
      <w:proofErr w:type="spellStart"/>
      <w:r>
        <w:rPr>
          <w:rFonts w:cs="Arial"/>
          <w:szCs w:val="24"/>
        </w:rPr>
        <w:t>Mr</w:t>
      </w:r>
      <w:proofErr w:type="spellEnd"/>
      <w:r>
        <w:rPr>
          <w:rFonts w:cs="Arial"/>
          <w:iCs/>
          <w:szCs w:val="24"/>
        </w:rPr>
        <w:t> </w:t>
      </w:r>
      <w:r>
        <w:rPr>
          <w:rFonts w:cs="Arial"/>
          <w:szCs w:val="24"/>
        </w:rPr>
        <w:t xml:space="preserve">Shi in any subsequent proceedings.  His </w:t>
      </w:r>
      <w:proofErr w:type="spellStart"/>
      <w:r>
        <w:rPr>
          <w:rFonts w:cs="Arial"/>
          <w:szCs w:val="24"/>
        </w:rPr>
        <w:t>Honour</w:t>
      </w:r>
      <w:proofErr w:type="spellEnd"/>
      <w:r>
        <w:rPr>
          <w:rFonts w:cs="Arial"/>
          <w:szCs w:val="24"/>
        </w:rPr>
        <w:t xml:space="preserve"> considered that the limitations on use of information disclosed subject to a certificate granted under s</w:t>
      </w:r>
      <w:r>
        <w:rPr>
          <w:rFonts w:cs="Arial"/>
          <w:iCs/>
          <w:szCs w:val="24"/>
        </w:rPr>
        <w:t> </w:t>
      </w:r>
      <w:r>
        <w:rPr>
          <w:rFonts w:cs="Arial"/>
          <w:szCs w:val="24"/>
        </w:rPr>
        <w:t xml:space="preserve">128A of the Act weighed against the interest of justice requiring disclosure.  In arriving at that conclusion, his </w:t>
      </w:r>
      <w:proofErr w:type="spellStart"/>
      <w:r>
        <w:rPr>
          <w:rFonts w:cs="Arial"/>
          <w:szCs w:val="24"/>
        </w:rPr>
        <w:t>Honour</w:t>
      </w:r>
      <w:proofErr w:type="spellEnd"/>
      <w:r>
        <w:rPr>
          <w:rFonts w:cs="Arial"/>
          <w:szCs w:val="24"/>
        </w:rPr>
        <w:t xml:space="preserve"> </w:t>
      </w:r>
      <w:r w:rsidRPr="00D54E49">
        <w:rPr>
          <w:rFonts w:cs="Arial"/>
          <w:szCs w:val="24"/>
        </w:rPr>
        <w:t xml:space="preserve">considered it relevant that the Appellant could obtain </w:t>
      </w:r>
      <w:r>
        <w:rPr>
          <w:rFonts w:cs="Arial"/>
          <w:szCs w:val="24"/>
        </w:rPr>
        <w:t xml:space="preserve">the privileged </w:t>
      </w:r>
      <w:r w:rsidRPr="00D54E49">
        <w:rPr>
          <w:rFonts w:cs="Arial"/>
          <w:szCs w:val="24"/>
        </w:rPr>
        <w:t xml:space="preserve">information </w:t>
      </w:r>
      <w:r>
        <w:rPr>
          <w:rFonts w:cs="Arial"/>
          <w:szCs w:val="24"/>
        </w:rPr>
        <w:t xml:space="preserve">more freely </w:t>
      </w:r>
      <w:r w:rsidRPr="00D54E49">
        <w:rPr>
          <w:rFonts w:cs="Arial"/>
          <w:szCs w:val="24"/>
        </w:rPr>
        <w:t xml:space="preserve">from </w:t>
      </w:r>
      <w:proofErr w:type="spellStart"/>
      <w:r>
        <w:rPr>
          <w:rFonts w:cs="Arial"/>
          <w:szCs w:val="24"/>
        </w:rPr>
        <w:t>Mr</w:t>
      </w:r>
      <w:proofErr w:type="spellEnd"/>
      <w:r>
        <w:rPr>
          <w:rFonts w:cs="Arial"/>
          <w:iCs/>
          <w:szCs w:val="24"/>
        </w:rPr>
        <w:t> </w:t>
      </w:r>
      <w:r>
        <w:rPr>
          <w:rFonts w:cs="Arial"/>
          <w:szCs w:val="24"/>
        </w:rPr>
        <w:t>Shi</w:t>
      </w:r>
      <w:r w:rsidRPr="00D54E49">
        <w:rPr>
          <w:rFonts w:cs="Arial"/>
          <w:szCs w:val="24"/>
        </w:rPr>
        <w:t xml:space="preserve"> </w:t>
      </w:r>
      <w:r>
        <w:rPr>
          <w:rFonts w:cs="Arial"/>
          <w:szCs w:val="24"/>
        </w:rPr>
        <w:t>by exercising its powers under</w:t>
      </w:r>
      <w:r w:rsidRPr="00D54E49">
        <w:rPr>
          <w:rFonts w:cs="Arial"/>
          <w:szCs w:val="24"/>
        </w:rPr>
        <w:t xml:space="preserve"> s</w:t>
      </w:r>
      <w:r>
        <w:rPr>
          <w:rFonts w:cs="Arial"/>
          <w:iCs/>
          <w:szCs w:val="24"/>
        </w:rPr>
        <w:t> </w:t>
      </w:r>
      <w:r w:rsidRPr="00D54E49">
        <w:rPr>
          <w:rFonts w:cs="Arial"/>
          <w:szCs w:val="24"/>
        </w:rPr>
        <w:t xml:space="preserve">353-10 of Schedule 1 to the </w:t>
      </w:r>
      <w:r w:rsidRPr="00D54E49">
        <w:rPr>
          <w:rFonts w:cs="Arial"/>
          <w:i/>
          <w:szCs w:val="24"/>
        </w:rPr>
        <w:t xml:space="preserve">Taxation Administration Act 1953 </w:t>
      </w:r>
      <w:r w:rsidRPr="00D54E49">
        <w:rPr>
          <w:rFonts w:cs="Arial"/>
          <w:szCs w:val="24"/>
        </w:rPr>
        <w:t>(</w:t>
      </w:r>
      <w:proofErr w:type="spellStart"/>
      <w:r w:rsidRPr="00D54E49">
        <w:rPr>
          <w:rFonts w:cs="Arial"/>
          <w:szCs w:val="24"/>
        </w:rPr>
        <w:t>Cth</w:t>
      </w:r>
      <w:proofErr w:type="spellEnd"/>
      <w:r w:rsidRPr="00D54E49">
        <w:rPr>
          <w:rFonts w:cs="Arial"/>
          <w:szCs w:val="24"/>
        </w:rPr>
        <w:t>)</w:t>
      </w:r>
      <w:r>
        <w:rPr>
          <w:rFonts w:cs="Arial"/>
          <w:szCs w:val="24"/>
        </w:rPr>
        <w:t xml:space="preserve"> (“the TAA”),</w:t>
      </w:r>
      <w:r w:rsidRPr="00D54E49">
        <w:rPr>
          <w:rFonts w:cs="Arial"/>
          <w:szCs w:val="24"/>
        </w:rPr>
        <w:t xml:space="preserve"> to which the privilege against self-incrimination cannot be invoked as a reason for non-compliance</w:t>
      </w:r>
      <w:r w:rsidRPr="009B3A5C">
        <w:rPr>
          <w:rFonts w:cs="Arial"/>
          <w:szCs w:val="24"/>
        </w:rPr>
        <w:t>.</w:t>
      </w:r>
      <w:r>
        <w:rPr>
          <w:rFonts w:cs="Arial"/>
          <w:szCs w:val="24"/>
        </w:rPr>
        <w:t xml:space="preserve"> </w:t>
      </w:r>
    </w:p>
    <w:p w14:paraId="79904012" w14:textId="77777777" w:rsidR="00995D0B" w:rsidRPr="007562F2" w:rsidRDefault="00995D0B" w:rsidP="00995D0B">
      <w:pPr>
        <w:shd w:val="clear" w:color="auto" w:fill="FFFFFF"/>
        <w:jc w:val="both"/>
        <w:rPr>
          <w:rFonts w:cs="Arial"/>
          <w:szCs w:val="24"/>
        </w:rPr>
      </w:pPr>
    </w:p>
    <w:p w14:paraId="2DF6E21C" w14:textId="77777777" w:rsidR="00995D0B" w:rsidRDefault="00995D0B" w:rsidP="00995D0B">
      <w:pPr>
        <w:shd w:val="clear" w:color="auto" w:fill="FFFFFF"/>
        <w:jc w:val="both"/>
        <w:rPr>
          <w:rFonts w:cs="Arial"/>
          <w:szCs w:val="24"/>
        </w:rPr>
      </w:pPr>
      <w:r>
        <w:rPr>
          <w:rFonts w:cs="Arial"/>
          <w:szCs w:val="24"/>
        </w:rPr>
        <w:t>An appeal by the Appellant was dismissed by the Full Court of the Federal Court (Lee and Stewart</w:t>
      </w:r>
      <w:r>
        <w:rPr>
          <w:rFonts w:cs="Arial"/>
          <w:iCs/>
          <w:szCs w:val="24"/>
        </w:rPr>
        <w:t> </w:t>
      </w:r>
      <w:r>
        <w:rPr>
          <w:rFonts w:cs="Arial"/>
          <w:szCs w:val="24"/>
        </w:rPr>
        <w:t>JJ; Davies</w:t>
      </w:r>
      <w:r>
        <w:rPr>
          <w:rFonts w:cs="Arial"/>
          <w:iCs/>
          <w:szCs w:val="24"/>
        </w:rPr>
        <w:t> </w:t>
      </w:r>
      <w:r>
        <w:rPr>
          <w:rFonts w:cs="Arial"/>
          <w:szCs w:val="24"/>
        </w:rPr>
        <w:t>J dissenting).  Justices</w:t>
      </w:r>
      <w:r>
        <w:rPr>
          <w:rFonts w:cs="Arial"/>
          <w:iCs/>
          <w:szCs w:val="24"/>
        </w:rPr>
        <w:t> </w:t>
      </w:r>
      <w:r>
        <w:rPr>
          <w:rFonts w:cs="Arial"/>
          <w:szCs w:val="24"/>
        </w:rPr>
        <w:t xml:space="preserve">Lee and Stewart agreed with the primary judge that the interests of justice did not require disclosure of the Privileged Affidavit.  However, their </w:t>
      </w:r>
      <w:proofErr w:type="spellStart"/>
      <w:r>
        <w:rPr>
          <w:rFonts w:cs="Arial"/>
          <w:szCs w:val="24"/>
        </w:rPr>
        <w:t>Honours</w:t>
      </w:r>
      <w:proofErr w:type="spellEnd"/>
      <w:r>
        <w:rPr>
          <w:rFonts w:cs="Arial"/>
          <w:szCs w:val="24"/>
        </w:rPr>
        <w:t xml:space="preserve"> followed a different course of reasoning in arriving at that conclusion.  Amongst other factors, their </w:t>
      </w:r>
      <w:proofErr w:type="spellStart"/>
      <w:r>
        <w:rPr>
          <w:rFonts w:cs="Arial"/>
          <w:szCs w:val="24"/>
        </w:rPr>
        <w:t>Honours</w:t>
      </w:r>
      <w:proofErr w:type="spellEnd"/>
      <w:r>
        <w:rPr>
          <w:rFonts w:cs="Arial"/>
          <w:szCs w:val="24"/>
        </w:rPr>
        <w:t xml:space="preserve"> considered it relevant that regard be had to the curial context in which the interests of justice were considered, being post-judgment and to, in effect, assist methods of execution.  In that respect, the majority considered it relevant to examine other </w:t>
      </w:r>
      <w:r>
        <w:rPr>
          <w:rFonts w:cs="Arial"/>
          <w:szCs w:val="24"/>
        </w:rPr>
        <w:lastRenderedPageBreak/>
        <w:t xml:space="preserve">available ways that execution could be assisted.  In particular, their </w:t>
      </w:r>
      <w:proofErr w:type="spellStart"/>
      <w:r>
        <w:rPr>
          <w:rFonts w:cs="Arial"/>
          <w:szCs w:val="24"/>
        </w:rPr>
        <w:t>Honours</w:t>
      </w:r>
      <w:proofErr w:type="spellEnd"/>
      <w:r>
        <w:rPr>
          <w:rFonts w:cs="Arial"/>
          <w:szCs w:val="24"/>
        </w:rPr>
        <w:t xml:space="preserve"> considered it relevant that the Appellant could have availed itself of the mechanism under s</w:t>
      </w:r>
      <w:r>
        <w:rPr>
          <w:rFonts w:cs="Arial"/>
          <w:iCs/>
          <w:szCs w:val="24"/>
        </w:rPr>
        <w:t> </w:t>
      </w:r>
      <w:r>
        <w:rPr>
          <w:rFonts w:cs="Arial"/>
          <w:szCs w:val="24"/>
        </w:rPr>
        <w:t xml:space="preserve">108 of the </w:t>
      </w:r>
      <w:r>
        <w:rPr>
          <w:rFonts w:cs="Arial"/>
          <w:i/>
          <w:szCs w:val="24"/>
        </w:rPr>
        <w:t xml:space="preserve">Civil Procedure Act 2005 </w:t>
      </w:r>
      <w:r>
        <w:rPr>
          <w:rFonts w:cs="Arial"/>
          <w:szCs w:val="24"/>
        </w:rPr>
        <w:t xml:space="preserve">(NSW) to require </w:t>
      </w:r>
      <w:proofErr w:type="spellStart"/>
      <w:r>
        <w:rPr>
          <w:rFonts w:cs="Arial"/>
          <w:szCs w:val="24"/>
        </w:rPr>
        <w:t>Mr</w:t>
      </w:r>
      <w:proofErr w:type="spellEnd"/>
      <w:r>
        <w:rPr>
          <w:rFonts w:cs="Arial"/>
          <w:iCs/>
          <w:szCs w:val="24"/>
        </w:rPr>
        <w:t> </w:t>
      </w:r>
      <w:r>
        <w:rPr>
          <w:rFonts w:cs="Arial"/>
          <w:szCs w:val="24"/>
        </w:rPr>
        <w:t xml:space="preserve">Shi to attend court for oral examination or produce any document or thing in his possession that related to a material question as to his means of satisfying the judgment.  Their </w:t>
      </w:r>
      <w:proofErr w:type="spellStart"/>
      <w:r>
        <w:rPr>
          <w:rFonts w:cs="Arial"/>
          <w:szCs w:val="24"/>
        </w:rPr>
        <w:t>Honours</w:t>
      </w:r>
      <w:proofErr w:type="spellEnd"/>
      <w:r>
        <w:rPr>
          <w:rFonts w:cs="Arial"/>
          <w:szCs w:val="24"/>
        </w:rPr>
        <w:t xml:space="preserve"> also considered that the risk of the derivative use of information in the Privileged Affidavit, were it to be disclosed with a certificate pursuant to s</w:t>
      </w:r>
      <w:r>
        <w:rPr>
          <w:rFonts w:cs="Arial"/>
          <w:iCs/>
          <w:szCs w:val="24"/>
        </w:rPr>
        <w:t> </w:t>
      </w:r>
      <w:r>
        <w:rPr>
          <w:rFonts w:cs="Arial"/>
          <w:szCs w:val="24"/>
        </w:rPr>
        <w:t xml:space="preserve">128A of the Act, in relation to the accusatorial process of criminal justice militated against disclosure. </w:t>
      </w:r>
    </w:p>
    <w:p w14:paraId="734D117A" w14:textId="77777777" w:rsidR="00995D0B" w:rsidRDefault="00995D0B" w:rsidP="00995D0B">
      <w:pPr>
        <w:shd w:val="clear" w:color="auto" w:fill="FFFFFF"/>
        <w:jc w:val="both"/>
        <w:rPr>
          <w:rFonts w:cs="Arial"/>
          <w:szCs w:val="24"/>
        </w:rPr>
      </w:pPr>
    </w:p>
    <w:p w14:paraId="6EA47632" w14:textId="77777777" w:rsidR="00995D0B" w:rsidRPr="00D73146" w:rsidRDefault="00995D0B" w:rsidP="00995D0B">
      <w:pPr>
        <w:shd w:val="clear" w:color="auto" w:fill="FFFFFF"/>
        <w:jc w:val="both"/>
        <w:rPr>
          <w:rFonts w:cs="Arial"/>
          <w:szCs w:val="24"/>
        </w:rPr>
      </w:pPr>
      <w:r>
        <w:rPr>
          <w:rFonts w:cs="Arial"/>
          <w:szCs w:val="24"/>
        </w:rPr>
        <w:t xml:space="preserve">Justice Davies however would have allowed the appeal.  Her </w:t>
      </w:r>
      <w:proofErr w:type="spellStart"/>
      <w:r>
        <w:rPr>
          <w:rFonts w:cs="Arial"/>
          <w:szCs w:val="24"/>
        </w:rPr>
        <w:t>Honour</w:t>
      </w:r>
      <w:proofErr w:type="spellEnd"/>
      <w:r>
        <w:rPr>
          <w:rFonts w:cs="Arial"/>
          <w:szCs w:val="24"/>
        </w:rPr>
        <w:t xml:space="preserve"> found that the primary judge, in holding that it was not in the interests of justice to require disclosure of the Privileged Affidavit because the Appellant had available a statutory power which abrogated the privilege against self-incrimination, had acted on a wrong principle and that the exercise of weighing the interests of justice consequently was affected by material error.</w:t>
      </w:r>
    </w:p>
    <w:p w14:paraId="36574630" w14:textId="77777777" w:rsidR="00995D0B" w:rsidRPr="00FE4BAE" w:rsidRDefault="00995D0B" w:rsidP="00995D0B">
      <w:pPr>
        <w:shd w:val="clear" w:color="auto" w:fill="FFFFFF"/>
        <w:spacing w:before="100" w:beforeAutospacing="1" w:after="240"/>
        <w:jc w:val="both"/>
        <w:rPr>
          <w:rFonts w:cs="Arial"/>
          <w:szCs w:val="24"/>
        </w:rPr>
      </w:pPr>
      <w:r w:rsidRPr="00E50C12">
        <w:rPr>
          <w:rFonts w:cs="Arial"/>
          <w:szCs w:val="24"/>
        </w:rPr>
        <w:t>The grounds of appeal are:</w:t>
      </w:r>
    </w:p>
    <w:p w14:paraId="4D2C7A2D" w14:textId="77777777" w:rsidR="00995D0B" w:rsidRDefault="00995D0B" w:rsidP="00995D0B">
      <w:pPr>
        <w:numPr>
          <w:ilvl w:val="0"/>
          <w:numId w:val="11"/>
        </w:numPr>
        <w:autoSpaceDE w:val="0"/>
        <w:autoSpaceDN w:val="0"/>
        <w:adjustRightInd w:val="0"/>
        <w:ind w:left="426" w:hanging="426"/>
        <w:jc w:val="both"/>
        <w:rPr>
          <w:rFonts w:cs="Arial"/>
          <w:szCs w:val="24"/>
        </w:rPr>
      </w:pPr>
      <w:r>
        <w:rPr>
          <w:rFonts w:cs="Arial"/>
          <w:szCs w:val="24"/>
        </w:rPr>
        <w:t xml:space="preserve">In determining whether it was in the interests of </w:t>
      </w:r>
      <w:r w:rsidRPr="00FE6195">
        <w:rPr>
          <w:rFonts w:cs="Arial"/>
          <w:szCs w:val="24"/>
        </w:rPr>
        <w:t>justice to grant a certificate pursuant to s</w:t>
      </w:r>
      <w:r>
        <w:rPr>
          <w:rFonts w:cs="Arial"/>
          <w:iCs/>
          <w:szCs w:val="24"/>
        </w:rPr>
        <w:t> </w:t>
      </w:r>
      <w:r w:rsidRPr="00FE6195">
        <w:rPr>
          <w:rFonts w:cs="Arial"/>
          <w:szCs w:val="24"/>
        </w:rPr>
        <w:t>128A of the Act in respect of the Privileged Affidavit:</w:t>
      </w:r>
    </w:p>
    <w:p w14:paraId="3E57E8EA" w14:textId="77777777" w:rsidR="00995D0B" w:rsidRDefault="00995D0B" w:rsidP="00995D0B">
      <w:pPr>
        <w:autoSpaceDE w:val="0"/>
        <w:autoSpaceDN w:val="0"/>
        <w:adjustRightInd w:val="0"/>
        <w:ind w:left="720"/>
        <w:jc w:val="both"/>
        <w:rPr>
          <w:rFonts w:cs="Arial"/>
          <w:szCs w:val="24"/>
        </w:rPr>
      </w:pPr>
    </w:p>
    <w:p w14:paraId="4D8F274F" w14:textId="77777777" w:rsidR="00995D0B" w:rsidRDefault="00995D0B" w:rsidP="00995D0B">
      <w:pPr>
        <w:numPr>
          <w:ilvl w:val="1"/>
          <w:numId w:val="11"/>
        </w:numPr>
        <w:autoSpaceDE w:val="0"/>
        <w:autoSpaceDN w:val="0"/>
        <w:adjustRightInd w:val="0"/>
        <w:ind w:left="851" w:hanging="425"/>
        <w:jc w:val="both"/>
        <w:rPr>
          <w:rFonts w:cs="Arial"/>
          <w:szCs w:val="24"/>
        </w:rPr>
      </w:pPr>
      <w:r>
        <w:rPr>
          <w:rFonts w:cs="Arial"/>
          <w:szCs w:val="24"/>
        </w:rPr>
        <w:t xml:space="preserve">the Full Court erred in </w:t>
      </w:r>
      <w:proofErr w:type="gramStart"/>
      <w:r>
        <w:rPr>
          <w:rFonts w:cs="Arial"/>
          <w:szCs w:val="24"/>
        </w:rPr>
        <w:t>taking into account</w:t>
      </w:r>
      <w:proofErr w:type="gramEnd"/>
      <w:r>
        <w:rPr>
          <w:rFonts w:cs="Arial"/>
          <w:szCs w:val="24"/>
        </w:rPr>
        <w:t xml:space="preserve"> the mechanism under s 108 of the </w:t>
      </w:r>
      <w:r>
        <w:rPr>
          <w:rFonts w:cs="Arial"/>
          <w:i/>
          <w:szCs w:val="24"/>
        </w:rPr>
        <w:t xml:space="preserve">Civil Procedure Act 2005 </w:t>
      </w:r>
      <w:r>
        <w:rPr>
          <w:rFonts w:cs="Arial"/>
          <w:szCs w:val="24"/>
        </w:rPr>
        <w:t xml:space="preserve">(NSW) to examine </w:t>
      </w:r>
      <w:proofErr w:type="spellStart"/>
      <w:r>
        <w:rPr>
          <w:rFonts w:cs="Arial"/>
          <w:szCs w:val="24"/>
        </w:rPr>
        <w:t>Mr</w:t>
      </w:r>
      <w:proofErr w:type="spellEnd"/>
      <w:r>
        <w:rPr>
          <w:rFonts w:cs="Arial"/>
          <w:iCs/>
          <w:szCs w:val="24"/>
        </w:rPr>
        <w:t> </w:t>
      </w:r>
      <w:r>
        <w:rPr>
          <w:rFonts w:cs="Arial"/>
          <w:szCs w:val="24"/>
        </w:rPr>
        <w:t>Shi as a judgment debtor; and</w:t>
      </w:r>
    </w:p>
    <w:p w14:paraId="07E3D46C" w14:textId="77777777" w:rsidR="00995D0B" w:rsidRDefault="00995D0B" w:rsidP="00995D0B">
      <w:pPr>
        <w:autoSpaceDE w:val="0"/>
        <w:autoSpaceDN w:val="0"/>
        <w:adjustRightInd w:val="0"/>
        <w:ind w:left="851" w:hanging="425"/>
        <w:jc w:val="both"/>
        <w:rPr>
          <w:rFonts w:cs="Arial"/>
          <w:szCs w:val="24"/>
        </w:rPr>
      </w:pPr>
    </w:p>
    <w:p w14:paraId="4A58FB17" w14:textId="77777777" w:rsidR="00995D0B" w:rsidRDefault="00995D0B" w:rsidP="00995D0B">
      <w:pPr>
        <w:numPr>
          <w:ilvl w:val="1"/>
          <w:numId w:val="11"/>
        </w:numPr>
        <w:autoSpaceDE w:val="0"/>
        <w:autoSpaceDN w:val="0"/>
        <w:adjustRightInd w:val="0"/>
        <w:ind w:left="851" w:hanging="425"/>
        <w:jc w:val="both"/>
        <w:rPr>
          <w:rFonts w:cs="Arial"/>
          <w:szCs w:val="24"/>
        </w:rPr>
      </w:pPr>
      <w:r>
        <w:rPr>
          <w:rFonts w:cs="Arial"/>
          <w:szCs w:val="24"/>
        </w:rPr>
        <w:t xml:space="preserve">the Full Court erred in </w:t>
      </w:r>
      <w:proofErr w:type="gramStart"/>
      <w:r>
        <w:rPr>
          <w:rFonts w:cs="Arial"/>
          <w:szCs w:val="24"/>
        </w:rPr>
        <w:t>taking into account</w:t>
      </w:r>
      <w:proofErr w:type="gramEnd"/>
      <w:r>
        <w:rPr>
          <w:rFonts w:cs="Arial"/>
          <w:szCs w:val="24"/>
        </w:rPr>
        <w:t xml:space="preserve"> the risk of derivative use of the Privileged Affidavit in the event that a certificate was granted pursuant to s 128A of the Act. </w:t>
      </w:r>
    </w:p>
    <w:p w14:paraId="52A5829D" w14:textId="77777777" w:rsidR="00995D0B" w:rsidRDefault="00995D0B" w:rsidP="00995D0B">
      <w:pPr>
        <w:pStyle w:val="ListParagraph"/>
        <w:rPr>
          <w:rFonts w:cs="Arial"/>
          <w:sz w:val="24"/>
          <w:szCs w:val="24"/>
          <w:lang w:eastAsia="en-AU"/>
        </w:rPr>
      </w:pPr>
    </w:p>
    <w:p w14:paraId="32909209" w14:textId="77777777" w:rsidR="00995D0B" w:rsidRDefault="00995D0B" w:rsidP="00995D0B">
      <w:pPr>
        <w:autoSpaceDE w:val="0"/>
        <w:autoSpaceDN w:val="0"/>
        <w:adjustRightInd w:val="0"/>
        <w:jc w:val="both"/>
        <w:rPr>
          <w:rFonts w:cs="Arial"/>
          <w:szCs w:val="24"/>
        </w:rPr>
      </w:pPr>
      <w:proofErr w:type="spellStart"/>
      <w:r>
        <w:rPr>
          <w:rFonts w:cs="Arial"/>
          <w:szCs w:val="24"/>
        </w:rPr>
        <w:t>Mr</w:t>
      </w:r>
      <w:proofErr w:type="spellEnd"/>
      <w:r>
        <w:rPr>
          <w:rFonts w:cs="Arial"/>
          <w:szCs w:val="24"/>
        </w:rPr>
        <w:t xml:space="preserve"> Shi has filed a notice of contention, which raises the following ground:</w:t>
      </w:r>
    </w:p>
    <w:p w14:paraId="6F3F244E" w14:textId="77777777" w:rsidR="00995D0B" w:rsidRDefault="00995D0B" w:rsidP="00995D0B">
      <w:pPr>
        <w:autoSpaceDE w:val="0"/>
        <w:autoSpaceDN w:val="0"/>
        <w:adjustRightInd w:val="0"/>
        <w:jc w:val="both"/>
        <w:rPr>
          <w:rFonts w:cs="Arial"/>
          <w:szCs w:val="24"/>
        </w:rPr>
      </w:pPr>
    </w:p>
    <w:p w14:paraId="6460B7A6" w14:textId="6E0ED885" w:rsidR="00995D0B" w:rsidRDefault="00995D0B" w:rsidP="00995D0B">
      <w:pPr>
        <w:numPr>
          <w:ilvl w:val="0"/>
          <w:numId w:val="11"/>
        </w:numPr>
        <w:autoSpaceDE w:val="0"/>
        <w:autoSpaceDN w:val="0"/>
        <w:adjustRightInd w:val="0"/>
        <w:ind w:left="426" w:hanging="426"/>
        <w:jc w:val="both"/>
        <w:rPr>
          <w:rFonts w:cs="Arial"/>
          <w:szCs w:val="24"/>
        </w:rPr>
      </w:pPr>
      <w:r>
        <w:rPr>
          <w:rFonts w:cs="Arial"/>
          <w:szCs w:val="24"/>
        </w:rPr>
        <w:t xml:space="preserve">Having correctly found for </w:t>
      </w:r>
      <w:r w:rsidR="001F6CBF">
        <w:rPr>
          <w:rFonts w:cs="Arial"/>
          <w:szCs w:val="24"/>
        </w:rPr>
        <w:t xml:space="preserve">the </w:t>
      </w:r>
      <w:r>
        <w:rPr>
          <w:rFonts w:cs="Arial"/>
          <w:szCs w:val="24"/>
        </w:rPr>
        <w:t xml:space="preserve">purposes of s 128A of the Act that the onus is on the party seeking disclosure to satisfy the court of the matters in s 128A(6), and in upholding </w:t>
      </w:r>
      <w:proofErr w:type="spellStart"/>
      <w:r>
        <w:rPr>
          <w:rFonts w:cs="Arial"/>
          <w:szCs w:val="24"/>
        </w:rPr>
        <w:t>Mr</w:t>
      </w:r>
      <w:proofErr w:type="spellEnd"/>
      <w:r>
        <w:rPr>
          <w:rFonts w:cs="Arial"/>
          <w:iCs/>
          <w:szCs w:val="24"/>
        </w:rPr>
        <w:t> </w:t>
      </w:r>
      <w:r>
        <w:rPr>
          <w:rFonts w:cs="Arial"/>
          <w:szCs w:val="24"/>
        </w:rPr>
        <w:t>Shi’s ground of contention 1(a), the Full Court should have found, but erroneously failed to find, that it was not open for the primary judge to have been satisfied of the negative proposition set out in s 128A(6)(b), namely that “</w:t>
      </w:r>
      <w:r w:rsidRPr="00864E7D">
        <w:rPr>
          <w:rFonts w:cs="Arial"/>
          <w:i/>
          <w:szCs w:val="24"/>
        </w:rPr>
        <w:t>the information [in the Privileged Affidavit] does not tend to prove that [</w:t>
      </w:r>
      <w:proofErr w:type="spellStart"/>
      <w:r w:rsidRPr="00864E7D">
        <w:rPr>
          <w:rFonts w:cs="Arial"/>
          <w:i/>
          <w:szCs w:val="24"/>
        </w:rPr>
        <w:t>Mr</w:t>
      </w:r>
      <w:proofErr w:type="spellEnd"/>
      <w:r w:rsidRPr="00864E7D">
        <w:rPr>
          <w:rFonts w:cs="Arial"/>
          <w:i/>
          <w:szCs w:val="24"/>
        </w:rPr>
        <w:t xml:space="preserve"> Shi] has committed an offence against or arising under, or is liable to a civil penalty under, a law of a foreign country</w:t>
      </w:r>
      <w:r>
        <w:rPr>
          <w:rFonts w:cs="Arial"/>
          <w:szCs w:val="24"/>
        </w:rPr>
        <w:t>”.</w:t>
      </w:r>
    </w:p>
    <w:p w14:paraId="0F699B83" w14:textId="49B62278" w:rsidR="00995D0B" w:rsidRDefault="00995D0B" w:rsidP="00913869">
      <w:r>
        <w:br/>
      </w:r>
    </w:p>
    <w:p w14:paraId="6B5522D8" w14:textId="77777777" w:rsidR="00995D0B" w:rsidRDefault="00995D0B">
      <w:r>
        <w:br w:type="page"/>
      </w:r>
    </w:p>
    <w:p w14:paraId="1D04BD54" w14:textId="77777777" w:rsidR="00995D0B" w:rsidRPr="007F1B72" w:rsidRDefault="00995D0B" w:rsidP="00995D0B">
      <w:pPr>
        <w:pStyle w:val="NoSpacing"/>
        <w:rPr>
          <w:rFonts w:ascii="Arial" w:eastAsia="Times New Roman" w:hAnsi="Arial" w:cs="Arial"/>
          <w:b/>
          <w:color w:val="000000"/>
          <w:sz w:val="24"/>
          <w:szCs w:val="24"/>
          <w:u w:val="single"/>
          <w:lang w:eastAsia="en-AU"/>
        </w:rPr>
      </w:pPr>
      <w:r w:rsidRPr="007F1B72">
        <w:rPr>
          <w:rFonts w:ascii="Arial" w:eastAsia="Times New Roman" w:hAnsi="Arial" w:cs="Arial"/>
          <w:b/>
          <w:color w:val="000000"/>
          <w:sz w:val="24"/>
          <w:szCs w:val="24"/>
          <w:u w:val="single"/>
          <w:lang w:eastAsia="en-AU"/>
        </w:rPr>
        <w:lastRenderedPageBreak/>
        <w:t xml:space="preserve">MINISTER FOR IMMIGRATION, CITIZENSHIP, MIGRANT SERVICES AND MULTICULTURAL AFFAIRS v </w:t>
      </w:r>
      <w:proofErr w:type="gramStart"/>
      <w:r w:rsidRPr="007F1B72">
        <w:rPr>
          <w:rFonts w:ascii="Arial" w:eastAsia="Times New Roman" w:hAnsi="Arial" w:cs="Arial"/>
          <w:b/>
          <w:color w:val="000000"/>
          <w:sz w:val="24"/>
          <w:szCs w:val="24"/>
          <w:u w:val="single"/>
          <w:lang w:eastAsia="en-AU"/>
        </w:rPr>
        <w:t>MOORCROFT</w:t>
      </w:r>
      <w:r w:rsidRPr="007F1B72">
        <w:rPr>
          <w:rFonts w:ascii="Arial" w:eastAsia="Times New Roman" w:hAnsi="Arial" w:cs="Arial"/>
          <w:b/>
          <w:color w:val="000000"/>
          <w:sz w:val="24"/>
          <w:szCs w:val="24"/>
          <w:lang w:eastAsia="en-AU"/>
        </w:rPr>
        <w:t xml:space="preserve"> </w:t>
      </w:r>
      <w:r>
        <w:rPr>
          <w:rFonts w:ascii="Arial" w:eastAsia="Times New Roman" w:hAnsi="Arial" w:cs="Arial"/>
          <w:b/>
          <w:color w:val="000000"/>
          <w:sz w:val="24"/>
          <w:szCs w:val="24"/>
          <w:lang w:eastAsia="en-AU"/>
        </w:rPr>
        <w:t xml:space="preserve"> </w:t>
      </w:r>
      <w:r w:rsidRPr="007F1B72">
        <w:rPr>
          <w:rFonts w:ascii="Arial" w:eastAsia="Times New Roman" w:hAnsi="Arial" w:cs="Arial"/>
          <w:b/>
          <w:color w:val="000000"/>
          <w:sz w:val="24"/>
          <w:szCs w:val="24"/>
          <w:lang w:eastAsia="en-AU"/>
        </w:rPr>
        <w:t>(</w:t>
      </w:r>
      <w:proofErr w:type="gramEnd"/>
      <w:r w:rsidRPr="007F1B72">
        <w:rPr>
          <w:rFonts w:ascii="Arial" w:eastAsia="Times New Roman" w:hAnsi="Arial" w:cs="Arial"/>
          <w:b/>
          <w:color w:val="000000"/>
          <w:sz w:val="24"/>
          <w:szCs w:val="24"/>
          <w:lang w:eastAsia="en-AU"/>
        </w:rPr>
        <w:t>B66/2020)</w:t>
      </w:r>
    </w:p>
    <w:p w14:paraId="59E00B6B" w14:textId="77777777" w:rsidR="00995D0B" w:rsidRPr="00A920AB" w:rsidRDefault="00995D0B" w:rsidP="00995D0B">
      <w:pPr>
        <w:ind w:left="2694" w:hanging="2694"/>
        <w:rPr>
          <w:rFonts w:cs="Arial"/>
          <w:szCs w:val="24"/>
        </w:rPr>
      </w:pPr>
    </w:p>
    <w:p w14:paraId="0322E1CA" w14:textId="77777777" w:rsidR="00995D0B" w:rsidRPr="006A1C3E" w:rsidRDefault="00995D0B" w:rsidP="00995D0B">
      <w:pPr>
        <w:ind w:left="2694" w:hanging="2694"/>
        <w:rPr>
          <w:rFonts w:cs="Arial"/>
          <w:szCs w:val="24"/>
        </w:rPr>
      </w:pPr>
      <w:r w:rsidRPr="006A1C3E">
        <w:rPr>
          <w:rFonts w:cs="Arial"/>
          <w:szCs w:val="24"/>
          <w:u w:val="single"/>
        </w:rPr>
        <w:t>Court appealed from</w:t>
      </w:r>
      <w:r w:rsidRPr="006A1C3E">
        <w:rPr>
          <w:rFonts w:cs="Arial"/>
          <w:szCs w:val="24"/>
        </w:rPr>
        <w:t>:</w:t>
      </w:r>
      <w:r w:rsidRPr="006A1C3E">
        <w:rPr>
          <w:rFonts w:cs="Arial"/>
          <w:szCs w:val="24"/>
        </w:rPr>
        <w:tab/>
      </w:r>
      <w:r>
        <w:rPr>
          <w:rFonts w:cs="Arial"/>
          <w:szCs w:val="24"/>
        </w:rPr>
        <w:t>Federal Court of Australia</w:t>
      </w:r>
    </w:p>
    <w:p w14:paraId="6C3CB4A8" w14:textId="77777777" w:rsidR="00995D0B" w:rsidRPr="006A1C3E" w:rsidRDefault="00995D0B" w:rsidP="00995D0B">
      <w:pPr>
        <w:ind w:left="2694" w:hanging="2694"/>
        <w:rPr>
          <w:rFonts w:cs="Arial"/>
          <w:szCs w:val="24"/>
        </w:rPr>
      </w:pPr>
      <w:r w:rsidRPr="006A1C3E">
        <w:rPr>
          <w:rFonts w:cs="Arial"/>
          <w:szCs w:val="24"/>
        </w:rPr>
        <w:tab/>
      </w:r>
      <w:r>
        <w:rPr>
          <w:rFonts w:cs="Arial"/>
          <w:szCs w:val="24"/>
        </w:rPr>
        <w:t>[2020] FCA 382</w:t>
      </w:r>
    </w:p>
    <w:p w14:paraId="6FEB8CAA" w14:textId="77777777" w:rsidR="00995D0B" w:rsidRPr="006A1C3E" w:rsidRDefault="00995D0B" w:rsidP="00995D0B">
      <w:pPr>
        <w:ind w:left="2694" w:hanging="2694"/>
        <w:rPr>
          <w:rFonts w:cs="Arial"/>
          <w:szCs w:val="24"/>
        </w:rPr>
      </w:pPr>
      <w:r w:rsidRPr="006A1C3E">
        <w:rPr>
          <w:rFonts w:cs="Arial"/>
          <w:szCs w:val="24"/>
        </w:rPr>
        <w:tab/>
      </w:r>
    </w:p>
    <w:p w14:paraId="3A803B70" w14:textId="77777777" w:rsidR="00995D0B" w:rsidRPr="006A1C3E" w:rsidRDefault="00995D0B" w:rsidP="00995D0B">
      <w:pPr>
        <w:ind w:left="2694" w:hanging="2694"/>
        <w:rPr>
          <w:rFonts w:cs="Arial"/>
          <w:szCs w:val="24"/>
        </w:rPr>
      </w:pPr>
      <w:r w:rsidRPr="006A1C3E">
        <w:rPr>
          <w:rFonts w:cs="Arial"/>
          <w:szCs w:val="24"/>
          <w:u w:val="single"/>
        </w:rPr>
        <w:t>Date of judgment</w:t>
      </w:r>
      <w:r w:rsidRPr="006A1C3E">
        <w:rPr>
          <w:rFonts w:cs="Arial"/>
          <w:szCs w:val="24"/>
        </w:rPr>
        <w:t>:</w:t>
      </w:r>
      <w:r w:rsidRPr="006A1C3E">
        <w:rPr>
          <w:rFonts w:cs="Arial"/>
          <w:szCs w:val="24"/>
        </w:rPr>
        <w:tab/>
      </w:r>
      <w:r>
        <w:rPr>
          <w:rFonts w:cs="Arial"/>
          <w:szCs w:val="24"/>
        </w:rPr>
        <w:t>23 March 2020</w:t>
      </w:r>
    </w:p>
    <w:p w14:paraId="6474FDE5" w14:textId="77777777" w:rsidR="00995D0B" w:rsidRPr="006A1C3E" w:rsidRDefault="00995D0B" w:rsidP="00995D0B">
      <w:pPr>
        <w:ind w:left="2694" w:hanging="2694"/>
        <w:rPr>
          <w:rFonts w:cs="Arial"/>
          <w:szCs w:val="24"/>
        </w:rPr>
      </w:pPr>
    </w:p>
    <w:p w14:paraId="773D1B98" w14:textId="77777777" w:rsidR="00995D0B" w:rsidRDefault="00995D0B" w:rsidP="00995D0B">
      <w:pPr>
        <w:ind w:left="2694" w:hanging="2694"/>
        <w:rPr>
          <w:rFonts w:cs="Arial"/>
          <w:szCs w:val="24"/>
        </w:rPr>
      </w:pPr>
      <w:r w:rsidRPr="006A1C3E">
        <w:rPr>
          <w:rFonts w:cs="Arial"/>
          <w:szCs w:val="24"/>
          <w:u w:val="single"/>
        </w:rPr>
        <w:t>Special leave granted</w:t>
      </w:r>
      <w:r w:rsidRPr="006A1C3E">
        <w:rPr>
          <w:rFonts w:cs="Arial"/>
          <w:szCs w:val="24"/>
        </w:rPr>
        <w:t>:</w:t>
      </w:r>
      <w:r w:rsidRPr="006A1C3E">
        <w:rPr>
          <w:rFonts w:cs="Arial"/>
          <w:szCs w:val="24"/>
        </w:rPr>
        <w:tab/>
      </w:r>
      <w:r>
        <w:rPr>
          <w:rFonts w:cs="Arial"/>
          <w:szCs w:val="24"/>
        </w:rPr>
        <w:t>16 October</w:t>
      </w:r>
      <w:r w:rsidRPr="006A1C3E">
        <w:rPr>
          <w:rFonts w:cs="Arial"/>
          <w:szCs w:val="24"/>
        </w:rPr>
        <w:t xml:space="preserve"> 2020</w:t>
      </w:r>
    </w:p>
    <w:p w14:paraId="7E589B83" w14:textId="77777777" w:rsidR="00995D0B" w:rsidRDefault="00995D0B" w:rsidP="00995D0B">
      <w:pPr>
        <w:ind w:left="2694" w:hanging="2694"/>
        <w:rPr>
          <w:rFonts w:cs="Arial"/>
          <w:szCs w:val="24"/>
        </w:rPr>
      </w:pPr>
    </w:p>
    <w:p w14:paraId="2852F630" w14:textId="77777777" w:rsidR="00995D0B" w:rsidRDefault="00995D0B" w:rsidP="00995D0B">
      <w:pPr>
        <w:shd w:val="clear" w:color="auto" w:fill="FFFFFF"/>
        <w:jc w:val="both"/>
        <w:rPr>
          <w:rFonts w:cs="Arial"/>
          <w:szCs w:val="24"/>
        </w:rPr>
      </w:pPr>
      <w:proofErr w:type="spellStart"/>
      <w:r>
        <w:rPr>
          <w:rFonts w:cs="Arial"/>
          <w:szCs w:val="24"/>
        </w:rPr>
        <w:t>Ms</w:t>
      </w:r>
      <w:proofErr w:type="spellEnd"/>
      <w:r>
        <w:rPr>
          <w:rFonts w:cs="Arial"/>
          <w:szCs w:val="24"/>
        </w:rPr>
        <w:t xml:space="preserve"> Deanna Moorcroft is a citizen of New Zealand.  From 17 November 2013 to 24 December 2017 she resided lawfully in Australia as the holder of a Special Category (subclass</w:t>
      </w:r>
      <w:r>
        <w:rPr>
          <w:rFonts w:cs="Arial"/>
          <w:iCs/>
          <w:szCs w:val="24"/>
        </w:rPr>
        <w:t> </w:t>
      </w:r>
      <w:r>
        <w:rPr>
          <w:rFonts w:cs="Arial"/>
          <w:szCs w:val="24"/>
        </w:rPr>
        <w:t xml:space="preserve">444) visa under the </w:t>
      </w:r>
      <w:r>
        <w:rPr>
          <w:rFonts w:cs="Arial"/>
          <w:i/>
          <w:szCs w:val="24"/>
        </w:rPr>
        <w:t xml:space="preserve">Migration Act 1958 </w:t>
      </w:r>
      <w:r>
        <w:rPr>
          <w:rFonts w:cs="Arial"/>
          <w:szCs w:val="24"/>
        </w:rPr>
        <w:t>(</w:t>
      </w:r>
      <w:proofErr w:type="spellStart"/>
      <w:r>
        <w:rPr>
          <w:rFonts w:cs="Arial"/>
          <w:szCs w:val="24"/>
        </w:rPr>
        <w:t>Cth</w:t>
      </w:r>
      <w:proofErr w:type="spellEnd"/>
      <w:r>
        <w:rPr>
          <w:rFonts w:cs="Arial"/>
          <w:szCs w:val="24"/>
        </w:rPr>
        <w:t>) (“the Act”) (a “444</w:t>
      </w:r>
      <w:r>
        <w:rPr>
          <w:rFonts w:cs="Arial"/>
          <w:iCs/>
          <w:szCs w:val="24"/>
        </w:rPr>
        <w:t> </w:t>
      </w:r>
      <w:r>
        <w:rPr>
          <w:rFonts w:cs="Arial"/>
          <w:szCs w:val="24"/>
        </w:rPr>
        <w:t xml:space="preserve">visa”).  On 24 December 2017, </w:t>
      </w:r>
      <w:proofErr w:type="spellStart"/>
      <w:r>
        <w:rPr>
          <w:rFonts w:cs="Arial"/>
          <w:szCs w:val="24"/>
        </w:rPr>
        <w:t>Ms</w:t>
      </w:r>
      <w:proofErr w:type="spellEnd"/>
      <w:r>
        <w:rPr>
          <w:rFonts w:cs="Arial"/>
          <w:iCs/>
          <w:szCs w:val="24"/>
        </w:rPr>
        <w:t> </w:t>
      </w:r>
      <w:r>
        <w:rPr>
          <w:rFonts w:cs="Arial"/>
          <w:szCs w:val="24"/>
        </w:rPr>
        <w:t xml:space="preserve">Moorcroft left Australia for New Zealand to visit family.  At that time, she was on parole having been convicted of criminal offences and sentenced to a term of imprisonment. </w:t>
      </w:r>
    </w:p>
    <w:p w14:paraId="11BB642F" w14:textId="77777777" w:rsidR="00995D0B" w:rsidRDefault="00995D0B" w:rsidP="00995D0B">
      <w:pPr>
        <w:shd w:val="clear" w:color="auto" w:fill="FFFFFF"/>
        <w:jc w:val="both"/>
        <w:rPr>
          <w:rFonts w:cs="Arial"/>
          <w:szCs w:val="24"/>
        </w:rPr>
      </w:pPr>
    </w:p>
    <w:p w14:paraId="5CFF2342" w14:textId="61260714" w:rsidR="00995D0B" w:rsidRDefault="00995D0B" w:rsidP="00995D0B">
      <w:pPr>
        <w:shd w:val="clear" w:color="auto" w:fill="FFFFFF"/>
        <w:jc w:val="both"/>
        <w:rPr>
          <w:rFonts w:cs="Arial"/>
          <w:szCs w:val="24"/>
        </w:rPr>
      </w:pPr>
      <w:r>
        <w:rPr>
          <w:rFonts w:cs="Arial"/>
          <w:szCs w:val="24"/>
        </w:rPr>
        <w:t xml:space="preserve">On 2 January 2018 </w:t>
      </w:r>
      <w:proofErr w:type="spellStart"/>
      <w:r>
        <w:rPr>
          <w:rFonts w:cs="Arial"/>
          <w:szCs w:val="24"/>
        </w:rPr>
        <w:t>Ms</w:t>
      </w:r>
      <w:proofErr w:type="spellEnd"/>
      <w:r>
        <w:rPr>
          <w:rFonts w:cs="Arial"/>
          <w:szCs w:val="24"/>
        </w:rPr>
        <w:t xml:space="preserve"> Moorcroft returned to Australia and, upon presentation of her New Zealand passport, was automatically granted a 444</w:t>
      </w:r>
      <w:r>
        <w:rPr>
          <w:rFonts w:cs="Arial"/>
          <w:iCs/>
          <w:szCs w:val="24"/>
        </w:rPr>
        <w:t> </w:t>
      </w:r>
      <w:r>
        <w:rPr>
          <w:rFonts w:cs="Arial"/>
          <w:szCs w:val="24"/>
        </w:rPr>
        <w:t xml:space="preserve">visa.  On 3 January 2018, a delegate of the Appellant cancelled </w:t>
      </w:r>
      <w:proofErr w:type="spellStart"/>
      <w:r>
        <w:rPr>
          <w:rFonts w:cs="Arial"/>
          <w:szCs w:val="24"/>
        </w:rPr>
        <w:t>Ms</w:t>
      </w:r>
      <w:proofErr w:type="spellEnd"/>
      <w:r>
        <w:rPr>
          <w:rFonts w:cs="Arial"/>
          <w:szCs w:val="24"/>
        </w:rPr>
        <w:t xml:space="preserve"> Moorcroft’s visa.  The following day </w:t>
      </w:r>
      <w:proofErr w:type="spellStart"/>
      <w:r>
        <w:rPr>
          <w:rFonts w:cs="Arial"/>
          <w:szCs w:val="24"/>
        </w:rPr>
        <w:t>Ms</w:t>
      </w:r>
      <w:proofErr w:type="spellEnd"/>
      <w:r>
        <w:rPr>
          <w:rFonts w:cs="Arial"/>
          <w:szCs w:val="24"/>
        </w:rPr>
        <w:t xml:space="preserve"> Moorcroft was removed from Australia to New Zealand.  </w:t>
      </w:r>
      <w:proofErr w:type="spellStart"/>
      <w:r>
        <w:rPr>
          <w:rFonts w:cs="Arial"/>
          <w:szCs w:val="24"/>
        </w:rPr>
        <w:t>Ms</w:t>
      </w:r>
      <w:proofErr w:type="spellEnd"/>
      <w:r>
        <w:rPr>
          <w:rFonts w:cs="Arial"/>
          <w:iCs/>
          <w:szCs w:val="24"/>
        </w:rPr>
        <w:t> </w:t>
      </w:r>
      <w:r>
        <w:rPr>
          <w:rFonts w:cs="Arial"/>
          <w:szCs w:val="24"/>
        </w:rPr>
        <w:t>Moorcroft commenced proceedings in the Federal Circuit Court for judicial review of the decision to cancel her visa.  On 28 June 2018 Judge</w:t>
      </w:r>
      <w:r>
        <w:rPr>
          <w:rFonts w:cs="Arial"/>
          <w:iCs/>
          <w:szCs w:val="24"/>
        </w:rPr>
        <w:t> </w:t>
      </w:r>
      <w:proofErr w:type="spellStart"/>
      <w:r>
        <w:rPr>
          <w:rFonts w:cs="Arial"/>
          <w:szCs w:val="24"/>
        </w:rPr>
        <w:t>Vasta</w:t>
      </w:r>
      <w:proofErr w:type="spellEnd"/>
      <w:r>
        <w:rPr>
          <w:rFonts w:cs="Arial"/>
          <w:szCs w:val="24"/>
        </w:rPr>
        <w:t xml:space="preserve"> made orders by consent quashing the delegate’s decision.</w:t>
      </w:r>
    </w:p>
    <w:p w14:paraId="42F8800E" w14:textId="77777777" w:rsidR="00995D0B" w:rsidRDefault="00995D0B" w:rsidP="00995D0B">
      <w:pPr>
        <w:shd w:val="clear" w:color="auto" w:fill="FFFFFF"/>
        <w:jc w:val="both"/>
        <w:rPr>
          <w:rFonts w:cs="Arial"/>
          <w:szCs w:val="24"/>
        </w:rPr>
      </w:pPr>
    </w:p>
    <w:p w14:paraId="52557433" w14:textId="77777777" w:rsidR="00995D0B" w:rsidRDefault="00995D0B" w:rsidP="00995D0B">
      <w:pPr>
        <w:shd w:val="clear" w:color="auto" w:fill="FFFFFF"/>
        <w:jc w:val="both"/>
        <w:rPr>
          <w:rFonts w:cs="Arial"/>
          <w:szCs w:val="24"/>
        </w:rPr>
      </w:pPr>
      <w:r>
        <w:rPr>
          <w:rFonts w:cs="Arial"/>
          <w:szCs w:val="24"/>
        </w:rPr>
        <w:t xml:space="preserve">On 29 January 2019 </w:t>
      </w:r>
      <w:proofErr w:type="spellStart"/>
      <w:r>
        <w:rPr>
          <w:rFonts w:cs="Arial"/>
          <w:szCs w:val="24"/>
        </w:rPr>
        <w:t>Ms</w:t>
      </w:r>
      <w:proofErr w:type="spellEnd"/>
      <w:r>
        <w:rPr>
          <w:rFonts w:cs="Arial"/>
          <w:szCs w:val="24"/>
        </w:rPr>
        <w:t xml:space="preserve"> Moorcroft again arrived in Australia, whereupon a delegate of the Appellant (“the Delegate”) refused her application (made earlier that day) for a 444</w:t>
      </w:r>
      <w:r>
        <w:rPr>
          <w:rFonts w:cs="Arial"/>
          <w:iCs/>
          <w:szCs w:val="24"/>
        </w:rPr>
        <w:t> </w:t>
      </w:r>
      <w:r>
        <w:rPr>
          <w:rFonts w:cs="Arial"/>
          <w:szCs w:val="24"/>
        </w:rPr>
        <w:t xml:space="preserve">visa.  The basis for the Delegate’s refusal was that </w:t>
      </w:r>
      <w:proofErr w:type="spellStart"/>
      <w:r>
        <w:rPr>
          <w:rFonts w:cs="Arial"/>
          <w:szCs w:val="24"/>
        </w:rPr>
        <w:t>Ms</w:t>
      </w:r>
      <w:proofErr w:type="spellEnd"/>
      <w:r>
        <w:rPr>
          <w:rFonts w:cs="Arial"/>
          <w:iCs/>
          <w:szCs w:val="24"/>
        </w:rPr>
        <w:t> </w:t>
      </w:r>
      <w:r>
        <w:rPr>
          <w:rFonts w:cs="Arial"/>
          <w:szCs w:val="24"/>
        </w:rPr>
        <w:t>Moorcroft was a “</w:t>
      </w:r>
      <w:proofErr w:type="spellStart"/>
      <w:r>
        <w:rPr>
          <w:rFonts w:cs="Arial"/>
          <w:szCs w:val="24"/>
        </w:rPr>
        <w:t>behaviour</w:t>
      </w:r>
      <w:proofErr w:type="spellEnd"/>
      <w:r>
        <w:rPr>
          <w:rFonts w:cs="Arial"/>
          <w:szCs w:val="24"/>
        </w:rPr>
        <w:t xml:space="preserve"> concern non-citizen” as defined in s</w:t>
      </w:r>
      <w:r>
        <w:rPr>
          <w:rFonts w:cs="Arial"/>
          <w:iCs/>
          <w:szCs w:val="24"/>
        </w:rPr>
        <w:t> </w:t>
      </w:r>
      <w:r>
        <w:rPr>
          <w:rFonts w:cs="Arial"/>
          <w:szCs w:val="24"/>
        </w:rPr>
        <w:t>5(1) of the Act (“the Definition”) because she had been removed or deported from Australia or another country pursuant to subparagraph (d) of the Definition.</w:t>
      </w:r>
    </w:p>
    <w:p w14:paraId="33579D92" w14:textId="77777777" w:rsidR="00995D0B" w:rsidRDefault="00995D0B" w:rsidP="00995D0B">
      <w:pPr>
        <w:shd w:val="clear" w:color="auto" w:fill="FFFFFF"/>
        <w:jc w:val="both"/>
        <w:rPr>
          <w:rFonts w:cs="Arial"/>
          <w:szCs w:val="24"/>
        </w:rPr>
      </w:pPr>
    </w:p>
    <w:p w14:paraId="4344CA19" w14:textId="77777777" w:rsidR="00995D0B" w:rsidRDefault="00995D0B" w:rsidP="00995D0B">
      <w:pPr>
        <w:shd w:val="clear" w:color="auto" w:fill="FFFFFF"/>
        <w:jc w:val="both"/>
        <w:rPr>
          <w:rFonts w:cs="Arial"/>
          <w:szCs w:val="24"/>
        </w:rPr>
      </w:pPr>
      <w:proofErr w:type="spellStart"/>
      <w:r>
        <w:rPr>
          <w:rFonts w:cs="Arial"/>
          <w:szCs w:val="24"/>
        </w:rPr>
        <w:t>Ms</w:t>
      </w:r>
      <w:proofErr w:type="spellEnd"/>
      <w:r>
        <w:rPr>
          <w:rFonts w:cs="Arial"/>
          <w:szCs w:val="24"/>
        </w:rPr>
        <w:t xml:space="preserve"> Moorcroft </w:t>
      </w:r>
      <w:r w:rsidRPr="003807FE">
        <w:rPr>
          <w:rFonts w:cs="Arial"/>
          <w:szCs w:val="24"/>
        </w:rPr>
        <w:t>commenced proceedings in the Federal Circuit Court for judicial review of the Delegate’s decision.  The application was dismissed by Judge</w:t>
      </w:r>
      <w:r>
        <w:rPr>
          <w:rFonts w:cs="Arial"/>
          <w:iCs/>
          <w:szCs w:val="24"/>
        </w:rPr>
        <w:t> </w:t>
      </w:r>
      <w:proofErr w:type="spellStart"/>
      <w:r w:rsidRPr="003807FE">
        <w:rPr>
          <w:rFonts w:cs="Arial"/>
          <w:szCs w:val="24"/>
        </w:rPr>
        <w:t>Vasta</w:t>
      </w:r>
      <w:proofErr w:type="spellEnd"/>
      <w:r w:rsidRPr="003807FE">
        <w:rPr>
          <w:rFonts w:cs="Arial"/>
          <w:szCs w:val="24"/>
        </w:rPr>
        <w:t xml:space="preserve"> on 8 March 2019. </w:t>
      </w:r>
      <w:r>
        <w:rPr>
          <w:rFonts w:cs="Arial"/>
          <w:szCs w:val="24"/>
        </w:rPr>
        <w:t xml:space="preserve"> </w:t>
      </w:r>
      <w:r w:rsidRPr="003807FE">
        <w:rPr>
          <w:rFonts w:cs="Arial"/>
          <w:szCs w:val="24"/>
        </w:rPr>
        <w:t xml:space="preserve">His </w:t>
      </w:r>
      <w:proofErr w:type="spellStart"/>
      <w:r w:rsidRPr="003807FE">
        <w:rPr>
          <w:rFonts w:cs="Arial"/>
          <w:szCs w:val="24"/>
        </w:rPr>
        <w:t>Honour</w:t>
      </w:r>
      <w:proofErr w:type="spellEnd"/>
      <w:r w:rsidRPr="003807FE">
        <w:rPr>
          <w:rFonts w:cs="Arial"/>
          <w:szCs w:val="24"/>
        </w:rPr>
        <w:t xml:space="preserve"> found that as a matter of statutory construction whether a person “has been removed or deported from </w:t>
      </w:r>
      <w:proofErr w:type="gramStart"/>
      <w:r w:rsidRPr="003807FE">
        <w:rPr>
          <w:rFonts w:cs="Arial"/>
          <w:szCs w:val="24"/>
        </w:rPr>
        <w:t>Australia, or</w:t>
      </w:r>
      <w:proofErr w:type="gramEnd"/>
      <w:r w:rsidRPr="003807FE">
        <w:rPr>
          <w:rFonts w:cs="Arial"/>
          <w:szCs w:val="24"/>
        </w:rPr>
        <w:t xml:space="preserve"> removed or deported from another country” in sub-paragraph (d) of the </w:t>
      </w:r>
      <w:r>
        <w:rPr>
          <w:rFonts w:cs="Arial"/>
          <w:szCs w:val="24"/>
        </w:rPr>
        <w:t xml:space="preserve">Definition </w:t>
      </w:r>
      <w:r w:rsidRPr="003807FE">
        <w:rPr>
          <w:rFonts w:cs="Arial"/>
          <w:szCs w:val="24"/>
        </w:rPr>
        <w:t>was a factual issue.</w:t>
      </w:r>
      <w:r>
        <w:rPr>
          <w:rFonts w:cs="Arial"/>
          <w:szCs w:val="24"/>
        </w:rPr>
        <w:t xml:space="preserve">  As </w:t>
      </w:r>
      <w:proofErr w:type="spellStart"/>
      <w:r>
        <w:rPr>
          <w:rFonts w:cs="Arial"/>
          <w:szCs w:val="24"/>
        </w:rPr>
        <w:t>Ms</w:t>
      </w:r>
      <w:proofErr w:type="spellEnd"/>
      <w:r>
        <w:rPr>
          <w:rFonts w:cs="Arial"/>
          <w:iCs/>
          <w:szCs w:val="24"/>
        </w:rPr>
        <w:t> </w:t>
      </w:r>
      <w:r>
        <w:rPr>
          <w:rFonts w:cs="Arial"/>
          <w:szCs w:val="24"/>
        </w:rPr>
        <w:t xml:space="preserve">Moorcroft had been physically removed from Australia on 3 January 2018, his </w:t>
      </w:r>
      <w:proofErr w:type="spellStart"/>
      <w:r>
        <w:rPr>
          <w:rFonts w:cs="Arial"/>
          <w:szCs w:val="24"/>
        </w:rPr>
        <w:t>Honour</w:t>
      </w:r>
      <w:proofErr w:type="spellEnd"/>
      <w:r>
        <w:rPr>
          <w:rFonts w:cs="Arial"/>
          <w:szCs w:val="24"/>
        </w:rPr>
        <w:t xml:space="preserve"> found that the Delegate’s decision was not affected by jurisdictional error. </w:t>
      </w:r>
    </w:p>
    <w:p w14:paraId="4109F5AD" w14:textId="77777777" w:rsidR="00995D0B" w:rsidRDefault="00995D0B" w:rsidP="00995D0B">
      <w:pPr>
        <w:shd w:val="clear" w:color="auto" w:fill="FFFFFF"/>
        <w:jc w:val="both"/>
        <w:rPr>
          <w:rFonts w:cs="Arial"/>
          <w:szCs w:val="24"/>
        </w:rPr>
      </w:pPr>
    </w:p>
    <w:p w14:paraId="3622CA76" w14:textId="77777777" w:rsidR="00995D0B" w:rsidRDefault="00995D0B" w:rsidP="00995D0B">
      <w:pPr>
        <w:shd w:val="clear" w:color="auto" w:fill="FFFFFF"/>
        <w:jc w:val="both"/>
        <w:rPr>
          <w:rFonts w:cs="Arial"/>
          <w:szCs w:val="24"/>
        </w:rPr>
      </w:pPr>
      <w:r>
        <w:rPr>
          <w:rFonts w:cs="Arial"/>
          <w:szCs w:val="24"/>
        </w:rPr>
        <w:t xml:space="preserve">An appeal by </w:t>
      </w:r>
      <w:proofErr w:type="spellStart"/>
      <w:r>
        <w:rPr>
          <w:rFonts w:cs="Arial"/>
          <w:szCs w:val="24"/>
        </w:rPr>
        <w:t>Ms</w:t>
      </w:r>
      <w:proofErr w:type="spellEnd"/>
      <w:r>
        <w:rPr>
          <w:rFonts w:cs="Arial"/>
          <w:szCs w:val="24"/>
        </w:rPr>
        <w:t xml:space="preserve"> Moorcroft to the Federal Court was allowed by Justice</w:t>
      </w:r>
      <w:r>
        <w:rPr>
          <w:rFonts w:cs="Arial"/>
          <w:iCs/>
          <w:szCs w:val="24"/>
        </w:rPr>
        <w:t> </w:t>
      </w:r>
      <w:r>
        <w:rPr>
          <w:rFonts w:cs="Arial"/>
          <w:szCs w:val="24"/>
        </w:rPr>
        <w:t xml:space="preserve">Collier.  Her </w:t>
      </w:r>
      <w:proofErr w:type="spellStart"/>
      <w:r>
        <w:rPr>
          <w:rFonts w:cs="Arial"/>
          <w:szCs w:val="24"/>
        </w:rPr>
        <w:t>Honour</w:t>
      </w:r>
      <w:proofErr w:type="spellEnd"/>
      <w:r>
        <w:rPr>
          <w:rFonts w:cs="Arial"/>
          <w:szCs w:val="24"/>
        </w:rPr>
        <w:t xml:space="preserve"> set aside the decision of the Federal Circuit Court, quashed the Delegate’s decision and ordered that the Appellant determine </w:t>
      </w:r>
      <w:proofErr w:type="spellStart"/>
      <w:r>
        <w:rPr>
          <w:rFonts w:cs="Arial"/>
          <w:szCs w:val="24"/>
        </w:rPr>
        <w:t>Ms</w:t>
      </w:r>
      <w:proofErr w:type="spellEnd"/>
      <w:r>
        <w:rPr>
          <w:rFonts w:cs="Arial"/>
          <w:iCs/>
          <w:szCs w:val="24"/>
        </w:rPr>
        <w:t> </w:t>
      </w:r>
      <w:r>
        <w:rPr>
          <w:rFonts w:cs="Arial"/>
          <w:szCs w:val="24"/>
        </w:rPr>
        <w:t>Moorcroft’s application for a 444</w:t>
      </w:r>
      <w:r>
        <w:rPr>
          <w:rFonts w:cs="Arial"/>
          <w:iCs/>
          <w:szCs w:val="24"/>
        </w:rPr>
        <w:t> </w:t>
      </w:r>
      <w:r>
        <w:rPr>
          <w:rFonts w:cs="Arial"/>
          <w:szCs w:val="24"/>
        </w:rPr>
        <w:t>visa according to law.  Justice</w:t>
      </w:r>
      <w:r>
        <w:rPr>
          <w:rFonts w:cs="Arial"/>
          <w:iCs/>
          <w:szCs w:val="24"/>
        </w:rPr>
        <w:t> </w:t>
      </w:r>
      <w:r>
        <w:rPr>
          <w:rFonts w:cs="Arial"/>
          <w:szCs w:val="24"/>
        </w:rPr>
        <w:t xml:space="preserve">Collier accepted the Appellant’s submission that it would be wrong to imply the words “lawfully” or “validly” before the words “removed or deported” into subparagraph (d) of the Definition.  However, her </w:t>
      </w:r>
      <w:proofErr w:type="spellStart"/>
      <w:r>
        <w:rPr>
          <w:rFonts w:cs="Arial"/>
          <w:szCs w:val="24"/>
        </w:rPr>
        <w:t>Honour</w:t>
      </w:r>
      <w:proofErr w:type="spellEnd"/>
      <w:r>
        <w:rPr>
          <w:rFonts w:cs="Arial"/>
          <w:szCs w:val="24"/>
        </w:rPr>
        <w:t xml:space="preserve"> found that when construed </w:t>
      </w:r>
      <w:proofErr w:type="gramStart"/>
      <w:r>
        <w:rPr>
          <w:rFonts w:cs="Arial"/>
          <w:szCs w:val="24"/>
        </w:rPr>
        <w:t>in light of</w:t>
      </w:r>
      <w:proofErr w:type="gramEnd"/>
      <w:r>
        <w:rPr>
          <w:rFonts w:cs="Arial"/>
          <w:szCs w:val="24"/>
        </w:rPr>
        <w:t xml:space="preserve"> other provisions of the Act the word “removed” was confined in meaning to the person being an “unlawful non-citizen”.  While </w:t>
      </w:r>
      <w:proofErr w:type="spellStart"/>
      <w:r>
        <w:rPr>
          <w:rFonts w:cs="Arial"/>
          <w:szCs w:val="24"/>
        </w:rPr>
        <w:t>Ms</w:t>
      </w:r>
      <w:proofErr w:type="spellEnd"/>
      <w:r>
        <w:rPr>
          <w:rFonts w:cs="Arial"/>
          <w:iCs/>
          <w:szCs w:val="24"/>
        </w:rPr>
        <w:t> </w:t>
      </w:r>
      <w:r>
        <w:rPr>
          <w:rFonts w:cs="Arial"/>
          <w:szCs w:val="24"/>
        </w:rPr>
        <w:t xml:space="preserve">Moorcroft had been physically removed from Australia on 4 January 2018, she had not been an “unlawful non-citizen” at that time and consequently had not been “removed” from Australia under the Act.  </w:t>
      </w:r>
    </w:p>
    <w:p w14:paraId="358438D7" w14:textId="77777777" w:rsidR="00995D0B" w:rsidRDefault="00995D0B" w:rsidP="00995D0B">
      <w:pPr>
        <w:shd w:val="clear" w:color="auto" w:fill="FFFFFF"/>
        <w:spacing w:before="100" w:beforeAutospacing="1" w:after="240"/>
        <w:jc w:val="both"/>
        <w:rPr>
          <w:rFonts w:cs="Arial"/>
          <w:szCs w:val="24"/>
        </w:rPr>
      </w:pPr>
    </w:p>
    <w:p w14:paraId="6FBDD7D2" w14:textId="712863A9" w:rsidR="00995D0B" w:rsidRPr="00FE4BAE" w:rsidRDefault="00995D0B" w:rsidP="00995D0B">
      <w:pPr>
        <w:shd w:val="clear" w:color="auto" w:fill="FFFFFF"/>
        <w:spacing w:before="100" w:beforeAutospacing="1" w:after="240"/>
        <w:jc w:val="both"/>
        <w:rPr>
          <w:rFonts w:cs="Arial"/>
          <w:szCs w:val="24"/>
        </w:rPr>
      </w:pPr>
      <w:r w:rsidRPr="00E50C12">
        <w:rPr>
          <w:rFonts w:cs="Arial"/>
          <w:szCs w:val="24"/>
        </w:rPr>
        <w:lastRenderedPageBreak/>
        <w:t>The grounds of appeal are:</w:t>
      </w:r>
    </w:p>
    <w:p w14:paraId="610D9404" w14:textId="77777777" w:rsidR="00995D0B" w:rsidRDefault="00995D0B" w:rsidP="00995D0B">
      <w:pPr>
        <w:numPr>
          <w:ilvl w:val="0"/>
          <w:numId w:val="11"/>
        </w:numPr>
        <w:autoSpaceDE w:val="0"/>
        <w:autoSpaceDN w:val="0"/>
        <w:adjustRightInd w:val="0"/>
        <w:ind w:left="426" w:hanging="426"/>
        <w:jc w:val="both"/>
        <w:rPr>
          <w:rFonts w:cs="Arial"/>
          <w:szCs w:val="24"/>
        </w:rPr>
      </w:pPr>
      <w:r w:rsidRPr="00FE4BAE">
        <w:rPr>
          <w:rFonts w:cs="Arial"/>
          <w:szCs w:val="24"/>
        </w:rPr>
        <w:t xml:space="preserve">The </w:t>
      </w:r>
      <w:r>
        <w:rPr>
          <w:rFonts w:cs="Arial"/>
          <w:szCs w:val="24"/>
        </w:rPr>
        <w:t xml:space="preserve">Federal Court erred in construing the expression “removed or deported from Australia” in paragraph (d) of the Definition meaning (in effect) </w:t>
      </w:r>
      <w:r>
        <w:rPr>
          <w:rFonts w:cs="Arial"/>
          <w:i/>
          <w:szCs w:val="24"/>
        </w:rPr>
        <w:t xml:space="preserve">validly </w:t>
      </w:r>
      <w:r>
        <w:rPr>
          <w:rFonts w:cs="Arial"/>
          <w:szCs w:val="24"/>
        </w:rPr>
        <w:t xml:space="preserve">or </w:t>
      </w:r>
      <w:r>
        <w:rPr>
          <w:rFonts w:cs="Arial"/>
          <w:i/>
          <w:szCs w:val="24"/>
        </w:rPr>
        <w:t>lawfully</w:t>
      </w:r>
      <w:r>
        <w:rPr>
          <w:rFonts w:cs="Arial"/>
          <w:szCs w:val="24"/>
        </w:rPr>
        <w:t xml:space="preserve"> removed or deported from Australia under Part 2 </w:t>
      </w:r>
      <w:proofErr w:type="spellStart"/>
      <w:r>
        <w:rPr>
          <w:rFonts w:cs="Arial"/>
          <w:szCs w:val="24"/>
        </w:rPr>
        <w:t>Div</w:t>
      </w:r>
      <w:proofErr w:type="spellEnd"/>
      <w:r>
        <w:rPr>
          <w:rFonts w:cs="Arial"/>
          <w:szCs w:val="24"/>
        </w:rPr>
        <w:t xml:space="preserve"> 8 of the Act. </w:t>
      </w:r>
    </w:p>
    <w:p w14:paraId="60F439B0" w14:textId="77777777" w:rsidR="00995D0B" w:rsidRDefault="00995D0B" w:rsidP="00995D0B">
      <w:pPr>
        <w:autoSpaceDE w:val="0"/>
        <w:autoSpaceDN w:val="0"/>
        <w:adjustRightInd w:val="0"/>
        <w:ind w:left="426" w:hanging="426"/>
        <w:jc w:val="both"/>
        <w:rPr>
          <w:rFonts w:cs="Arial"/>
          <w:szCs w:val="24"/>
        </w:rPr>
      </w:pPr>
    </w:p>
    <w:p w14:paraId="145605C8" w14:textId="77777777" w:rsidR="00995D0B" w:rsidRDefault="00995D0B" w:rsidP="00995D0B">
      <w:pPr>
        <w:numPr>
          <w:ilvl w:val="0"/>
          <w:numId w:val="11"/>
        </w:numPr>
        <w:autoSpaceDE w:val="0"/>
        <w:autoSpaceDN w:val="0"/>
        <w:adjustRightInd w:val="0"/>
        <w:ind w:left="426" w:hanging="426"/>
        <w:jc w:val="both"/>
        <w:rPr>
          <w:rFonts w:cs="Arial"/>
          <w:szCs w:val="24"/>
        </w:rPr>
      </w:pPr>
      <w:r>
        <w:rPr>
          <w:rFonts w:cs="Arial"/>
          <w:szCs w:val="24"/>
        </w:rPr>
        <w:t xml:space="preserve">Properly construed, the expression “removed or deported”, where it twice appears in paragraph (d) (from “Australia”, and from “another country”), means removed or deported </w:t>
      </w:r>
      <w:r>
        <w:rPr>
          <w:rFonts w:cs="Arial"/>
          <w:i/>
          <w:szCs w:val="24"/>
        </w:rPr>
        <w:t xml:space="preserve">in fact, </w:t>
      </w:r>
      <w:r>
        <w:rPr>
          <w:rFonts w:cs="Arial"/>
          <w:szCs w:val="24"/>
        </w:rPr>
        <w:t xml:space="preserve">where “removal” or “deportation” is an act performed by or on behalf of a government in taking an individual out of the country. </w:t>
      </w:r>
    </w:p>
    <w:p w14:paraId="43289243" w14:textId="77777777" w:rsidR="00995D0B" w:rsidRDefault="00995D0B" w:rsidP="00995D0B">
      <w:pPr>
        <w:pStyle w:val="ListParagraph"/>
        <w:ind w:left="426" w:hanging="426"/>
        <w:jc w:val="both"/>
        <w:rPr>
          <w:rFonts w:cs="Arial"/>
          <w:sz w:val="24"/>
          <w:szCs w:val="24"/>
          <w:lang w:eastAsia="en-AU"/>
        </w:rPr>
      </w:pPr>
    </w:p>
    <w:p w14:paraId="067FEE8F" w14:textId="77777777" w:rsidR="00995D0B" w:rsidRDefault="00995D0B" w:rsidP="00995D0B">
      <w:pPr>
        <w:numPr>
          <w:ilvl w:val="0"/>
          <w:numId w:val="11"/>
        </w:numPr>
        <w:autoSpaceDE w:val="0"/>
        <w:autoSpaceDN w:val="0"/>
        <w:adjustRightInd w:val="0"/>
        <w:ind w:left="426" w:hanging="426"/>
        <w:jc w:val="both"/>
        <w:rPr>
          <w:rFonts w:cs="Arial"/>
          <w:szCs w:val="24"/>
        </w:rPr>
      </w:pPr>
      <w:r>
        <w:rPr>
          <w:rFonts w:cs="Arial"/>
          <w:szCs w:val="24"/>
        </w:rPr>
        <w:t xml:space="preserve">On this basis, the Court should have held that the delegate made no error in not being satisfied that </w:t>
      </w:r>
      <w:proofErr w:type="spellStart"/>
      <w:r>
        <w:rPr>
          <w:rFonts w:cs="Arial"/>
          <w:szCs w:val="24"/>
        </w:rPr>
        <w:t>Ms</w:t>
      </w:r>
      <w:proofErr w:type="spellEnd"/>
      <w:r>
        <w:rPr>
          <w:rFonts w:cs="Arial"/>
          <w:szCs w:val="24"/>
        </w:rPr>
        <w:t xml:space="preserve"> Moorcroft satisfied the requirements of s 32(2)(a).</w:t>
      </w:r>
    </w:p>
    <w:p w14:paraId="398BF801" w14:textId="77777777" w:rsidR="00512A05" w:rsidRPr="00913869" w:rsidRDefault="00512A05" w:rsidP="00913869"/>
    <w:sectPr w:rsidR="00512A05" w:rsidRPr="00913869" w:rsidSect="00BB71EA">
      <w:headerReference w:type="default" r:id="rId7"/>
      <w:headerReference w:type="first" r:id="rId8"/>
      <w:type w:val="continuous"/>
      <w:pgSz w:w="11907" w:h="16840" w:code="9"/>
      <w:pgMar w:top="851" w:right="1467" w:bottom="851" w:left="1701" w:header="244" w:footer="833" w:gutter="0"/>
      <w:paperSrc w:first="15" w:other="15"/>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7AE92" w14:textId="77777777" w:rsidR="00BB71EA" w:rsidRDefault="00BB71EA">
      <w:r>
        <w:separator/>
      </w:r>
    </w:p>
  </w:endnote>
  <w:endnote w:type="continuationSeparator" w:id="0">
    <w:p w14:paraId="527A56C8" w14:textId="77777777" w:rsidR="00BB71EA" w:rsidRDefault="00BB7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07EB2" w14:textId="77777777" w:rsidR="00BB71EA" w:rsidRDefault="00BB71EA">
      <w:r>
        <w:separator/>
      </w:r>
    </w:p>
  </w:footnote>
  <w:footnote w:type="continuationSeparator" w:id="0">
    <w:p w14:paraId="6480B441" w14:textId="77777777" w:rsidR="00BB71EA" w:rsidRDefault="00BB7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57EDB" w14:textId="77777777" w:rsidR="004B7828" w:rsidRDefault="004B7828">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3C2828">
      <w:rPr>
        <w:rStyle w:val="PageNumber"/>
        <w:noProof/>
      </w:rPr>
      <w:t>0</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E6FE0" w14:textId="77777777" w:rsidR="004B7828" w:rsidRDefault="004B7828">
    <w:pPr>
      <w:pStyle w:val="Title"/>
    </w:pPr>
  </w:p>
  <w:p w14:paraId="7246D597" w14:textId="77777777" w:rsidR="00BF5F0C" w:rsidRDefault="00BF5F0C">
    <w:pPr>
      <w:pStyle w:val="Title"/>
    </w:pPr>
  </w:p>
  <w:p w14:paraId="227CED4E" w14:textId="77777777" w:rsidR="004B7828" w:rsidRDefault="004B7828">
    <w:pPr>
      <w:pStyle w:val="Title"/>
    </w:pPr>
    <w:r>
      <w:t>SHORT PARTICULARS OF CASES</w:t>
    </w:r>
  </w:p>
  <w:p w14:paraId="2DA88F18" w14:textId="77777777" w:rsidR="004B7828" w:rsidRDefault="004B7828">
    <w:pPr>
      <w:tabs>
        <w:tab w:val="left" w:pos="851"/>
        <w:tab w:val="right" w:pos="8505"/>
      </w:tabs>
      <w:jc w:val="center"/>
      <w:rPr>
        <w:b/>
        <w:u w:val="single"/>
      </w:rPr>
    </w:pPr>
  </w:p>
  <w:p w14:paraId="368669AE" w14:textId="77777777" w:rsidR="004B7828" w:rsidRDefault="00BB71EA">
    <w:pPr>
      <w:tabs>
        <w:tab w:val="left" w:pos="851"/>
        <w:tab w:val="right" w:pos="8505"/>
      </w:tabs>
      <w:jc w:val="center"/>
      <w:rPr>
        <w:b/>
        <w:u w:val="single"/>
      </w:rPr>
    </w:pPr>
    <w:r>
      <w:rPr>
        <w:b/>
        <w:u w:val="single"/>
      </w:rPr>
      <w:t>APRIL 2021</w:t>
    </w:r>
  </w:p>
  <w:p w14:paraId="5D910982" w14:textId="77777777" w:rsidR="004B7828" w:rsidRDefault="004B7828">
    <w:pPr>
      <w:tabs>
        <w:tab w:val="left" w:pos="851"/>
        <w:tab w:val="right" w:pos="8505"/>
      </w:tabs>
    </w:pPr>
  </w:p>
  <w:p w14:paraId="20269D24" w14:textId="77777777" w:rsidR="004B7828" w:rsidRDefault="004B7828">
    <w:pPr>
      <w:tabs>
        <w:tab w:val="left" w:pos="851"/>
        <w:tab w:val="right" w:pos="8505"/>
      </w:tabs>
      <w:jc w:val="both"/>
    </w:pPr>
    <w:r>
      <w:t>_______________________________________________________________</w:t>
    </w:r>
    <w:r w:rsidR="00E442CA">
      <w:t>_</w:t>
    </w:r>
  </w:p>
  <w:p w14:paraId="04672A8D" w14:textId="77777777" w:rsidR="004B7828" w:rsidRDefault="004B7828">
    <w:pPr>
      <w:tabs>
        <w:tab w:val="left" w:pos="851"/>
        <w:tab w:val="right" w:pos="8505"/>
      </w:tabs>
      <w:jc w:val="both"/>
    </w:pPr>
  </w:p>
  <w:p w14:paraId="04D806BE" w14:textId="77777777" w:rsidR="004B7828" w:rsidRDefault="004B7828">
    <w:pPr>
      <w:tabs>
        <w:tab w:val="left" w:pos="851"/>
        <w:tab w:val="right" w:pos="8505"/>
      </w:tabs>
      <w:jc w:val="both"/>
    </w:pPr>
    <w:r>
      <w:t>No.</w:t>
    </w:r>
    <w:r>
      <w:tab/>
      <w:t>Name of Matter</w:t>
    </w:r>
    <w:r>
      <w:tab/>
      <w:t>Page No</w:t>
    </w:r>
  </w:p>
  <w:p w14:paraId="6E875E3E" w14:textId="77777777" w:rsidR="004B7828" w:rsidRDefault="004B7828" w:rsidP="00E442CA">
    <w:pPr>
      <w:tabs>
        <w:tab w:val="left" w:pos="851"/>
        <w:tab w:val="right" w:pos="8505"/>
      </w:tabs>
      <w:jc w:val="both"/>
    </w:pPr>
    <w:r>
      <w:t>_______________________________________________________________</w:t>
    </w:r>
    <w:r w:rsidR="00E442CA">
      <w:t>_</w:t>
    </w:r>
  </w:p>
  <w:p w14:paraId="5A376BB4" w14:textId="77777777" w:rsidR="004B7828" w:rsidRDefault="004B7828">
    <w:pPr>
      <w:tabs>
        <w:tab w:val="left" w:pos="851"/>
        <w:tab w:val="right" w:pos="8505"/>
      </w:tabs>
      <w:jc w:val="both"/>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276C5D"/>
    <w:multiLevelType w:val="hybridMultilevel"/>
    <w:tmpl w:val="F7AE74E0"/>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1">
    <w:nsid w:val="062C633D"/>
    <w:multiLevelType w:val="hybridMultilevel"/>
    <w:tmpl w:val="79784E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1">
    <w:nsid w:val="0E255C35"/>
    <w:multiLevelType w:val="hybridMultilevel"/>
    <w:tmpl w:val="36E2DC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1">
    <w:nsid w:val="30E15D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7B66689"/>
    <w:multiLevelType w:val="hybridMultilevel"/>
    <w:tmpl w:val="CBECD75A"/>
    <w:lvl w:ilvl="0" w:tplc="0C090011">
      <w:start w:val="1"/>
      <w:numFmt w:val="decimal"/>
      <w:lvlText w:val="%1)"/>
      <w:lvlJc w:val="left"/>
      <w:pPr>
        <w:ind w:left="720" w:hanging="360"/>
      </w:pPr>
      <w:rPr>
        <w:rFont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1">
    <w:nsid w:val="48384E9D"/>
    <w:multiLevelType w:val="singleLevel"/>
    <w:tmpl w:val="0409000F"/>
    <w:lvl w:ilvl="0">
      <w:start w:val="1"/>
      <w:numFmt w:val="decimal"/>
      <w:lvlText w:val="%1."/>
      <w:lvlJc w:val="left"/>
      <w:pPr>
        <w:tabs>
          <w:tab w:val="num" w:pos="360"/>
        </w:tabs>
        <w:ind w:left="360" w:hanging="360"/>
      </w:pPr>
    </w:lvl>
  </w:abstractNum>
  <w:abstractNum w:abstractNumId="6" w15:restartNumberingAfterBreak="1">
    <w:nsid w:val="521F2EAF"/>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DD0512C"/>
    <w:multiLevelType w:val="hybridMultilevel"/>
    <w:tmpl w:val="72686676"/>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1">
    <w:nsid w:val="66FD3E57"/>
    <w:multiLevelType w:val="singleLevel"/>
    <w:tmpl w:val="0409000F"/>
    <w:lvl w:ilvl="0">
      <w:start w:val="1"/>
      <w:numFmt w:val="decimal"/>
      <w:lvlText w:val="%1."/>
      <w:lvlJc w:val="left"/>
      <w:pPr>
        <w:tabs>
          <w:tab w:val="num" w:pos="360"/>
        </w:tabs>
        <w:ind w:left="360" w:hanging="360"/>
      </w:pPr>
    </w:lvl>
  </w:abstractNum>
  <w:abstractNum w:abstractNumId="9" w15:restartNumberingAfterBreak="1">
    <w:nsid w:val="769806D6"/>
    <w:multiLevelType w:val="singleLevel"/>
    <w:tmpl w:val="E58EFF88"/>
    <w:lvl w:ilvl="0">
      <w:start w:val="6"/>
      <w:numFmt w:val="decimal"/>
      <w:lvlText w:val="%1."/>
      <w:lvlJc w:val="left"/>
      <w:pPr>
        <w:tabs>
          <w:tab w:val="num" w:pos="852"/>
        </w:tabs>
        <w:ind w:left="852" w:hanging="852"/>
      </w:pPr>
      <w:rPr>
        <w:rFonts w:hint="default"/>
      </w:rPr>
    </w:lvl>
  </w:abstractNum>
  <w:abstractNum w:abstractNumId="10" w15:restartNumberingAfterBreak="1">
    <w:nsid w:val="77721F51"/>
    <w:multiLevelType w:val="singleLevel"/>
    <w:tmpl w:val="1A407722"/>
    <w:lvl w:ilvl="0">
      <w:start w:val="4"/>
      <w:numFmt w:val="decimal"/>
      <w:lvlText w:val="%1."/>
      <w:lvlJc w:val="left"/>
      <w:pPr>
        <w:tabs>
          <w:tab w:val="num" w:pos="852"/>
        </w:tabs>
        <w:ind w:left="852" w:hanging="852"/>
      </w:pPr>
      <w:rPr>
        <w:rFonts w:hint="default"/>
      </w:rPr>
    </w:lvl>
  </w:abstractNum>
  <w:num w:numId="1">
    <w:abstractNumId w:val="10"/>
  </w:num>
  <w:num w:numId="2">
    <w:abstractNumId w:val="5"/>
  </w:num>
  <w:num w:numId="3">
    <w:abstractNumId w:val="3"/>
  </w:num>
  <w:num w:numId="4">
    <w:abstractNumId w:val="6"/>
  </w:num>
  <w:num w:numId="5">
    <w:abstractNumId w:val="9"/>
  </w:num>
  <w:num w:numId="6">
    <w:abstractNumId w:val="8"/>
  </w:num>
  <w:num w:numId="7">
    <w:abstractNumId w:val="1"/>
  </w:num>
  <w:num w:numId="8">
    <w:abstractNumId w:val="0"/>
  </w:num>
  <w:num w:numId="9">
    <w:abstractNumId w:val="2"/>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2CA"/>
    <w:rsid w:val="00007C4E"/>
    <w:rsid w:val="000145E7"/>
    <w:rsid w:val="00083033"/>
    <w:rsid w:val="000B7BD8"/>
    <w:rsid w:val="0017627F"/>
    <w:rsid w:val="001A29AE"/>
    <w:rsid w:val="001F6CBF"/>
    <w:rsid w:val="00265D9A"/>
    <w:rsid w:val="002E45D0"/>
    <w:rsid w:val="003C2828"/>
    <w:rsid w:val="004B7828"/>
    <w:rsid w:val="00512A05"/>
    <w:rsid w:val="00737693"/>
    <w:rsid w:val="00811E2E"/>
    <w:rsid w:val="00876107"/>
    <w:rsid w:val="00913869"/>
    <w:rsid w:val="00995D0B"/>
    <w:rsid w:val="00A414D3"/>
    <w:rsid w:val="00BA02B7"/>
    <w:rsid w:val="00BB71EA"/>
    <w:rsid w:val="00BF5F0C"/>
    <w:rsid w:val="00C36DBA"/>
    <w:rsid w:val="00CE65D3"/>
    <w:rsid w:val="00E442CA"/>
    <w:rsid w:val="00F031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4E49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1E2E"/>
    <w:rPr>
      <w:rFonts w:ascii="Arial" w:hAnsi="Arial"/>
      <w:sz w:val="24"/>
      <w:lang w:val="en-US"/>
    </w:rPr>
  </w:style>
  <w:style w:type="paragraph" w:styleId="Heading1">
    <w:name w:val="heading 1"/>
    <w:basedOn w:val="Normal"/>
    <w:next w:val="Normal"/>
    <w:qFormat/>
    <w:pPr>
      <w:keepNext/>
      <w:tabs>
        <w:tab w:val="left" w:pos="851"/>
        <w:tab w:val="right" w:pos="8505"/>
      </w:tabs>
      <w:outlineLvl w:val="0"/>
    </w:pPr>
    <w:rPr>
      <w:u w:val="single"/>
    </w:rPr>
  </w:style>
  <w:style w:type="paragraph" w:styleId="Heading2">
    <w:name w:val="heading 2"/>
    <w:basedOn w:val="Normal"/>
    <w:next w:val="Normal"/>
    <w:qFormat/>
    <w:pPr>
      <w:keepNext/>
      <w:tabs>
        <w:tab w:val="left" w:pos="851"/>
        <w:tab w:val="right" w:pos="8505"/>
      </w:tabs>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851"/>
        <w:tab w:val="right" w:pos="8505"/>
      </w:tabs>
      <w:jc w:val="center"/>
    </w:pPr>
    <w:rPr>
      <w:b/>
      <w:u w:val="single"/>
    </w:rPr>
  </w:style>
  <w:style w:type="paragraph" w:styleId="BodyText">
    <w:name w:val="Body Text"/>
    <w:basedOn w:val="Normal"/>
    <w:pPr>
      <w:tabs>
        <w:tab w:val="left" w:pos="851"/>
        <w:tab w:val="right" w:pos="8505"/>
      </w:tabs>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rsid w:val="00F03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A05"/>
    <w:pPr>
      <w:ind w:left="720"/>
    </w:pPr>
    <w:rPr>
      <w:sz w:val="22"/>
      <w:lang w:val="en-AU" w:eastAsia="en-US"/>
    </w:rPr>
  </w:style>
  <w:style w:type="paragraph" w:styleId="NoSpacing">
    <w:name w:val="No Spacing"/>
    <w:uiPriority w:val="1"/>
    <w:qFormat/>
    <w:rsid w:val="00512A0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3737</Words>
  <Characters>19379</Characters>
  <Application>Microsoft Office Word</Application>
  <DocSecurity>0</DocSecurity>
  <Lines>440</Lines>
  <Paragraphs>115</Paragraphs>
  <ScaleCrop>false</ScaleCrop>
  <Company/>
  <LinksUpToDate>false</LinksUpToDate>
  <CharactersWithSpaces>23001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2021-03-29T05:56:00Z</dcterms:created>
  <dcterms:modified xsi:type="dcterms:W3CDTF">2021-03-29T05:56:00Z</dcterms:modified>
</cp:coreProperties>
</file>