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91CA5" w14:textId="77777777" w:rsidR="00106395" w:rsidRDefault="00106395" w:rsidP="00106395">
      <w:pPr>
        <w:ind w:right="-285"/>
      </w:pPr>
    </w:p>
    <w:p w14:paraId="5DBCE3D2" w14:textId="77777777" w:rsidR="00106395" w:rsidRDefault="00106395" w:rsidP="00106395">
      <w:pPr>
        <w:framePr w:w="2019" w:h="430" w:hSpace="181" w:wrap="notBeside" w:vAnchor="text" w:hAnchor="page" w:x="9081" w:y="-550"/>
        <w:shd w:val="solid" w:color="FFFFFF" w:fill="FFFFFF"/>
        <w:rPr>
          <w:rFonts w:ascii="Arial" w:hAnsi="Arial"/>
          <w:sz w:val="18"/>
        </w:rPr>
      </w:pPr>
    </w:p>
    <w:p w14:paraId="327CCF20" w14:textId="77777777" w:rsidR="00106395" w:rsidRDefault="00106395" w:rsidP="00106395">
      <w:pPr>
        <w:framePr w:w="2019" w:h="430" w:hSpace="181" w:wrap="notBeside" w:vAnchor="text" w:hAnchor="page" w:x="9081" w:y="-550"/>
        <w:shd w:val="solid" w:color="FFFFFF" w:fill="FFFFFF"/>
      </w:pPr>
      <w:r>
        <w:t>10 November 2021</w:t>
      </w:r>
    </w:p>
    <w:p w14:paraId="7922BE50" w14:textId="77777777" w:rsidR="00106395" w:rsidRDefault="00106395" w:rsidP="00106395">
      <w:pPr>
        <w:ind w:right="-285"/>
        <w:jc w:val="center"/>
        <w:rPr>
          <w:u w:val="single"/>
        </w:rPr>
      </w:pPr>
      <w:r>
        <w:rPr>
          <w:u w:val="single"/>
        </w:rPr>
        <w:t>SUNLAND GROUP LIMITED &amp; ANOR v GOLD COAST CITY COUNCIL</w:t>
      </w:r>
    </w:p>
    <w:p w14:paraId="44EBEC09" w14:textId="3F306246" w:rsidR="00106395" w:rsidRPr="005F16F6" w:rsidRDefault="00106395" w:rsidP="00106395">
      <w:pPr>
        <w:ind w:right="-285"/>
        <w:jc w:val="center"/>
      </w:pPr>
      <w:r w:rsidRPr="005F16F6">
        <w:t>[20</w:t>
      </w:r>
      <w:r>
        <w:t>21</w:t>
      </w:r>
      <w:r w:rsidRPr="005F16F6">
        <w:t xml:space="preserve">] </w:t>
      </w:r>
      <w:smartTag w:uri="urn:schemas-microsoft-com:office:smarttags" w:element="stockticker">
        <w:r w:rsidRPr="005F16F6">
          <w:t>HCA</w:t>
        </w:r>
      </w:smartTag>
      <w:r w:rsidRPr="005F16F6">
        <w:t xml:space="preserve"> </w:t>
      </w:r>
      <w:bookmarkStart w:id="0" w:name="_GoBack"/>
      <w:r w:rsidR="00BF0DF9">
        <w:t>35</w:t>
      </w:r>
    </w:p>
    <w:bookmarkEnd w:id="0"/>
    <w:p w14:paraId="29CB018B" w14:textId="77777777" w:rsidR="00106395" w:rsidRPr="00873C60" w:rsidRDefault="00106395" w:rsidP="00106395">
      <w:pPr>
        <w:ind w:right="-285"/>
        <w:jc w:val="center"/>
      </w:pPr>
    </w:p>
    <w:p w14:paraId="6C06F707" w14:textId="2181319C" w:rsidR="00106395" w:rsidRPr="00106395" w:rsidRDefault="00106395" w:rsidP="00106395">
      <w:pPr>
        <w:ind w:right="-285"/>
      </w:pPr>
      <w:r>
        <w:t xml:space="preserve">Today, the High Court </w:t>
      </w:r>
      <w:r w:rsidR="00F51E8B">
        <w:t xml:space="preserve">unanimously </w:t>
      </w:r>
      <w:r>
        <w:t xml:space="preserve">dismissed an appeal from a judgment of the Court of Appeal of the Supreme Court of Queensland. The appeal concerned whether certain "conditions" </w:t>
      </w:r>
      <w:r w:rsidR="008F4472">
        <w:t>regarding</w:t>
      </w:r>
      <w:r>
        <w:t xml:space="preserve"> the payment of infrastructure contributions in a </w:t>
      </w:r>
      <w:r w:rsidR="00D77856">
        <w:t>p</w:t>
      </w:r>
      <w:r>
        <w:t xml:space="preserve">reliminary </w:t>
      </w:r>
      <w:r w:rsidR="00D77856">
        <w:t>a</w:t>
      </w:r>
      <w:r>
        <w:t>pproval</w:t>
      </w:r>
      <w:r w:rsidR="00075D1A">
        <w:t xml:space="preserve">, granted pursuant to the </w:t>
      </w:r>
      <w:r w:rsidR="00075D1A">
        <w:rPr>
          <w:i/>
        </w:rPr>
        <w:t xml:space="preserve">Integrated Planning Act 1997 </w:t>
      </w:r>
      <w:r w:rsidR="00075D1A">
        <w:t>(Qld),</w:t>
      </w:r>
      <w:r>
        <w:t xml:space="preserve"> created an obligation to make infrastructure contributions.</w:t>
      </w:r>
    </w:p>
    <w:p w14:paraId="623FB6F6" w14:textId="77777777" w:rsidR="00106395" w:rsidRDefault="00106395" w:rsidP="00106395">
      <w:pPr>
        <w:ind w:right="-285"/>
      </w:pPr>
    </w:p>
    <w:p w14:paraId="3FDFA0EA" w14:textId="31ACB060" w:rsidR="00331A15" w:rsidRPr="006273BF" w:rsidRDefault="00331A15" w:rsidP="00106395">
      <w:pPr>
        <w:ind w:right="-285"/>
      </w:pPr>
      <w:r>
        <w:t xml:space="preserve">In 2007, the Queensland Planning and Environment Court had </w:t>
      </w:r>
      <w:r w:rsidR="00320258">
        <w:t>granted</w:t>
      </w:r>
      <w:r w:rsidR="0084182A">
        <w:t xml:space="preserve"> a</w:t>
      </w:r>
      <w:r>
        <w:t xml:space="preserve"> preliminary approval</w:t>
      </w:r>
      <w:r w:rsidR="00F763F5">
        <w:t xml:space="preserve"> for </w:t>
      </w:r>
      <w:r w:rsidR="0084182A">
        <w:t>the</w:t>
      </w:r>
      <w:r>
        <w:t xml:space="preserve"> future</w:t>
      </w:r>
      <w:r w:rsidR="005E2518">
        <w:t xml:space="preserve"> development </w:t>
      </w:r>
      <w:r w:rsidR="008811C2">
        <w:t xml:space="preserve">of </w:t>
      </w:r>
      <w:r w:rsidR="005E2518">
        <w:t xml:space="preserve">land </w:t>
      </w:r>
      <w:r w:rsidR="008C3CE4">
        <w:t>located in the City of</w:t>
      </w:r>
      <w:r w:rsidR="005E2518">
        <w:t xml:space="preserve"> Gold Coast</w:t>
      </w:r>
      <w:r w:rsidR="006E0FC4">
        <w:t xml:space="preserve">, </w:t>
      </w:r>
      <w:r w:rsidR="008E740F">
        <w:t xml:space="preserve">pursuant to the </w:t>
      </w:r>
      <w:r w:rsidR="008E740F">
        <w:rPr>
          <w:i/>
        </w:rPr>
        <w:t>Integrated Planning Act</w:t>
      </w:r>
      <w:r w:rsidR="008E740F">
        <w:t xml:space="preserve">, a predecessor to the </w:t>
      </w:r>
      <w:r w:rsidR="008E740F">
        <w:rPr>
          <w:i/>
        </w:rPr>
        <w:t xml:space="preserve">Planning Act 2016 </w:t>
      </w:r>
      <w:r w:rsidR="008E740F">
        <w:t>(Qld)</w:t>
      </w:r>
      <w:r w:rsidR="006E0FC4">
        <w:t xml:space="preserve"> ("the Preliminary Approval"). </w:t>
      </w:r>
      <w:r w:rsidR="00045950">
        <w:t xml:space="preserve">Relevantly, the Preliminary Approval </w:t>
      </w:r>
      <w:r w:rsidR="00B212AF">
        <w:t>contained</w:t>
      </w:r>
      <w:r w:rsidR="00045950">
        <w:t xml:space="preserve"> four "conditions" </w:t>
      </w:r>
      <w:r w:rsidR="00B212AF">
        <w:t>regarding</w:t>
      </w:r>
      <w:r w:rsidR="00045950">
        <w:t xml:space="preserve"> the payment of infrastructure contributions by the </w:t>
      </w:r>
      <w:r w:rsidR="00382BAF">
        <w:t>developers</w:t>
      </w:r>
      <w:r w:rsidR="00045950">
        <w:t xml:space="preserve"> to the </w:t>
      </w:r>
      <w:r w:rsidR="006273BF">
        <w:t xml:space="preserve">respondent </w:t>
      </w:r>
      <w:r w:rsidR="00045950">
        <w:t xml:space="preserve">Council. </w:t>
      </w:r>
      <w:r w:rsidR="0016117E">
        <w:t>Two of the</w:t>
      </w:r>
      <w:r w:rsidR="00045950">
        <w:t xml:space="preserve"> conditions also provided that the calculations of infrastructure contributions would recognise existing infrastructure credits over the sit</w:t>
      </w:r>
      <w:r w:rsidR="00BF0DF9">
        <w:t>e</w:t>
      </w:r>
      <w:r w:rsidR="00045950">
        <w:t xml:space="preserve">. </w:t>
      </w:r>
      <w:r w:rsidR="008614B8">
        <w:t xml:space="preserve">In 2015, the second appellant purchased that parcel of land. </w:t>
      </w:r>
      <w:r w:rsidR="008E1783">
        <w:t>T</w:t>
      </w:r>
      <w:r w:rsidR="00127937">
        <w:t>he appellants ("Sunland")</w:t>
      </w:r>
      <w:r w:rsidR="00045950">
        <w:t xml:space="preserve"> applied for a series of development permits, which the </w:t>
      </w:r>
      <w:r w:rsidR="006273BF">
        <w:t>Council resolved to grant in 2016.</w:t>
      </w:r>
    </w:p>
    <w:p w14:paraId="04C24A91" w14:textId="2CB33CF9" w:rsidR="00064DD5" w:rsidRDefault="00064DD5" w:rsidP="00106395">
      <w:pPr>
        <w:ind w:right="-285"/>
      </w:pPr>
    </w:p>
    <w:p w14:paraId="6BD656C1" w14:textId="2C511B6A" w:rsidR="00142918" w:rsidRPr="00D92DC4" w:rsidRDefault="006273BF" w:rsidP="00106395">
      <w:pPr>
        <w:ind w:right="-285"/>
      </w:pPr>
      <w:r>
        <w:t xml:space="preserve">In 1997, the </w:t>
      </w:r>
      <w:r>
        <w:rPr>
          <w:i/>
        </w:rPr>
        <w:t xml:space="preserve">Integrated Planning Act </w:t>
      </w:r>
      <w:r>
        <w:t xml:space="preserve">introduced a new regime </w:t>
      </w:r>
      <w:r w:rsidR="00730A64">
        <w:t xml:space="preserve">to permit local governments to levy infrastructure charges by notice. This regime </w:t>
      </w:r>
      <w:r w:rsidR="00DB0DC7">
        <w:t>was</w:t>
      </w:r>
      <w:r w:rsidR="00730A64">
        <w:t xml:space="preserve"> maintained by both the </w:t>
      </w:r>
      <w:r w:rsidR="00730A64">
        <w:rPr>
          <w:i/>
        </w:rPr>
        <w:t xml:space="preserve">Sustainable Planning Act 2009 </w:t>
      </w:r>
      <w:r w:rsidR="00730A64">
        <w:t xml:space="preserve">(Qld) and the </w:t>
      </w:r>
      <w:r w:rsidR="00730A64">
        <w:rPr>
          <w:i/>
        </w:rPr>
        <w:t>Planning Act</w:t>
      </w:r>
      <w:r w:rsidR="00730A64">
        <w:t>.</w:t>
      </w:r>
      <w:r w:rsidR="00D529A2">
        <w:t xml:space="preserve"> Section</w:t>
      </w:r>
      <w:r w:rsidR="00791F63">
        <w:t> </w:t>
      </w:r>
      <w:r w:rsidR="00D529A2">
        <w:t xml:space="preserve">6.1.31(2)(c) of the </w:t>
      </w:r>
      <w:r w:rsidR="00D529A2">
        <w:rPr>
          <w:i/>
        </w:rPr>
        <w:t xml:space="preserve">Integrated Planning Act </w:t>
      </w:r>
      <w:r w:rsidR="00D529A2">
        <w:t xml:space="preserve">preserved, as an interim measure, the capacity for a council </w:t>
      </w:r>
      <w:r w:rsidR="00675827">
        <w:t>to impose</w:t>
      </w:r>
      <w:r w:rsidR="0041178C">
        <w:t xml:space="preserve"> </w:t>
      </w:r>
      <w:r w:rsidR="00675827">
        <w:t xml:space="preserve">a condition </w:t>
      </w:r>
      <w:r w:rsidR="0041178C">
        <w:t xml:space="preserve">on any development approval </w:t>
      </w:r>
      <w:r w:rsidR="00675827">
        <w:t>requiring payment of infrastructure contributions</w:t>
      </w:r>
      <w:r w:rsidR="002065F4">
        <w:t xml:space="preserve">. </w:t>
      </w:r>
      <w:r w:rsidR="003E1974">
        <w:t xml:space="preserve">In 2016, the Council issued </w:t>
      </w:r>
      <w:r w:rsidR="00E82B5F">
        <w:t>purported infrastructure charges notices</w:t>
      </w:r>
      <w:r w:rsidR="007F12ED">
        <w:t xml:space="preserve"> to Sunland</w:t>
      </w:r>
      <w:r w:rsidR="00E82B5F">
        <w:t xml:space="preserve"> in accordance with the new regime</w:t>
      </w:r>
      <w:r w:rsidR="00B021D2">
        <w:t xml:space="preserve"> </w:t>
      </w:r>
      <w:r w:rsidR="003D301E">
        <w:t xml:space="preserve">in respect of each </w:t>
      </w:r>
      <w:r w:rsidR="0060202E">
        <w:t>application</w:t>
      </w:r>
      <w:r w:rsidR="001E12BD">
        <w:t xml:space="preserve">. </w:t>
      </w:r>
      <w:r w:rsidR="00F90B20">
        <w:t>T</w:t>
      </w:r>
      <w:r w:rsidR="00477351">
        <w:t>he infrastructure charges notices did not assess charges or allow credits in accordance with the conditions in the Preliminary Approval. At the time of purchase in 2015, there was approximately $19 million of existing infrastructure credits applicable to the development approved in the Preliminary Approval.</w:t>
      </w:r>
      <w:r w:rsidR="00915F3B">
        <w:t xml:space="preserve"> A dispute arose between </w:t>
      </w:r>
      <w:r w:rsidR="00127937">
        <w:t>Sunland</w:t>
      </w:r>
      <w:r w:rsidR="00915F3B">
        <w:t xml:space="preserve"> and the Council as to whether the conditions in the Preliminary Approval created </w:t>
      </w:r>
      <w:r w:rsidR="00C6006C">
        <w:t>a</w:t>
      </w:r>
      <w:r w:rsidR="00915F3B">
        <w:t xml:space="preserve"> liability to pay infrastructure contributions</w:t>
      </w:r>
      <w:r w:rsidR="005A052D">
        <w:t xml:space="preserve">. The </w:t>
      </w:r>
      <w:r w:rsidR="006313E3">
        <w:t xml:space="preserve">Court of Appeal </w:t>
      </w:r>
      <w:r w:rsidR="00F87528">
        <w:t>found</w:t>
      </w:r>
      <w:r w:rsidR="006313E3">
        <w:t xml:space="preserve"> that </w:t>
      </w:r>
      <w:r w:rsidR="00D92DC4">
        <w:t xml:space="preserve">the primary judge had erred in declaring, among other things, that the Council had the power to collect infrastructure contributions calculated under and in accordance with the </w:t>
      </w:r>
      <w:r w:rsidR="005A052D">
        <w:t>P</w:t>
      </w:r>
      <w:r w:rsidR="00D92DC4">
        <w:t xml:space="preserve">reliminary </w:t>
      </w:r>
      <w:r w:rsidR="005A052D">
        <w:t>A</w:t>
      </w:r>
      <w:r w:rsidR="00D92DC4">
        <w:t>pproval.</w:t>
      </w:r>
    </w:p>
    <w:p w14:paraId="0E31B039" w14:textId="23422532" w:rsidR="00385526" w:rsidRDefault="00385526" w:rsidP="00106395">
      <w:pPr>
        <w:ind w:right="-285"/>
      </w:pPr>
    </w:p>
    <w:p w14:paraId="096AA198" w14:textId="1BA403FD" w:rsidR="00AD7BAC" w:rsidRPr="007F2B8F" w:rsidRDefault="00734CAE" w:rsidP="00106395">
      <w:pPr>
        <w:ind w:right="-285"/>
      </w:pPr>
      <w:r>
        <w:t xml:space="preserve">The High Court held that </w:t>
      </w:r>
      <w:r w:rsidR="004B6E0C">
        <w:t xml:space="preserve">the conditions in the </w:t>
      </w:r>
      <w:r w:rsidR="005A052D">
        <w:t>P</w:t>
      </w:r>
      <w:r w:rsidR="004B6E0C">
        <w:t xml:space="preserve">reliminary </w:t>
      </w:r>
      <w:r w:rsidR="005A052D">
        <w:t>A</w:t>
      </w:r>
      <w:r w:rsidR="004B6E0C">
        <w:t xml:space="preserve">pproval </w:t>
      </w:r>
      <w:r w:rsidR="00A104AE">
        <w:t xml:space="preserve">were </w:t>
      </w:r>
      <w:r w:rsidR="00AD7BAC">
        <w:t>not of the kind authorised by s 6.1.31(2)(c)</w:t>
      </w:r>
      <w:r w:rsidR="002D0EC5">
        <w:t xml:space="preserve"> of the </w:t>
      </w:r>
      <w:r w:rsidR="002D0EC5">
        <w:rPr>
          <w:i/>
        </w:rPr>
        <w:t>Integrated Planning Act</w:t>
      </w:r>
      <w:r w:rsidR="002115A6">
        <w:t xml:space="preserve">, and therefore imposed no liability </w:t>
      </w:r>
      <w:r w:rsidR="004856C4">
        <w:t>to pay</w:t>
      </w:r>
      <w:r w:rsidR="002115A6">
        <w:t xml:space="preserve"> infrastructure contributions.</w:t>
      </w:r>
      <w:r w:rsidR="00950922">
        <w:t xml:space="preserve"> The</w:t>
      </w:r>
      <w:r w:rsidR="00D159BE">
        <w:t xml:space="preserve"> ordinary and natural meaning of the conditions </w:t>
      </w:r>
      <w:r w:rsidR="00CA7E18">
        <w:t xml:space="preserve">could not be said to have required </w:t>
      </w:r>
      <w:r w:rsidR="004E21CA">
        <w:t>any payments</w:t>
      </w:r>
      <w:r w:rsidR="007E5351">
        <w:t xml:space="preserve">, because the </w:t>
      </w:r>
      <w:r w:rsidR="00E17DB5">
        <w:t>data necessary to</w:t>
      </w:r>
      <w:r w:rsidR="007E5351">
        <w:t xml:space="preserve"> </w:t>
      </w:r>
      <w:r w:rsidR="00E17DB5">
        <w:t>quantify the liability were not yet available or even identified</w:t>
      </w:r>
      <w:r w:rsidR="00BB5078">
        <w:t>.</w:t>
      </w:r>
      <w:r w:rsidR="006C44D6">
        <w:t xml:space="preserve"> Rather, the conditions </w:t>
      </w:r>
      <w:r w:rsidR="00A47176">
        <w:t xml:space="preserve">served the evident purpose of placing </w:t>
      </w:r>
      <w:r w:rsidR="006616F7">
        <w:t>the developer</w:t>
      </w:r>
      <w:r w:rsidR="00A47176">
        <w:t xml:space="preserve"> on notice that contributions </w:t>
      </w:r>
      <w:r w:rsidR="00025848">
        <w:t>to</w:t>
      </w:r>
      <w:r w:rsidR="00A47176">
        <w:t xml:space="preserve"> infrastructure </w:t>
      </w:r>
      <w:r w:rsidR="00B15901">
        <w:t>will</w:t>
      </w:r>
      <w:r w:rsidR="00A47176">
        <w:t xml:space="preserve"> be required in the future and when that requirement </w:t>
      </w:r>
      <w:r w:rsidR="00B15901">
        <w:t>will</w:t>
      </w:r>
      <w:r w:rsidR="00A47176">
        <w:t xml:space="preserve"> be imposed.</w:t>
      </w:r>
      <w:r w:rsidR="00D24F80">
        <w:t xml:space="preserve"> </w:t>
      </w:r>
      <w:r w:rsidR="00FA430D">
        <w:t xml:space="preserve">For that reason, </w:t>
      </w:r>
      <w:r w:rsidR="00563746">
        <w:t>the majority concluded</w:t>
      </w:r>
      <w:r w:rsidR="002166D3">
        <w:t xml:space="preserve"> that</w:t>
      </w:r>
      <w:r w:rsidR="00FA430D">
        <w:t xml:space="preserve"> the power </w:t>
      </w:r>
      <w:r w:rsidR="000C5F66">
        <w:t xml:space="preserve">under s 6.1.31(2)(c) had </w:t>
      </w:r>
      <w:r w:rsidR="000C49C2">
        <w:t xml:space="preserve">not </w:t>
      </w:r>
      <w:r w:rsidR="000C5F66">
        <w:t>been exercised</w:t>
      </w:r>
      <w:r w:rsidR="007F2B8F">
        <w:t>.</w:t>
      </w:r>
    </w:p>
    <w:p w14:paraId="7100CB57" w14:textId="77777777" w:rsidR="008A7D20" w:rsidRDefault="008A7D20" w:rsidP="00106395">
      <w:pPr>
        <w:ind w:right="-285"/>
      </w:pPr>
    </w:p>
    <w:p w14:paraId="2CA79073" w14:textId="7C021A04" w:rsidR="00EF5D4F" w:rsidRPr="00846D86" w:rsidRDefault="00106395" w:rsidP="00846D86">
      <w:pPr>
        <w:numPr>
          <w:ilvl w:val="0"/>
          <w:numId w:val="1"/>
        </w:numPr>
        <w:rPr>
          <w:sz w:val="22"/>
          <w:szCs w:val="22"/>
        </w:rPr>
      </w:pPr>
      <w:r>
        <w:rPr>
          <w:i/>
          <w:snapToGrid w:val="0"/>
          <w:sz w:val="22"/>
          <w:szCs w:val="22"/>
          <w:lang w:eastAsia="en-US"/>
        </w:rPr>
        <w:t>This state</w:t>
      </w:r>
      <w:r w:rsidRPr="001C1EBD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EF5D4F" w:rsidRPr="00846D86">
      <w:headerReference w:type="even" r:id="rId10"/>
      <w:headerReference w:type="default" r:id="rId11"/>
      <w:headerReference w:type="first" r:id="rId12"/>
      <w:footerReference w:type="first" r:id="rId13"/>
      <w:pgSz w:w="11907" w:h="16840" w:code="9"/>
      <w:pgMar w:top="1134" w:right="1304" w:bottom="284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237FB" w14:textId="77777777" w:rsidR="002F132C" w:rsidRDefault="002F132C">
      <w:r>
        <w:separator/>
      </w:r>
    </w:p>
  </w:endnote>
  <w:endnote w:type="continuationSeparator" w:id="0">
    <w:p w14:paraId="7681178F" w14:textId="77777777" w:rsidR="002F132C" w:rsidRDefault="002F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AEFF9" w14:textId="77777777" w:rsidR="00C83B24" w:rsidRDefault="00385526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Please direct enquiries to Ben Wickham, Senior Executive Deputy Registrar</w:t>
    </w:r>
  </w:p>
  <w:p w14:paraId="0E351F64" w14:textId="77777777" w:rsidR="00C83B24" w:rsidRDefault="00385526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Telephone: (02) 6270 6893          Fax: (02) 6270 6868          </w:t>
    </w:r>
  </w:p>
  <w:p w14:paraId="27020397" w14:textId="77777777" w:rsidR="00C83B24" w:rsidRDefault="00385526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>
      <w:rPr>
        <w:rFonts w:ascii="Arial" w:hAnsi="Arial"/>
        <w:b/>
        <w:sz w:val="16"/>
      </w:rPr>
      <w:t xml:space="preserve">     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4BFF9" w14:textId="77777777" w:rsidR="002F132C" w:rsidRDefault="002F132C">
      <w:r>
        <w:separator/>
      </w:r>
    </w:p>
  </w:footnote>
  <w:footnote w:type="continuationSeparator" w:id="0">
    <w:p w14:paraId="32F11C61" w14:textId="77777777" w:rsidR="002F132C" w:rsidRDefault="002F1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5BDE7" w14:textId="77777777" w:rsidR="00C83B24" w:rsidRDefault="00385526">
    <w:pPr>
      <w:pStyle w:val="Header"/>
      <w:framePr w:wrap="around" w:vAnchor="text" w:hAnchor="margin" w:xAlign="center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14:paraId="3F42F2C5" w14:textId="77777777" w:rsidR="00C83B24" w:rsidRDefault="00ED23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620C7" w14:textId="77777777" w:rsidR="00C83B24" w:rsidRDefault="00385526">
    <w:pPr>
      <w:pStyle w:val="Header"/>
      <w:framePr w:wrap="around" w:vAnchor="text" w:hAnchor="margin" w:xAlign="center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>
      <w:rPr>
        <w:rStyle w:val="PageNumber"/>
        <w:rFonts w:eastAsiaTheme="majorEastAsia"/>
        <w:noProof/>
      </w:rPr>
      <w:t>2</w:t>
    </w:r>
    <w:r>
      <w:rPr>
        <w:rStyle w:val="PageNumber"/>
        <w:rFonts w:eastAsiaTheme="majorEastAsia"/>
      </w:rPr>
      <w:fldChar w:fldCharType="end"/>
    </w:r>
  </w:p>
  <w:p w14:paraId="53C46EF9" w14:textId="77777777" w:rsidR="00C83B24" w:rsidRDefault="00ED2377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DC4BA" w14:textId="77777777" w:rsidR="00C83B24" w:rsidRPr="001F4E13" w:rsidRDefault="00ED2377" w:rsidP="001F4E13">
    <w:pPr>
      <w:pStyle w:val="Header"/>
      <w:jc w:val="center"/>
    </w:pPr>
    <w:r>
      <w:rPr>
        <w:noProof/>
        <w:lang w:val="en-US" w:eastAsia="zh-TW"/>
      </w:rPr>
      <w:object w:dxaOrig="1440" w:dyaOrig="1440" w14:anchorId="497817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4pt;margin-top:22.3pt;width:84.8pt;height:60.3pt;z-index:251659264;visibility:visible;mso-wrap-edited:f" o:allowincell="f">
          <v:imagedata r:id="rId1" o:title="" gain="2147483647f"/>
          <w10:wrap type="topAndBottom"/>
        </v:shape>
        <o:OLEObject Type="Embed" ProgID="Word.Picture.8" ShapeID="_x0000_s2049" DrawAspect="Content" ObjectID="_1698043857" r:id="rId2"/>
      </w:object>
    </w:r>
  </w:p>
  <w:p w14:paraId="2A20F68D" w14:textId="77777777" w:rsidR="00C83B24" w:rsidRDefault="00385526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 xml:space="preserve">HIGH COURT OF </w:t>
    </w:r>
    <w:smartTag w:uri="urn:schemas-microsoft-com:office:smarttags" w:element="country-region">
      <w:smartTag w:uri="urn:schemas-microsoft-com:office:smarttags" w:element="place">
        <w:r>
          <w:rPr>
            <w:rFonts w:ascii="Arial" w:hAnsi="Arial"/>
            <w:spacing w:val="40"/>
            <w:position w:val="6"/>
            <w:sz w:val="28"/>
          </w:rPr>
          <w:t>AUSTRALIA</w:t>
        </w:r>
      </w:smartTag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41CBF"/>
    <w:multiLevelType w:val="singleLevel"/>
    <w:tmpl w:val="0C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395"/>
    <w:rsid w:val="00003CC2"/>
    <w:rsid w:val="00025848"/>
    <w:rsid w:val="0003147F"/>
    <w:rsid w:val="00037C7B"/>
    <w:rsid w:val="00045950"/>
    <w:rsid w:val="00064DD5"/>
    <w:rsid w:val="000740A2"/>
    <w:rsid w:val="00075D1A"/>
    <w:rsid w:val="00093276"/>
    <w:rsid w:val="00094A59"/>
    <w:rsid w:val="000958AD"/>
    <w:rsid w:val="000A40BE"/>
    <w:rsid w:val="000A71E8"/>
    <w:rsid w:val="000C17FF"/>
    <w:rsid w:val="000C49C2"/>
    <w:rsid w:val="000C5F66"/>
    <w:rsid w:val="000F4C9C"/>
    <w:rsid w:val="00106395"/>
    <w:rsid w:val="00127937"/>
    <w:rsid w:val="00142918"/>
    <w:rsid w:val="0016117E"/>
    <w:rsid w:val="001744AB"/>
    <w:rsid w:val="001B2C2A"/>
    <w:rsid w:val="001D1E62"/>
    <w:rsid w:val="001E07D3"/>
    <w:rsid w:val="001E12BD"/>
    <w:rsid w:val="001F5D49"/>
    <w:rsid w:val="002065F4"/>
    <w:rsid w:val="002115A6"/>
    <w:rsid w:val="00215955"/>
    <w:rsid w:val="002166D3"/>
    <w:rsid w:val="0022567A"/>
    <w:rsid w:val="002266B1"/>
    <w:rsid w:val="00261F74"/>
    <w:rsid w:val="0026246F"/>
    <w:rsid w:val="00290B11"/>
    <w:rsid w:val="00294A95"/>
    <w:rsid w:val="002D0EC5"/>
    <w:rsid w:val="002E53F0"/>
    <w:rsid w:val="002E68F6"/>
    <w:rsid w:val="002F132C"/>
    <w:rsid w:val="00310C50"/>
    <w:rsid w:val="00320258"/>
    <w:rsid w:val="00331A15"/>
    <w:rsid w:val="00333224"/>
    <w:rsid w:val="003653EA"/>
    <w:rsid w:val="003719C8"/>
    <w:rsid w:val="00382BAF"/>
    <w:rsid w:val="00385526"/>
    <w:rsid w:val="0039302E"/>
    <w:rsid w:val="00393E28"/>
    <w:rsid w:val="003C3D81"/>
    <w:rsid w:val="003D301E"/>
    <w:rsid w:val="003E1974"/>
    <w:rsid w:val="0040330E"/>
    <w:rsid w:val="004104B6"/>
    <w:rsid w:val="0041178C"/>
    <w:rsid w:val="00413913"/>
    <w:rsid w:val="004723D3"/>
    <w:rsid w:val="00477351"/>
    <w:rsid w:val="004856C4"/>
    <w:rsid w:val="004B6E0C"/>
    <w:rsid w:val="004D74D7"/>
    <w:rsid w:val="004E21CA"/>
    <w:rsid w:val="00505CE0"/>
    <w:rsid w:val="00563746"/>
    <w:rsid w:val="0057257C"/>
    <w:rsid w:val="005A052D"/>
    <w:rsid w:val="005C1B15"/>
    <w:rsid w:val="005E052A"/>
    <w:rsid w:val="005E1122"/>
    <w:rsid w:val="005E2518"/>
    <w:rsid w:val="0060202E"/>
    <w:rsid w:val="00607CA2"/>
    <w:rsid w:val="006273BF"/>
    <w:rsid w:val="006313E3"/>
    <w:rsid w:val="006616F7"/>
    <w:rsid w:val="00675827"/>
    <w:rsid w:val="006A21AF"/>
    <w:rsid w:val="006C44D6"/>
    <w:rsid w:val="006E0FC4"/>
    <w:rsid w:val="00713E6E"/>
    <w:rsid w:val="00730A64"/>
    <w:rsid w:val="00734CAE"/>
    <w:rsid w:val="0074490E"/>
    <w:rsid w:val="00754333"/>
    <w:rsid w:val="00791F63"/>
    <w:rsid w:val="007E3868"/>
    <w:rsid w:val="007E5351"/>
    <w:rsid w:val="007E7F1F"/>
    <w:rsid w:val="007F12ED"/>
    <w:rsid w:val="007F2B8F"/>
    <w:rsid w:val="0084182A"/>
    <w:rsid w:val="00846D86"/>
    <w:rsid w:val="00860359"/>
    <w:rsid w:val="008614B8"/>
    <w:rsid w:val="00877EB6"/>
    <w:rsid w:val="008811C2"/>
    <w:rsid w:val="0088661B"/>
    <w:rsid w:val="008A7D20"/>
    <w:rsid w:val="008B6DFD"/>
    <w:rsid w:val="008C3CE4"/>
    <w:rsid w:val="008C5095"/>
    <w:rsid w:val="008D526C"/>
    <w:rsid w:val="008E0248"/>
    <w:rsid w:val="008E1783"/>
    <w:rsid w:val="008E740F"/>
    <w:rsid w:val="008F4472"/>
    <w:rsid w:val="00910228"/>
    <w:rsid w:val="00910D81"/>
    <w:rsid w:val="00915F3B"/>
    <w:rsid w:val="009454F6"/>
    <w:rsid w:val="00950922"/>
    <w:rsid w:val="009D3D51"/>
    <w:rsid w:val="009E3C46"/>
    <w:rsid w:val="00A104AE"/>
    <w:rsid w:val="00A106AE"/>
    <w:rsid w:val="00A21CBB"/>
    <w:rsid w:val="00A41D75"/>
    <w:rsid w:val="00A47176"/>
    <w:rsid w:val="00A762B3"/>
    <w:rsid w:val="00AD7BAC"/>
    <w:rsid w:val="00AF02F6"/>
    <w:rsid w:val="00B021D2"/>
    <w:rsid w:val="00B11097"/>
    <w:rsid w:val="00B15901"/>
    <w:rsid w:val="00B212AF"/>
    <w:rsid w:val="00B73860"/>
    <w:rsid w:val="00B81A39"/>
    <w:rsid w:val="00B824B3"/>
    <w:rsid w:val="00B87BDB"/>
    <w:rsid w:val="00B915A7"/>
    <w:rsid w:val="00B9252B"/>
    <w:rsid w:val="00BA31BB"/>
    <w:rsid w:val="00BA4486"/>
    <w:rsid w:val="00BA5DB3"/>
    <w:rsid w:val="00BB5078"/>
    <w:rsid w:val="00BC056B"/>
    <w:rsid w:val="00BC5CBE"/>
    <w:rsid w:val="00BD6C69"/>
    <w:rsid w:val="00BF0DF9"/>
    <w:rsid w:val="00C2100C"/>
    <w:rsid w:val="00C36768"/>
    <w:rsid w:val="00C43190"/>
    <w:rsid w:val="00C54D8F"/>
    <w:rsid w:val="00C6006C"/>
    <w:rsid w:val="00C90ED6"/>
    <w:rsid w:val="00CA7E18"/>
    <w:rsid w:val="00CC47FB"/>
    <w:rsid w:val="00CC4CFB"/>
    <w:rsid w:val="00CC7852"/>
    <w:rsid w:val="00CD0CE0"/>
    <w:rsid w:val="00D159BE"/>
    <w:rsid w:val="00D24F80"/>
    <w:rsid w:val="00D25542"/>
    <w:rsid w:val="00D4242D"/>
    <w:rsid w:val="00D43EDD"/>
    <w:rsid w:val="00D529A2"/>
    <w:rsid w:val="00D731F6"/>
    <w:rsid w:val="00D77856"/>
    <w:rsid w:val="00D92DC4"/>
    <w:rsid w:val="00DA3B5E"/>
    <w:rsid w:val="00DA6E77"/>
    <w:rsid w:val="00DB0DC7"/>
    <w:rsid w:val="00DD1029"/>
    <w:rsid w:val="00E01E42"/>
    <w:rsid w:val="00E17DB5"/>
    <w:rsid w:val="00E4477A"/>
    <w:rsid w:val="00E703B1"/>
    <w:rsid w:val="00E74004"/>
    <w:rsid w:val="00E82B5F"/>
    <w:rsid w:val="00E85EDE"/>
    <w:rsid w:val="00EC2F41"/>
    <w:rsid w:val="00EC32DC"/>
    <w:rsid w:val="00ED2377"/>
    <w:rsid w:val="00EF0AF2"/>
    <w:rsid w:val="00EF5D4F"/>
    <w:rsid w:val="00F51E8B"/>
    <w:rsid w:val="00F763F5"/>
    <w:rsid w:val="00F77248"/>
    <w:rsid w:val="00F87528"/>
    <w:rsid w:val="00F87D43"/>
    <w:rsid w:val="00F90B20"/>
    <w:rsid w:val="00FA242F"/>
    <w:rsid w:val="00FA430D"/>
    <w:rsid w:val="00FD11F6"/>
    <w:rsid w:val="00FD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57CB00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6395"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147F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147F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4333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147F"/>
    <w:rPr>
      <w:rFonts w:ascii="Arial" w:eastAsiaTheme="majorEastAsia" w:hAnsi="Arial" w:cstheme="majorBidi"/>
      <w:color w:val="2F5496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7F"/>
    <w:rPr>
      <w:rFonts w:ascii="Arial" w:eastAsiaTheme="majorEastAsia" w:hAnsi="Arial" w:cstheme="majorBidi"/>
      <w:color w:val="2F5496" w:themeColor="accent1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4333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rsid w:val="001063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06395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rsid w:val="0010639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06395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styleId="PageNumber">
    <w:name w:val="page number"/>
    <w:basedOn w:val="DefaultParagraphFont"/>
    <w:rsid w:val="00106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2D2EC4F8DE44A8C0C478B82839881" ma:contentTypeVersion="10" ma:contentTypeDescription="Create a new document." ma:contentTypeScope="" ma:versionID="58d6870fdd15d4ec924560cac8df627e">
  <xsd:schema xmlns:xsd="http://www.w3.org/2001/XMLSchema" xmlns:xs="http://www.w3.org/2001/XMLSchema" xmlns:p="http://schemas.microsoft.com/office/2006/metadata/properties" xmlns:ns2="3cc3f26d-d9cc-46f3-89c7-f1482de8c8f1" targetNamespace="http://schemas.microsoft.com/office/2006/metadata/properties" ma:root="true" ma:fieldsID="ce7248f3e425aaaca2909018d98d2ef8" ns2:_="">
    <xsd:import namespace="3cc3f26d-d9cc-46f3-89c7-f1482de8c8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3f26d-d9cc-46f3-89c7-f1482de8c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EECA2B-9E6C-4F3C-80CA-A4C125C8A2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21FC87-FEF0-4604-A1B3-845ECF9EB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3f26d-d9cc-46f3-89c7-f1482de8c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676E2C-99F7-4CFF-97E6-2D2484E7A7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2878</Characters>
  <Application>Microsoft Office Word</Application>
  <DocSecurity>0</DocSecurity>
  <Lines>46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/>
  <cp:keywords/>
  <dc:description/>
  <cp:lastModifiedBy/>
  <cp:revision>1</cp:revision>
  <dcterms:created xsi:type="dcterms:W3CDTF">2021-11-09T23:04:00Z</dcterms:created>
  <dcterms:modified xsi:type="dcterms:W3CDTF">2021-11-09T23:04:00Z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0x0101001F32D2EC4F8DE44A8C0C478B82839881</vt:lpwstr>
  </property>
</Properties>
</file>