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866D" w14:textId="50A176EC" w:rsidR="0045059D" w:rsidRDefault="0045059D" w:rsidP="0045059D">
      <w:pPr>
        <w:pStyle w:val="BodyText"/>
        <w:kinsoku w:val="0"/>
        <w:overflowPunct w:val="0"/>
        <w:ind w:left="402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1B9DBC" wp14:editId="78ED78BD">
            <wp:simplePos x="3317358" y="776177"/>
            <wp:positionH relativeFrom="margin">
              <wp:align>center</wp:align>
            </wp:positionH>
            <wp:positionV relativeFrom="margin">
              <wp:align>top</wp:align>
            </wp:positionV>
            <wp:extent cx="10477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052">
        <w:rPr>
          <w:sz w:val="20"/>
          <w:szCs w:val="20"/>
        </w:rPr>
        <w:br w:type="textWrapping" w:clear="all"/>
      </w:r>
    </w:p>
    <w:p w14:paraId="5DBED7F7" w14:textId="77777777" w:rsidR="0045059D" w:rsidRDefault="0045059D" w:rsidP="0045059D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7D700CCC" w14:textId="77777777" w:rsidR="0045059D" w:rsidRPr="002C3B34" w:rsidRDefault="0045059D" w:rsidP="0045059D">
      <w:pPr>
        <w:pStyle w:val="BodyText"/>
        <w:kinsoku w:val="0"/>
        <w:overflowPunct w:val="0"/>
        <w:spacing w:before="6"/>
        <w:rPr>
          <w:sz w:val="16"/>
          <w:szCs w:val="15"/>
        </w:rPr>
        <w:sectPr w:rsidR="0045059D" w:rsidRPr="002C3B34" w:rsidSect="0045059D">
          <w:headerReference w:type="default" r:id="rId11"/>
          <w:headerReference w:type="first" r:id="rId12"/>
          <w:pgSz w:w="11910" w:h="16850"/>
          <w:pgMar w:top="709" w:right="840" w:bottom="0" w:left="1200" w:header="720" w:footer="720" w:gutter="0"/>
          <w:cols w:space="720"/>
          <w:noEndnote/>
          <w:titlePg/>
          <w:docGrid w:linePitch="299"/>
        </w:sectPr>
      </w:pPr>
    </w:p>
    <w:p w14:paraId="4EA7E7CB" w14:textId="77777777" w:rsidR="0045059D" w:rsidRDefault="0045059D" w:rsidP="0045059D">
      <w:pPr>
        <w:pStyle w:val="BodyText"/>
        <w:kinsoku w:val="0"/>
        <w:overflowPunct w:val="0"/>
        <w:spacing w:before="92"/>
        <w:ind w:left="2356"/>
        <w:jc w:val="center"/>
        <w:rPr>
          <w:rFonts w:ascii="Arial" w:hAnsi="Arial" w:cs="Arial"/>
          <w:spacing w:val="-39"/>
          <w:sz w:val="28"/>
          <w:szCs w:val="28"/>
        </w:rPr>
      </w:pPr>
      <w:bookmarkStart w:id="0" w:name="_GoBack"/>
      <w:r>
        <w:rPr>
          <w:rFonts w:ascii="Arial" w:hAnsi="Arial" w:cs="Arial"/>
          <w:spacing w:val="26"/>
          <w:sz w:val="28"/>
          <w:szCs w:val="28"/>
        </w:rPr>
        <w:t>HIGH COURT OF AUSTRALIA</w:t>
      </w:r>
    </w:p>
    <w:bookmarkEnd w:id="0"/>
    <w:p w14:paraId="1A742FFD" w14:textId="77777777" w:rsidR="0045059D" w:rsidRDefault="0045059D" w:rsidP="0045059D">
      <w:pPr>
        <w:pStyle w:val="BodyText"/>
        <w:kinsoku w:val="0"/>
        <w:overflowPunct w:val="0"/>
        <w:spacing w:before="5"/>
        <w:rPr>
          <w:rFonts w:ascii="Arial" w:hAnsi="Arial" w:cs="Arial"/>
          <w:sz w:val="38"/>
          <w:szCs w:val="38"/>
        </w:rPr>
      </w:pPr>
      <w:r>
        <w:br w:type="column"/>
      </w:r>
    </w:p>
    <w:p w14:paraId="7661BD32" w14:textId="0B1E16A0" w:rsidR="0045059D" w:rsidRPr="00EE02C7" w:rsidRDefault="00826C6C" w:rsidP="0045059D">
      <w:pPr>
        <w:pStyle w:val="BodyText"/>
        <w:kinsoku w:val="0"/>
        <w:overflowPunct w:val="0"/>
        <w:spacing w:before="5"/>
        <w:jc w:val="right"/>
        <w:rPr>
          <w:rFonts w:ascii="Arial" w:hAnsi="Arial" w:cs="Arial"/>
          <w:sz w:val="38"/>
          <w:szCs w:val="38"/>
        </w:rPr>
        <w:sectPr w:rsidR="0045059D" w:rsidRPr="00EE02C7">
          <w:type w:val="continuous"/>
          <w:pgSz w:w="11910" w:h="16850"/>
          <w:pgMar w:top="1040" w:right="840" w:bottom="0" w:left="1200" w:header="720" w:footer="720" w:gutter="0"/>
          <w:cols w:num="2" w:space="720" w:equalWidth="0">
            <w:col w:w="7151" w:space="40"/>
            <w:col w:w="2679"/>
          </w:cols>
          <w:noEndnote/>
        </w:sectPr>
      </w:pPr>
      <w:r>
        <w:t>1</w:t>
      </w:r>
      <w:r w:rsidR="00914D6A">
        <w:t>4 April</w:t>
      </w:r>
      <w:r w:rsidR="0045059D">
        <w:t xml:space="preserve"> 2021</w:t>
      </w:r>
    </w:p>
    <w:p w14:paraId="1EA42186" w14:textId="77777777" w:rsidR="0045059D" w:rsidRPr="002C3B34" w:rsidRDefault="0045059D" w:rsidP="0045059D">
      <w:pPr>
        <w:pStyle w:val="BodyText"/>
        <w:kinsoku w:val="0"/>
        <w:overflowPunct w:val="0"/>
        <w:spacing w:before="5"/>
        <w:rPr>
          <w:sz w:val="16"/>
          <w:szCs w:val="18"/>
        </w:rPr>
      </w:pPr>
    </w:p>
    <w:p w14:paraId="19A6DCFC" w14:textId="1F225D32" w:rsidR="0045059D" w:rsidRDefault="00914D6A" w:rsidP="0045059D">
      <w:pPr>
        <w:pStyle w:val="BodyText"/>
        <w:kinsoku w:val="0"/>
        <w:overflowPunct w:val="0"/>
        <w:ind w:right="89"/>
        <w:jc w:val="center"/>
      </w:pPr>
      <w:r>
        <w:rPr>
          <w:u w:val="single"/>
        </w:rPr>
        <w:t xml:space="preserve">DVO16 </w:t>
      </w:r>
      <w:r w:rsidR="004F6997">
        <w:rPr>
          <w:u w:val="single"/>
        </w:rPr>
        <w:t xml:space="preserve">v MINISTER FOR IMMIGRATION AND BORDER PROTECTION; BNB17 </w:t>
      </w:r>
      <w:r w:rsidR="00882467">
        <w:rPr>
          <w:u w:val="single"/>
        </w:rPr>
        <w:t>v</w:t>
      </w:r>
      <w:r w:rsidR="004F6997">
        <w:rPr>
          <w:u w:val="single"/>
        </w:rPr>
        <w:t xml:space="preserve"> MINISTER FOR IMMIGRATION AND BORDER PROTECTION </w:t>
      </w:r>
      <w:r w:rsidR="0045059D">
        <w:br/>
        <w:t>[202</w:t>
      </w:r>
      <w:r>
        <w:t>1</w:t>
      </w:r>
      <w:r w:rsidR="0045059D">
        <w:t xml:space="preserve">] HCA </w:t>
      </w:r>
      <w:r w:rsidR="006302F8">
        <w:t>12</w:t>
      </w:r>
    </w:p>
    <w:p w14:paraId="31787814" w14:textId="77777777" w:rsidR="0045059D" w:rsidRPr="002C3B34" w:rsidRDefault="0045059D" w:rsidP="0045059D">
      <w:pPr>
        <w:pStyle w:val="BodyText"/>
        <w:kinsoku w:val="0"/>
        <w:overflowPunct w:val="0"/>
        <w:rPr>
          <w:sz w:val="16"/>
        </w:rPr>
      </w:pPr>
    </w:p>
    <w:p w14:paraId="1951FC14" w14:textId="401B0DF4" w:rsidR="009926F3" w:rsidRDefault="00D75251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>Today, the High Court</w:t>
      </w:r>
      <w:r w:rsidR="00826C6C">
        <w:rPr>
          <w:spacing w:val="-4"/>
        </w:rPr>
        <w:t xml:space="preserve"> unanimously </w:t>
      </w:r>
      <w:r w:rsidR="00ED56DB">
        <w:rPr>
          <w:spacing w:val="-4"/>
        </w:rPr>
        <w:t xml:space="preserve">dismissed </w:t>
      </w:r>
      <w:r w:rsidR="008E7DD5">
        <w:rPr>
          <w:spacing w:val="-4"/>
        </w:rPr>
        <w:t xml:space="preserve">these </w:t>
      </w:r>
      <w:r w:rsidR="00ED56DB">
        <w:rPr>
          <w:spacing w:val="-4"/>
        </w:rPr>
        <w:t xml:space="preserve">two </w:t>
      </w:r>
      <w:r w:rsidR="000E6591">
        <w:rPr>
          <w:spacing w:val="-4"/>
        </w:rPr>
        <w:t>appeal</w:t>
      </w:r>
      <w:r w:rsidR="00ED56DB">
        <w:rPr>
          <w:spacing w:val="-4"/>
        </w:rPr>
        <w:t>s</w:t>
      </w:r>
      <w:r w:rsidR="008E7DD5">
        <w:rPr>
          <w:spacing w:val="-4"/>
        </w:rPr>
        <w:t xml:space="preserve">. </w:t>
      </w:r>
      <w:r w:rsidR="00F413D9" w:rsidRPr="00F413D9">
        <w:rPr>
          <w:i/>
          <w:spacing w:val="-4"/>
        </w:rPr>
        <w:t>DVO16 v Minister for Immigration and Border Protection</w:t>
      </w:r>
      <w:r w:rsidR="008E7DD5">
        <w:rPr>
          <w:spacing w:val="-4"/>
        </w:rPr>
        <w:t xml:space="preserve"> was </w:t>
      </w:r>
      <w:r w:rsidR="00F413D9">
        <w:rPr>
          <w:spacing w:val="-4"/>
        </w:rPr>
        <w:t>an appeal from the</w:t>
      </w:r>
      <w:r w:rsidR="00ED56DB">
        <w:rPr>
          <w:spacing w:val="-4"/>
        </w:rPr>
        <w:t xml:space="preserve"> </w:t>
      </w:r>
      <w:r w:rsidR="001A1580">
        <w:rPr>
          <w:spacing w:val="-4"/>
        </w:rPr>
        <w:t>Full Court of the Federal Court of Australia</w:t>
      </w:r>
      <w:r w:rsidR="00C13546">
        <w:rPr>
          <w:spacing w:val="-4"/>
        </w:rPr>
        <w:t>,</w:t>
      </w:r>
      <w:r w:rsidR="004F295E">
        <w:rPr>
          <w:spacing w:val="-4"/>
        </w:rPr>
        <w:t xml:space="preserve"> and </w:t>
      </w:r>
      <w:r w:rsidR="004F295E" w:rsidRPr="004F295E">
        <w:rPr>
          <w:i/>
          <w:spacing w:val="-4"/>
        </w:rPr>
        <w:t>BNB17 v</w:t>
      </w:r>
      <w:r w:rsidR="004F295E">
        <w:rPr>
          <w:spacing w:val="-4"/>
        </w:rPr>
        <w:t xml:space="preserve"> </w:t>
      </w:r>
      <w:r w:rsidR="004F295E" w:rsidRPr="00F413D9">
        <w:rPr>
          <w:i/>
          <w:spacing w:val="-4"/>
        </w:rPr>
        <w:t>Minister for Immigration and Border</w:t>
      </w:r>
      <w:r w:rsidR="004F295E" w:rsidRPr="00767398">
        <w:rPr>
          <w:i/>
          <w:spacing w:val="-4"/>
        </w:rPr>
        <w:t xml:space="preserve"> </w:t>
      </w:r>
      <w:r w:rsidR="004F295E" w:rsidRPr="00D436F7">
        <w:rPr>
          <w:i/>
          <w:spacing w:val="-4"/>
        </w:rPr>
        <w:t>Protection</w:t>
      </w:r>
      <w:r w:rsidR="00275C32">
        <w:rPr>
          <w:spacing w:val="-4"/>
        </w:rPr>
        <w:t xml:space="preserve"> was </w:t>
      </w:r>
      <w:r w:rsidR="004F295E">
        <w:rPr>
          <w:spacing w:val="-4"/>
        </w:rPr>
        <w:t xml:space="preserve">an appeal from a single </w:t>
      </w:r>
      <w:r w:rsidR="00D14C7D">
        <w:rPr>
          <w:spacing w:val="-4"/>
        </w:rPr>
        <w:t>j</w:t>
      </w:r>
      <w:r w:rsidR="004F295E">
        <w:rPr>
          <w:spacing w:val="-4"/>
        </w:rPr>
        <w:t xml:space="preserve">udge of </w:t>
      </w:r>
      <w:r w:rsidR="007E0367">
        <w:rPr>
          <w:spacing w:val="-4"/>
        </w:rPr>
        <w:t xml:space="preserve">the </w:t>
      </w:r>
      <w:r w:rsidR="00217AC9">
        <w:rPr>
          <w:spacing w:val="-4"/>
        </w:rPr>
        <w:t xml:space="preserve">Federal Court </w:t>
      </w:r>
      <w:r w:rsidR="00734F61">
        <w:rPr>
          <w:spacing w:val="-4"/>
        </w:rPr>
        <w:t xml:space="preserve">of Australia </w:t>
      </w:r>
      <w:r w:rsidR="00217AC9">
        <w:rPr>
          <w:spacing w:val="-4"/>
        </w:rPr>
        <w:t>exercising appellate jurisdiction. Each appeal concerned the effect o</w:t>
      </w:r>
      <w:r w:rsidR="004D69AB">
        <w:rPr>
          <w:spacing w:val="-4"/>
        </w:rPr>
        <w:t xml:space="preserve">n a review by the Immigration Assessment Authority </w:t>
      </w:r>
      <w:r w:rsidR="00067B66">
        <w:rPr>
          <w:spacing w:val="-4"/>
        </w:rPr>
        <w:t xml:space="preserve">("the Authority") </w:t>
      </w:r>
      <w:r w:rsidR="004D69AB">
        <w:rPr>
          <w:spacing w:val="-4"/>
        </w:rPr>
        <w:t xml:space="preserve">under Pt 7AA of the </w:t>
      </w:r>
      <w:r w:rsidR="004D69AB" w:rsidRPr="009926F3">
        <w:rPr>
          <w:i/>
          <w:spacing w:val="-4"/>
        </w:rPr>
        <w:t>Migration Act 1958</w:t>
      </w:r>
      <w:r w:rsidR="00692CBE">
        <w:rPr>
          <w:spacing w:val="-4"/>
        </w:rPr>
        <w:t> </w:t>
      </w:r>
      <w:r w:rsidR="004D69AB">
        <w:rPr>
          <w:spacing w:val="-4"/>
        </w:rPr>
        <w:t>(Cth</w:t>
      </w:r>
      <w:r w:rsidR="00AD0E8F">
        <w:rPr>
          <w:spacing w:val="-4"/>
        </w:rPr>
        <w:t xml:space="preserve">) </w:t>
      </w:r>
      <w:r w:rsidR="004D69AB">
        <w:rPr>
          <w:spacing w:val="-4"/>
        </w:rPr>
        <w:t xml:space="preserve">of </w:t>
      </w:r>
      <w:r w:rsidR="00103813">
        <w:rPr>
          <w:spacing w:val="-4"/>
        </w:rPr>
        <w:t>translation errors in questions asked and responses given at a protection visa interview</w:t>
      </w:r>
      <w:r w:rsidR="00665C80">
        <w:rPr>
          <w:spacing w:val="-4"/>
        </w:rPr>
        <w:t xml:space="preserve"> between </w:t>
      </w:r>
      <w:r w:rsidR="007B7638">
        <w:rPr>
          <w:spacing w:val="-4"/>
        </w:rPr>
        <w:t>an</w:t>
      </w:r>
      <w:r w:rsidR="00665C80">
        <w:rPr>
          <w:spacing w:val="-4"/>
        </w:rPr>
        <w:t xml:space="preserve"> applicant</w:t>
      </w:r>
      <w:r w:rsidR="00692CBE">
        <w:rPr>
          <w:spacing w:val="-4"/>
        </w:rPr>
        <w:t>, assisted by an interpreter,</w:t>
      </w:r>
      <w:r w:rsidR="00665C80">
        <w:rPr>
          <w:spacing w:val="-4"/>
        </w:rPr>
        <w:t xml:space="preserve"> and a delegate of the Minister</w:t>
      </w:r>
      <w:r w:rsidR="00103813">
        <w:rPr>
          <w:spacing w:val="-4"/>
        </w:rPr>
        <w:t xml:space="preserve">. </w:t>
      </w:r>
      <w:r w:rsidR="007D3799">
        <w:rPr>
          <w:spacing w:val="-4"/>
        </w:rPr>
        <w:t>In each case, t</w:t>
      </w:r>
      <w:r w:rsidR="009926F3">
        <w:rPr>
          <w:spacing w:val="-4"/>
        </w:rPr>
        <w:t xml:space="preserve">he High Court was asked to </w:t>
      </w:r>
      <w:r w:rsidR="00C11366">
        <w:rPr>
          <w:spacing w:val="-4"/>
        </w:rPr>
        <w:t>decide</w:t>
      </w:r>
      <w:r w:rsidR="009926F3">
        <w:rPr>
          <w:spacing w:val="-4"/>
        </w:rPr>
        <w:t xml:space="preserve"> whether translation errors </w:t>
      </w:r>
      <w:r w:rsidR="006B7E0B">
        <w:rPr>
          <w:spacing w:val="-4"/>
        </w:rPr>
        <w:t xml:space="preserve">resulted in the </w:t>
      </w:r>
      <w:r w:rsidR="006A35A3">
        <w:rPr>
          <w:spacing w:val="-4"/>
        </w:rPr>
        <w:t xml:space="preserve">Authority's </w:t>
      </w:r>
      <w:r w:rsidR="006B7E0B">
        <w:rPr>
          <w:spacing w:val="-4"/>
        </w:rPr>
        <w:t xml:space="preserve">decision being affected by jurisdictional error. </w:t>
      </w:r>
    </w:p>
    <w:p w14:paraId="10BDF4E3" w14:textId="0DF5AA3E" w:rsidR="00E95074" w:rsidRDefault="00E95074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56B3A729" w14:textId="21D21F52" w:rsidR="00882B55" w:rsidRDefault="000C0E31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>The High Court</w:t>
      </w:r>
      <w:r w:rsidR="00413A68">
        <w:rPr>
          <w:spacing w:val="-4"/>
        </w:rPr>
        <w:t xml:space="preserve"> observed </w:t>
      </w:r>
      <w:r>
        <w:rPr>
          <w:spacing w:val="-4"/>
        </w:rPr>
        <w:t xml:space="preserve">that </w:t>
      </w:r>
      <w:r w:rsidR="00CD65A0">
        <w:rPr>
          <w:spacing w:val="-4"/>
        </w:rPr>
        <w:t>whether</w:t>
      </w:r>
      <w:r w:rsidR="00DE0B76">
        <w:rPr>
          <w:spacing w:val="-4"/>
        </w:rPr>
        <w:t xml:space="preserve"> </w:t>
      </w:r>
      <w:r w:rsidR="00CD65A0">
        <w:rPr>
          <w:spacing w:val="-4"/>
        </w:rPr>
        <w:t xml:space="preserve">and if so in what circumstances mistranslation might result in </w:t>
      </w:r>
      <w:r w:rsidR="00E55C6A">
        <w:rPr>
          <w:spacing w:val="-4"/>
        </w:rPr>
        <w:t xml:space="preserve">jurisdictional error </w:t>
      </w:r>
      <w:r w:rsidR="00CD65A0">
        <w:rPr>
          <w:spacing w:val="-4"/>
        </w:rPr>
        <w:t xml:space="preserve">turns necessarily on </w:t>
      </w:r>
      <w:r w:rsidR="00413A68">
        <w:rPr>
          <w:spacing w:val="-4"/>
        </w:rPr>
        <w:t xml:space="preserve">whether </w:t>
      </w:r>
      <w:r w:rsidR="00DE0B76">
        <w:rPr>
          <w:spacing w:val="-4"/>
        </w:rPr>
        <w:t xml:space="preserve">and if so in what circumstances mistranslation might result in </w:t>
      </w:r>
      <w:r w:rsidR="00D16F71">
        <w:rPr>
          <w:spacing w:val="-4"/>
        </w:rPr>
        <w:t>non-compliance with a condition expressed</w:t>
      </w:r>
      <w:r w:rsidR="00D10350">
        <w:rPr>
          <w:spacing w:val="-4"/>
        </w:rPr>
        <w:t xml:space="preserve"> in</w:t>
      </w:r>
      <w:r w:rsidR="00D16F71">
        <w:rPr>
          <w:spacing w:val="-4"/>
        </w:rPr>
        <w:t xml:space="preserve"> or implied into the statute which authorises the decision-making process and sets the limits of the decision-making authority. </w:t>
      </w:r>
      <w:r w:rsidR="00882B55">
        <w:rPr>
          <w:spacing w:val="-4"/>
        </w:rPr>
        <w:t>In relation to a decision of the Authority under Pt 7AA, t</w:t>
      </w:r>
      <w:r w:rsidR="00E95074">
        <w:rPr>
          <w:spacing w:val="-4"/>
        </w:rPr>
        <w:t xml:space="preserve">he High Court </w:t>
      </w:r>
      <w:r w:rsidR="00733628">
        <w:rPr>
          <w:spacing w:val="-4"/>
        </w:rPr>
        <w:t xml:space="preserve">explained that there are two ways in which translation errors </w:t>
      </w:r>
      <w:r w:rsidR="00406653">
        <w:rPr>
          <w:spacing w:val="-4"/>
        </w:rPr>
        <w:t>might</w:t>
      </w:r>
      <w:r w:rsidR="008B241B">
        <w:rPr>
          <w:spacing w:val="-4"/>
        </w:rPr>
        <w:t xml:space="preserve"> result</w:t>
      </w:r>
      <w:r w:rsidR="00324913">
        <w:rPr>
          <w:spacing w:val="-4"/>
        </w:rPr>
        <w:t xml:space="preserve"> </w:t>
      </w:r>
      <w:r w:rsidR="009F1AB1">
        <w:rPr>
          <w:spacing w:val="-4"/>
        </w:rPr>
        <w:t>i</w:t>
      </w:r>
      <w:r w:rsidR="004922EE">
        <w:rPr>
          <w:spacing w:val="-4"/>
        </w:rPr>
        <w:t xml:space="preserve">n </w:t>
      </w:r>
      <w:r w:rsidR="008D6882">
        <w:rPr>
          <w:spacing w:val="-4"/>
        </w:rPr>
        <w:t>non-compliance w</w:t>
      </w:r>
      <w:r w:rsidR="005904B7">
        <w:rPr>
          <w:spacing w:val="-4"/>
        </w:rPr>
        <w:t xml:space="preserve">ith express or implied statutory conditions. </w:t>
      </w:r>
    </w:p>
    <w:p w14:paraId="139A8643" w14:textId="77777777" w:rsidR="00882B55" w:rsidRDefault="00882B55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5385AC80" w14:textId="4EE39CA3" w:rsidR="000E60D7" w:rsidRDefault="008B241B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 xml:space="preserve">The first </w:t>
      </w:r>
      <w:r w:rsidR="00F27253">
        <w:rPr>
          <w:spacing w:val="-4"/>
        </w:rPr>
        <w:t xml:space="preserve">involves </w:t>
      </w:r>
      <w:r w:rsidR="005904B7">
        <w:rPr>
          <w:spacing w:val="-4"/>
        </w:rPr>
        <w:t xml:space="preserve">breach of the </w:t>
      </w:r>
      <w:r w:rsidR="00A505FF">
        <w:rPr>
          <w:spacing w:val="-4"/>
        </w:rPr>
        <w:t>implied</w:t>
      </w:r>
      <w:r w:rsidR="00B80E0C">
        <w:rPr>
          <w:spacing w:val="-4"/>
        </w:rPr>
        <w:t xml:space="preserve"> </w:t>
      </w:r>
      <w:r w:rsidR="002C7288">
        <w:rPr>
          <w:spacing w:val="-4"/>
        </w:rPr>
        <w:t>condition of reasonableness</w:t>
      </w:r>
      <w:r w:rsidR="00844349">
        <w:rPr>
          <w:spacing w:val="-4"/>
        </w:rPr>
        <w:t xml:space="preserve">. </w:t>
      </w:r>
      <w:r w:rsidR="00247A5A">
        <w:rPr>
          <w:spacing w:val="-4"/>
        </w:rPr>
        <w:t>In circumstances w</w:t>
      </w:r>
      <w:r w:rsidR="00A505FF">
        <w:rPr>
          <w:spacing w:val="-4"/>
        </w:rPr>
        <w:t xml:space="preserve">here the Authority </w:t>
      </w:r>
      <w:r w:rsidR="003C2412">
        <w:rPr>
          <w:spacing w:val="-4"/>
        </w:rPr>
        <w:t>has knowledge of</w:t>
      </w:r>
      <w:r w:rsidR="00F5577D">
        <w:rPr>
          <w:spacing w:val="-4"/>
        </w:rPr>
        <w:t xml:space="preserve"> </w:t>
      </w:r>
      <w:r w:rsidR="00A505FF">
        <w:rPr>
          <w:spacing w:val="-4"/>
        </w:rPr>
        <w:t>translation error</w:t>
      </w:r>
      <w:r w:rsidR="003C2412">
        <w:rPr>
          <w:spacing w:val="-4"/>
        </w:rPr>
        <w:t>s</w:t>
      </w:r>
      <w:r w:rsidR="00A505FF">
        <w:rPr>
          <w:spacing w:val="-4"/>
        </w:rPr>
        <w:t xml:space="preserve">, </w:t>
      </w:r>
      <w:r w:rsidR="003C2412">
        <w:rPr>
          <w:spacing w:val="-4"/>
        </w:rPr>
        <w:t>the Authority</w:t>
      </w:r>
      <w:r w:rsidR="00A505FF">
        <w:rPr>
          <w:spacing w:val="-4"/>
        </w:rPr>
        <w:t xml:space="preserve"> </w:t>
      </w:r>
      <w:r w:rsidR="00247A5A">
        <w:rPr>
          <w:spacing w:val="-4"/>
        </w:rPr>
        <w:t xml:space="preserve">might breach </w:t>
      </w:r>
      <w:r w:rsidR="00842603">
        <w:rPr>
          <w:spacing w:val="-4"/>
        </w:rPr>
        <w:t>th</w:t>
      </w:r>
      <w:r w:rsidR="00247A5A">
        <w:rPr>
          <w:spacing w:val="-4"/>
        </w:rPr>
        <w:t xml:space="preserve">e </w:t>
      </w:r>
      <w:r w:rsidR="006D2762">
        <w:rPr>
          <w:spacing w:val="-4"/>
        </w:rPr>
        <w:t>condition of reasonableness</w:t>
      </w:r>
      <w:r w:rsidR="009474C9">
        <w:rPr>
          <w:spacing w:val="-4"/>
        </w:rPr>
        <w:t xml:space="preserve"> implied into its powers to get and consider new information </w:t>
      </w:r>
      <w:r w:rsidR="00CD4522">
        <w:rPr>
          <w:spacing w:val="-4"/>
        </w:rPr>
        <w:t xml:space="preserve">if it </w:t>
      </w:r>
      <w:r w:rsidR="008219D5">
        <w:rPr>
          <w:spacing w:val="-4"/>
        </w:rPr>
        <w:t>fail</w:t>
      </w:r>
      <w:r w:rsidR="00CD4522">
        <w:rPr>
          <w:spacing w:val="-4"/>
        </w:rPr>
        <w:t>s</w:t>
      </w:r>
      <w:r w:rsidR="008219D5">
        <w:rPr>
          <w:spacing w:val="-4"/>
        </w:rPr>
        <w:t xml:space="preserve"> </w:t>
      </w:r>
      <w:r w:rsidR="009474C9">
        <w:rPr>
          <w:spacing w:val="-4"/>
        </w:rPr>
        <w:t xml:space="preserve">to exercise those powers to </w:t>
      </w:r>
      <w:r w:rsidR="008219D5">
        <w:rPr>
          <w:spacing w:val="-4"/>
        </w:rPr>
        <w:t xml:space="preserve">interview the referred applicant and then consider the applicant's testimony as correctly translated. </w:t>
      </w:r>
      <w:r w:rsidR="00F2176E">
        <w:rPr>
          <w:spacing w:val="-4"/>
        </w:rPr>
        <w:t xml:space="preserve">The </w:t>
      </w:r>
      <w:r w:rsidR="008219D5">
        <w:rPr>
          <w:spacing w:val="-4"/>
        </w:rPr>
        <w:t>Authority might</w:t>
      </w:r>
      <w:r w:rsidR="00F2176E">
        <w:rPr>
          <w:spacing w:val="-4"/>
        </w:rPr>
        <w:t xml:space="preserve"> equally</w:t>
      </w:r>
      <w:r w:rsidR="00093ADC">
        <w:rPr>
          <w:spacing w:val="-4"/>
        </w:rPr>
        <w:t xml:space="preserve"> breach the reasonableness condition implied into its duty to review the referred decision by considering the review material </w:t>
      </w:r>
      <w:r w:rsidR="00CD4522">
        <w:rPr>
          <w:spacing w:val="-4"/>
        </w:rPr>
        <w:t>if it makes</w:t>
      </w:r>
      <w:r w:rsidR="004653D0">
        <w:rPr>
          <w:spacing w:val="-4"/>
        </w:rPr>
        <w:t xml:space="preserve"> findings </w:t>
      </w:r>
      <w:r w:rsidR="00FC6DBC">
        <w:rPr>
          <w:spacing w:val="-4"/>
        </w:rPr>
        <w:t xml:space="preserve">adverse </w:t>
      </w:r>
      <w:r w:rsidR="004653D0">
        <w:rPr>
          <w:spacing w:val="-4"/>
        </w:rPr>
        <w:t xml:space="preserve">to the applicant with knowledge of the translation errors, without having exercised its powers to get and consider new information which might address those errors. </w:t>
      </w:r>
      <w:r w:rsidR="001D1233">
        <w:rPr>
          <w:spacing w:val="-4"/>
        </w:rPr>
        <w:t>The second way in which translation errors might</w:t>
      </w:r>
      <w:r w:rsidR="00272790">
        <w:rPr>
          <w:spacing w:val="-4"/>
        </w:rPr>
        <w:t xml:space="preserve"> result in </w:t>
      </w:r>
      <w:r w:rsidR="00345FF8">
        <w:rPr>
          <w:spacing w:val="-4"/>
        </w:rPr>
        <w:t xml:space="preserve">non-compliance with Pt 7AA </w:t>
      </w:r>
      <w:r w:rsidR="00272790">
        <w:rPr>
          <w:spacing w:val="-4"/>
        </w:rPr>
        <w:t>is through non-compliance with the Authority's overriding duty to "review" the referred decision</w:t>
      </w:r>
      <w:r w:rsidR="00A4735D">
        <w:rPr>
          <w:spacing w:val="-4"/>
        </w:rPr>
        <w:t xml:space="preserve">. </w:t>
      </w:r>
      <w:r w:rsidR="009A5F7A">
        <w:rPr>
          <w:spacing w:val="-4"/>
        </w:rPr>
        <w:t xml:space="preserve">Mistranslation has the potential to result in the Authority failing to understand and therefore to consider the substance of </w:t>
      </w:r>
      <w:r w:rsidR="000D6F1D">
        <w:rPr>
          <w:spacing w:val="-4"/>
        </w:rPr>
        <w:t>an</w:t>
      </w:r>
      <w:r w:rsidR="009A5F7A">
        <w:rPr>
          <w:spacing w:val="-4"/>
        </w:rPr>
        <w:t xml:space="preserve"> applicant's claim. Mistranslation in that way has the potential to result in the Authority failing to discharge the core element of its overriding duty</w:t>
      </w:r>
      <w:r w:rsidR="0082772E">
        <w:rPr>
          <w:spacing w:val="-4"/>
        </w:rPr>
        <w:t xml:space="preserve">, namely to </w:t>
      </w:r>
      <w:r w:rsidR="00AE619F">
        <w:rPr>
          <w:spacing w:val="-4"/>
        </w:rPr>
        <w:t xml:space="preserve">assess the claims </w:t>
      </w:r>
      <w:r w:rsidR="00AA37F4">
        <w:rPr>
          <w:spacing w:val="-4"/>
        </w:rPr>
        <w:t>for</w:t>
      </w:r>
      <w:r w:rsidR="00AE619F">
        <w:rPr>
          <w:spacing w:val="-4"/>
        </w:rPr>
        <w:t xml:space="preserve"> protection in fact made by </w:t>
      </w:r>
      <w:r w:rsidR="000D6F1D">
        <w:rPr>
          <w:spacing w:val="-4"/>
        </w:rPr>
        <w:t>an</w:t>
      </w:r>
      <w:r w:rsidR="00AE619F">
        <w:rPr>
          <w:spacing w:val="-4"/>
        </w:rPr>
        <w:t xml:space="preserve"> applicant against the criteria for the grant of the visa in determining for itself whether it is satisfied that the criteria for the grant of the visa have been met. </w:t>
      </w:r>
    </w:p>
    <w:p w14:paraId="13368228" w14:textId="2D2BF753" w:rsidR="00DB6F74" w:rsidRDefault="00DB6F74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0A2DCDAA" w14:textId="33AA5FE6" w:rsidR="00BC4CAC" w:rsidRDefault="00DB6F74" w:rsidP="00F61F1F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>In each of the cases under appeal,</w:t>
      </w:r>
      <w:r w:rsidR="0098006D">
        <w:rPr>
          <w:spacing w:val="-4"/>
        </w:rPr>
        <w:t xml:space="preserve"> </w:t>
      </w:r>
      <w:r>
        <w:rPr>
          <w:spacing w:val="-4"/>
        </w:rPr>
        <w:t>the High Court held that the translation error</w:t>
      </w:r>
      <w:r w:rsidR="00E847D6">
        <w:rPr>
          <w:spacing w:val="-4"/>
        </w:rPr>
        <w:t>s</w:t>
      </w:r>
      <w:r w:rsidR="0098006D">
        <w:rPr>
          <w:spacing w:val="-4"/>
        </w:rPr>
        <w:t xml:space="preserve"> </w:t>
      </w:r>
      <w:r>
        <w:rPr>
          <w:spacing w:val="-4"/>
        </w:rPr>
        <w:t xml:space="preserve">did not result in </w:t>
      </w:r>
      <w:r w:rsidR="00C536F8">
        <w:rPr>
          <w:spacing w:val="-4"/>
        </w:rPr>
        <w:t>jurisdictional error</w:t>
      </w:r>
      <w:r>
        <w:rPr>
          <w:spacing w:val="-4"/>
        </w:rPr>
        <w:t>.</w:t>
      </w:r>
      <w:r w:rsidR="00160658">
        <w:rPr>
          <w:spacing w:val="-4"/>
        </w:rPr>
        <w:t xml:space="preserve"> In </w:t>
      </w:r>
      <w:r w:rsidR="00EC30AA" w:rsidRPr="004A3F02">
        <w:rPr>
          <w:i/>
          <w:spacing w:val="-4"/>
        </w:rPr>
        <w:t>DVO16</w:t>
      </w:r>
      <w:r w:rsidR="00EC30AA">
        <w:rPr>
          <w:spacing w:val="-4"/>
        </w:rPr>
        <w:t xml:space="preserve">, the translation errors could not have borne on the question of reasonableness because the Authority was not aware of them. In </w:t>
      </w:r>
      <w:r w:rsidR="00EC30AA" w:rsidRPr="00B65F47">
        <w:rPr>
          <w:i/>
          <w:spacing w:val="-4"/>
        </w:rPr>
        <w:t>BNB17</w:t>
      </w:r>
      <w:r w:rsidR="00EC30AA">
        <w:rPr>
          <w:spacing w:val="-4"/>
        </w:rPr>
        <w:t xml:space="preserve">, although the Authority was aware of three examples of errors, </w:t>
      </w:r>
      <w:r w:rsidR="005A3ACD">
        <w:rPr>
          <w:spacing w:val="-4"/>
        </w:rPr>
        <w:t xml:space="preserve">the High Court held that </w:t>
      </w:r>
      <w:r w:rsidR="00EC30AA">
        <w:rPr>
          <w:spacing w:val="-4"/>
        </w:rPr>
        <w:t xml:space="preserve">those errors were not so grave or extensive as to render the course adopted by the Authority unreasonable. </w:t>
      </w:r>
      <w:r w:rsidR="00627C8E">
        <w:rPr>
          <w:spacing w:val="-4"/>
        </w:rPr>
        <w:t>As to</w:t>
      </w:r>
      <w:r w:rsidR="00344681">
        <w:rPr>
          <w:spacing w:val="-4"/>
        </w:rPr>
        <w:t xml:space="preserve"> t</w:t>
      </w:r>
      <w:r w:rsidR="00627C8E">
        <w:rPr>
          <w:spacing w:val="-4"/>
        </w:rPr>
        <w:t>he second way</w:t>
      </w:r>
      <w:r w:rsidR="007F0913">
        <w:rPr>
          <w:spacing w:val="-4"/>
        </w:rPr>
        <w:t xml:space="preserve"> in which invalidity could occur,</w:t>
      </w:r>
      <w:r w:rsidR="00FF0DD4">
        <w:rPr>
          <w:spacing w:val="-4"/>
        </w:rPr>
        <w:t xml:space="preserve"> i</w:t>
      </w:r>
      <w:r w:rsidR="00252623">
        <w:rPr>
          <w:spacing w:val="-4"/>
        </w:rPr>
        <w:t>n each case</w:t>
      </w:r>
      <w:r w:rsidR="007F0913">
        <w:rPr>
          <w:spacing w:val="-4"/>
        </w:rPr>
        <w:t xml:space="preserve"> </w:t>
      </w:r>
      <w:r w:rsidR="00252623">
        <w:rPr>
          <w:spacing w:val="-4"/>
        </w:rPr>
        <w:t xml:space="preserve">the High Court held that the </w:t>
      </w:r>
      <w:r w:rsidR="00EC5BB1">
        <w:rPr>
          <w:spacing w:val="-4"/>
        </w:rPr>
        <w:t xml:space="preserve">translation </w:t>
      </w:r>
      <w:r w:rsidR="00252623">
        <w:rPr>
          <w:spacing w:val="-4"/>
        </w:rPr>
        <w:t xml:space="preserve">errors </w:t>
      </w:r>
      <w:r w:rsidR="005D012A">
        <w:rPr>
          <w:spacing w:val="-4"/>
        </w:rPr>
        <w:t>did not result in the Authority failing to understand and therefore</w:t>
      </w:r>
      <w:r w:rsidR="00FA4C58">
        <w:rPr>
          <w:spacing w:val="-4"/>
        </w:rPr>
        <w:t xml:space="preserve"> to</w:t>
      </w:r>
      <w:r w:rsidR="005D012A">
        <w:rPr>
          <w:spacing w:val="-4"/>
        </w:rPr>
        <w:t xml:space="preserve"> consider the appellant</w:t>
      </w:r>
      <w:r w:rsidR="008171A9">
        <w:rPr>
          <w:spacing w:val="-4"/>
        </w:rPr>
        <w:t>'s</w:t>
      </w:r>
      <w:r w:rsidR="005D012A">
        <w:rPr>
          <w:spacing w:val="-4"/>
        </w:rPr>
        <w:t xml:space="preserve"> claims.  </w:t>
      </w:r>
    </w:p>
    <w:p w14:paraId="2CC19061" w14:textId="77777777" w:rsidR="00026F5A" w:rsidRDefault="00026F5A" w:rsidP="00F61F1F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2014669D" w14:textId="77777777" w:rsidR="0045059D" w:rsidRPr="002C3B34" w:rsidRDefault="0045059D" w:rsidP="00107D6A">
      <w:pPr>
        <w:pStyle w:val="ListParagraph"/>
        <w:tabs>
          <w:tab w:val="left" w:pos="464"/>
        </w:tabs>
        <w:kinsoku w:val="0"/>
        <w:overflowPunct w:val="0"/>
        <w:ind w:firstLine="0"/>
        <w:rPr>
          <w:i/>
          <w:iCs/>
          <w:sz w:val="20"/>
          <w:szCs w:val="22"/>
        </w:rPr>
      </w:pPr>
      <w:r w:rsidRPr="002C3B34">
        <w:rPr>
          <w:i/>
          <w:iCs/>
          <w:sz w:val="20"/>
          <w:szCs w:val="22"/>
        </w:rPr>
        <w:t>This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statement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is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not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intended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to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be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a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substitute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for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the</w:t>
      </w:r>
      <w:r w:rsidRPr="002C3B34">
        <w:rPr>
          <w:i/>
          <w:iCs/>
          <w:spacing w:val="-5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reasons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of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the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High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Court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or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to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be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used</w:t>
      </w:r>
      <w:r w:rsidRPr="002C3B34">
        <w:rPr>
          <w:i/>
          <w:iCs/>
          <w:spacing w:val="-5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in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any later consideration of the Court’s reasons.</w:t>
      </w:r>
    </w:p>
    <w:p w14:paraId="49B156E6" w14:textId="77777777" w:rsidR="0045059D" w:rsidRDefault="0045059D" w:rsidP="0045059D">
      <w:pPr>
        <w:pStyle w:val="BodyText"/>
        <w:tabs>
          <w:tab w:val="left" w:pos="4307"/>
        </w:tabs>
        <w:kinsoku w:val="0"/>
        <w:overflowPunct w:val="0"/>
        <w:spacing w:before="146"/>
        <w:ind w:left="1879" w:right="22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Please direct enquiries to Ben Wickham, Senior Executive Deputy</w:t>
      </w:r>
      <w:r>
        <w:rPr>
          <w:rFonts w:ascii="Arial" w:hAnsi="Arial" w:cs="Arial"/>
          <w:b/>
          <w:bCs/>
          <w:spacing w:val="-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Registrar Telephone: (02)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6270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6893</w:t>
      </w:r>
      <w:r>
        <w:rPr>
          <w:rFonts w:ascii="Arial" w:hAnsi="Arial" w:cs="Arial"/>
          <w:b/>
          <w:bCs/>
          <w:sz w:val="16"/>
          <w:szCs w:val="16"/>
        </w:rPr>
        <w:tab/>
        <w:t>Fax: (02) 6270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6868</w:t>
      </w:r>
    </w:p>
    <w:p w14:paraId="335F826F" w14:textId="77777777" w:rsidR="00755EE2" w:rsidRPr="00F43992" w:rsidRDefault="0045059D" w:rsidP="00F43992">
      <w:pPr>
        <w:pStyle w:val="BodyText"/>
        <w:tabs>
          <w:tab w:val="left" w:pos="2894"/>
        </w:tabs>
        <w:kinsoku w:val="0"/>
        <w:overflowPunct w:val="0"/>
        <w:spacing w:line="183" w:lineRule="exact"/>
        <w:ind w:righ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Email: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hyperlink r:id="rId13" w:history="1">
        <w:r>
          <w:rPr>
            <w:rFonts w:ascii="Arial" w:hAnsi="Arial" w:cs="Arial"/>
            <w:b/>
            <w:bCs/>
            <w:sz w:val="16"/>
            <w:szCs w:val="16"/>
          </w:rPr>
          <w:t>enquiries@hcourt.gov.au</w:t>
        </w:r>
      </w:hyperlink>
      <w:r>
        <w:rPr>
          <w:rFonts w:ascii="Arial" w:hAnsi="Arial" w:cs="Arial"/>
          <w:b/>
          <w:bCs/>
          <w:sz w:val="16"/>
          <w:szCs w:val="16"/>
        </w:rPr>
        <w:tab/>
        <w:t xml:space="preserve">Website: </w:t>
      </w:r>
      <w:hyperlink r:id="rId14" w:history="1">
        <w:r>
          <w:rPr>
            <w:rFonts w:ascii="Arial" w:hAnsi="Arial" w:cs="Arial"/>
            <w:b/>
            <w:bCs/>
            <w:sz w:val="16"/>
            <w:szCs w:val="16"/>
          </w:rPr>
          <w:t>www.hcourt.gov.au</w:t>
        </w:r>
      </w:hyperlink>
    </w:p>
    <w:sectPr w:rsidR="00755EE2" w:rsidRPr="00F43992" w:rsidSect="003C587F">
      <w:type w:val="continuous"/>
      <w:pgSz w:w="11910" w:h="16850"/>
      <w:pgMar w:top="1040" w:right="840" w:bottom="0" w:left="1200" w:header="720" w:footer="720" w:gutter="0"/>
      <w:cols w:space="720" w:equalWidth="0">
        <w:col w:w="987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AF6F" w14:textId="77777777" w:rsidR="002916BC" w:rsidRDefault="002916BC" w:rsidP="0045059D">
      <w:r>
        <w:separator/>
      </w:r>
    </w:p>
  </w:endnote>
  <w:endnote w:type="continuationSeparator" w:id="0">
    <w:p w14:paraId="1B382C62" w14:textId="77777777" w:rsidR="002916BC" w:rsidRDefault="002916BC" w:rsidP="0045059D">
      <w:r>
        <w:continuationSeparator/>
      </w:r>
    </w:p>
  </w:endnote>
  <w:endnote w:type="continuationNotice" w:id="1">
    <w:p w14:paraId="33E32A8E" w14:textId="77777777" w:rsidR="002916BC" w:rsidRDefault="00291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DC08" w14:textId="77777777" w:rsidR="002916BC" w:rsidRDefault="002916BC" w:rsidP="0045059D">
      <w:r>
        <w:separator/>
      </w:r>
    </w:p>
  </w:footnote>
  <w:footnote w:type="continuationSeparator" w:id="0">
    <w:p w14:paraId="19AF27B2" w14:textId="77777777" w:rsidR="002916BC" w:rsidRDefault="002916BC" w:rsidP="0045059D">
      <w:r>
        <w:continuationSeparator/>
      </w:r>
    </w:p>
  </w:footnote>
  <w:footnote w:type="continuationNotice" w:id="1">
    <w:p w14:paraId="658323A4" w14:textId="77777777" w:rsidR="002916BC" w:rsidRDefault="00291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6B8" w14:textId="77241942" w:rsidR="003C587F" w:rsidRDefault="003C587F" w:rsidP="003C587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3481" w14:textId="42113D19" w:rsidR="003C587F" w:rsidRDefault="003C587F" w:rsidP="003C58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00" w:hanging="361"/>
      </w:pPr>
    </w:lvl>
    <w:lvl w:ilvl="2">
      <w:numFmt w:val="bullet"/>
      <w:lvlText w:val="•"/>
      <w:lvlJc w:val="left"/>
      <w:pPr>
        <w:ind w:left="2341" w:hanging="361"/>
      </w:pPr>
    </w:lvl>
    <w:lvl w:ilvl="3">
      <w:numFmt w:val="bullet"/>
      <w:lvlText w:val="•"/>
      <w:lvlJc w:val="left"/>
      <w:pPr>
        <w:ind w:left="3281" w:hanging="361"/>
      </w:pPr>
    </w:lvl>
    <w:lvl w:ilvl="4">
      <w:numFmt w:val="bullet"/>
      <w:lvlText w:val="•"/>
      <w:lvlJc w:val="left"/>
      <w:pPr>
        <w:ind w:left="4222" w:hanging="361"/>
      </w:pPr>
    </w:lvl>
    <w:lvl w:ilvl="5">
      <w:numFmt w:val="bullet"/>
      <w:lvlText w:val="•"/>
      <w:lvlJc w:val="left"/>
      <w:pPr>
        <w:ind w:left="5163" w:hanging="361"/>
      </w:pPr>
    </w:lvl>
    <w:lvl w:ilvl="6">
      <w:numFmt w:val="bullet"/>
      <w:lvlText w:val="•"/>
      <w:lvlJc w:val="left"/>
      <w:pPr>
        <w:ind w:left="6103" w:hanging="361"/>
      </w:pPr>
    </w:lvl>
    <w:lvl w:ilvl="7">
      <w:numFmt w:val="bullet"/>
      <w:lvlText w:val="•"/>
      <w:lvlJc w:val="left"/>
      <w:pPr>
        <w:ind w:left="7044" w:hanging="361"/>
      </w:pPr>
    </w:lvl>
    <w:lvl w:ilvl="8">
      <w:numFmt w:val="bullet"/>
      <w:lvlText w:val="•"/>
      <w:lvlJc w:val="left"/>
      <w:pPr>
        <w:ind w:left="798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9D"/>
    <w:rsid w:val="00010C51"/>
    <w:rsid w:val="00012CD8"/>
    <w:rsid w:val="00016139"/>
    <w:rsid w:val="00021B08"/>
    <w:rsid w:val="00023FDC"/>
    <w:rsid w:val="00026F5A"/>
    <w:rsid w:val="00031F9F"/>
    <w:rsid w:val="00033359"/>
    <w:rsid w:val="00052295"/>
    <w:rsid w:val="000562D7"/>
    <w:rsid w:val="000640C4"/>
    <w:rsid w:val="00066FEB"/>
    <w:rsid w:val="00067B66"/>
    <w:rsid w:val="00080464"/>
    <w:rsid w:val="00080B7E"/>
    <w:rsid w:val="00082CE7"/>
    <w:rsid w:val="00082EE7"/>
    <w:rsid w:val="00093A8B"/>
    <w:rsid w:val="00093ADC"/>
    <w:rsid w:val="000A61C4"/>
    <w:rsid w:val="000B08EF"/>
    <w:rsid w:val="000C0E31"/>
    <w:rsid w:val="000C142B"/>
    <w:rsid w:val="000C5235"/>
    <w:rsid w:val="000D2F7C"/>
    <w:rsid w:val="000D5E92"/>
    <w:rsid w:val="000D6F1D"/>
    <w:rsid w:val="000E409B"/>
    <w:rsid w:val="000E60D7"/>
    <w:rsid w:val="000E6591"/>
    <w:rsid w:val="000E6DA6"/>
    <w:rsid w:val="00103813"/>
    <w:rsid w:val="00103B59"/>
    <w:rsid w:val="001063D5"/>
    <w:rsid w:val="00107D6A"/>
    <w:rsid w:val="00156D7B"/>
    <w:rsid w:val="00160658"/>
    <w:rsid w:val="00160C95"/>
    <w:rsid w:val="001672D8"/>
    <w:rsid w:val="00171329"/>
    <w:rsid w:val="00171CEF"/>
    <w:rsid w:val="001A1580"/>
    <w:rsid w:val="001B2230"/>
    <w:rsid w:val="001C5D0D"/>
    <w:rsid w:val="001D1233"/>
    <w:rsid w:val="001D60D0"/>
    <w:rsid w:val="001E2E25"/>
    <w:rsid w:val="001E33FD"/>
    <w:rsid w:val="001F2C6C"/>
    <w:rsid w:val="00203305"/>
    <w:rsid w:val="00204429"/>
    <w:rsid w:val="0020565A"/>
    <w:rsid w:val="00211EEE"/>
    <w:rsid w:val="00217AC9"/>
    <w:rsid w:val="00222F54"/>
    <w:rsid w:val="00224A0B"/>
    <w:rsid w:val="002273EE"/>
    <w:rsid w:val="00227796"/>
    <w:rsid w:val="00231155"/>
    <w:rsid w:val="00233FE3"/>
    <w:rsid w:val="00235F96"/>
    <w:rsid w:val="00240452"/>
    <w:rsid w:val="002472AE"/>
    <w:rsid w:val="00247A5A"/>
    <w:rsid w:val="002510B9"/>
    <w:rsid w:val="00252623"/>
    <w:rsid w:val="002549A2"/>
    <w:rsid w:val="00255686"/>
    <w:rsid w:val="00257036"/>
    <w:rsid w:val="0026583E"/>
    <w:rsid w:val="0027269C"/>
    <w:rsid w:val="00272790"/>
    <w:rsid w:val="00275C32"/>
    <w:rsid w:val="00277FED"/>
    <w:rsid w:val="002856B0"/>
    <w:rsid w:val="0028698A"/>
    <w:rsid w:val="002916BC"/>
    <w:rsid w:val="00296933"/>
    <w:rsid w:val="002A235A"/>
    <w:rsid w:val="002A49C9"/>
    <w:rsid w:val="002B0E99"/>
    <w:rsid w:val="002B23D8"/>
    <w:rsid w:val="002C1850"/>
    <w:rsid w:val="002C1EE0"/>
    <w:rsid w:val="002C2D09"/>
    <w:rsid w:val="002C6E59"/>
    <w:rsid w:val="002C7193"/>
    <w:rsid w:val="002C7288"/>
    <w:rsid w:val="002D2DDA"/>
    <w:rsid w:val="002F0960"/>
    <w:rsid w:val="002F1442"/>
    <w:rsid w:val="002F182F"/>
    <w:rsid w:val="002F444A"/>
    <w:rsid w:val="002F796F"/>
    <w:rsid w:val="00302CFB"/>
    <w:rsid w:val="00306CDB"/>
    <w:rsid w:val="0032168B"/>
    <w:rsid w:val="00324913"/>
    <w:rsid w:val="0033140D"/>
    <w:rsid w:val="0033272F"/>
    <w:rsid w:val="003332DE"/>
    <w:rsid w:val="003340A1"/>
    <w:rsid w:val="003353B6"/>
    <w:rsid w:val="00340CCD"/>
    <w:rsid w:val="00341049"/>
    <w:rsid w:val="00344681"/>
    <w:rsid w:val="00345FF8"/>
    <w:rsid w:val="00355BEA"/>
    <w:rsid w:val="0036766E"/>
    <w:rsid w:val="003777A1"/>
    <w:rsid w:val="003801D0"/>
    <w:rsid w:val="00381EC8"/>
    <w:rsid w:val="003A54D7"/>
    <w:rsid w:val="003B5226"/>
    <w:rsid w:val="003C2412"/>
    <w:rsid w:val="003C587F"/>
    <w:rsid w:val="00404549"/>
    <w:rsid w:val="00406653"/>
    <w:rsid w:val="00413A68"/>
    <w:rsid w:val="00423CDD"/>
    <w:rsid w:val="0043431C"/>
    <w:rsid w:val="00436BFE"/>
    <w:rsid w:val="00437055"/>
    <w:rsid w:val="0045059D"/>
    <w:rsid w:val="00453159"/>
    <w:rsid w:val="00456CA6"/>
    <w:rsid w:val="00463C48"/>
    <w:rsid w:val="004653D0"/>
    <w:rsid w:val="00470A8F"/>
    <w:rsid w:val="00473224"/>
    <w:rsid w:val="00480949"/>
    <w:rsid w:val="0048259E"/>
    <w:rsid w:val="00485903"/>
    <w:rsid w:val="004922EE"/>
    <w:rsid w:val="0049337F"/>
    <w:rsid w:val="004A06DE"/>
    <w:rsid w:val="004A227F"/>
    <w:rsid w:val="004A3F02"/>
    <w:rsid w:val="004A7D76"/>
    <w:rsid w:val="004C62D5"/>
    <w:rsid w:val="004D69AB"/>
    <w:rsid w:val="004F0C05"/>
    <w:rsid w:val="004F1F51"/>
    <w:rsid w:val="004F295E"/>
    <w:rsid w:val="004F6997"/>
    <w:rsid w:val="00500E20"/>
    <w:rsid w:val="00502DA8"/>
    <w:rsid w:val="00504BAC"/>
    <w:rsid w:val="00526B43"/>
    <w:rsid w:val="0056008C"/>
    <w:rsid w:val="0056128A"/>
    <w:rsid w:val="0056200F"/>
    <w:rsid w:val="00567AB9"/>
    <w:rsid w:val="00572200"/>
    <w:rsid w:val="00572FED"/>
    <w:rsid w:val="00581ED2"/>
    <w:rsid w:val="005904B7"/>
    <w:rsid w:val="0059452D"/>
    <w:rsid w:val="005A3ACD"/>
    <w:rsid w:val="005A735B"/>
    <w:rsid w:val="005B0A3B"/>
    <w:rsid w:val="005B315A"/>
    <w:rsid w:val="005C0EF4"/>
    <w:rsid w:val="005C4469"/>
    <w:rsid w:val="005C4702"/>
    <w:rsid w:val="005D012A"/>
    <w:rsid w:val="005E2837"/>
    <w:rsid w:val="005F7E5C"/>
    <w:rsid w:val="00600A6F"/>
    <w:rsid w:val="00622576"/>
    <w:rsid w:val="00627C8E"/>
    <w:rsid w:val="006302F8"/>
    <w:rsid w:val="00631A3C"/>
    <w:rsid w:val="00633670"/>
    <w:rsid w:val="00637FC7"/>
    <w:rsid w:val="006402BE"/>
    <w:rsid w:val="006420B5"/>
    <w:rsid w:val="0065485E"/>
    <w:rsid w:val="00665C80"/>
    <w:rsid w:val="00671F57"/>
    <w:rsid w:val="00675A52"/>
    <w:rsid w:val="00692CBE"/>
    <w:rsid w:val="006A3319"/>
    <w:rsid w:val="006A35A3"/>
    <w:rsid w:val="006B7E0B"/>
    <w:rsid w:val="006C62B6"/>
    <w:rsid w:val="006C68D3"/>
    <w:rsid w:val="006D016A"/>
    <w:rsid w:val="006D2762"/>
    <w:rsid w:val="007078E0"/>
    <w:rsid w:val="007103F1"/>
    <w:rsid w:val="00710DC2"/>
    <w:rsid w:val="007139B1"/>
    <w:rsid w:val="00731746"/>
    <w:rsid w:val="00733628"/>
    <w:rsid w:val="00734F61"/>
    <w:rsid w:val="007437BD"/>
    <w:rsid w:val="007466B2"/>
    <w:rsid w:val="00755EE2"/>
    <w:rsid w:val="0075649D"/>
    <w:rsid w:val="0075655A"/>
    <w:rsid w:val="00767398"/>
    <w:rsid w:val="00767EA0"/>
    <w:rsid w:val="0077585F"/>
    <w:rsid w:val="00781025"/>
    <w:rsid w:val="00783B01"/>
    <w:rsid w:val="0079212D"/>
    <w:rsid w:val="007A3E01"/>
    <w:rsid w:val="007A4299"/>
    <w:rsid w:val="007B003A"/>
    <w:rsid w:val="007B7638"/>
    <w:rsid w:val="007C10AC"/>
    <w:rsid w:val="007D3799"/>
    <w:rsid w:val="007E0367"/>
    <w:rsid w:val="007E76F5"/>
    <w:rsid w:val="007F0913"/>
    <w:rsid w:val="007F2DD4"/>
    <w:rsid w:val="007F5839"/>
    <w:rsid w:val="007F620B"/>
    <w:rsid w:val="00805595"/>
    <w:rsid w:val="00816AB2"/>
    <w:rsid w:val="008171A9"/>
    <w:rsid w:val="008219D5"/>
    <w:rsid w:val="00826C6C"/>
    <w:rsid w:val="008274A1"/>
    <w:rsid w:val="0082772E"/>
    <w:rsid w:val="008301F3"/>
    <w:rsid w:val="008346F9"/>
    <w:rsid w:val="00836AAD"/>
    <w:rsid w:val="00841FEC"/>
    <w:rsid w:val="00842603"/>
    <w:rsid w:val="0084372D"/>
    <w:rsid w:val="00844349"/>
    <w:rsid w:val="0085117A"/>
    <w:rsid w:val="008542FC"/>
    <w:rsid w:val="008545D1"/>
    <w:rsid w:val="008570E9"/>
    <w:rsid w:val="0085796F"/>
    <w:rsid w:val="00861D56"/>
    <w:rsid w:val="008807D2"/>
    <w:rsid w:val="008809B7"/>
    <w:rsid w:val="00882467"/>
    <w:rsid w:val="00882B55"/>
    <w:rsid w:val="00892EAA"/>
    <w:rsid w:val="008A58B8"/>
    <w:rsid w:val="008B241B"/>
    <w:rsid w:val="008B4376"/>
    <w:rsid w:val="008D4F38"/>
    <w:rsid w:val="008D6882"/>
    <w:rsid w:val="008E473F"/>
    <w:rsid w:val="008E7DD5"/>
    <w:rsid w:val="008F4B38"/>
    <w:rsid w:val="009110C7"/>
    <w:rsid w:val="00914D6A"/>
    <w:rsid w:val="009161CF"/>
    <w:rsid w:val="00916374"/>
    <w:rsid w:val="00916D47"/>
    <w:rsid w:val="00923BBE"/>
    <w:rsid w:val="009256B7"/>
    <w:rsid w:val="0092778B"/>
    <w:rsid w:val="00942E76"/>
    <w:rsid w:val="0094698B"/>
    <w:rsid w:val="009474C9"/>
    <w:rsid w:val="00951E1E"/>
    <w:rsid w:val="009552AF"/>
    <w:rsid w:val="00961DC8"/>
    <w:rsid w:val="009759E3"/>
    <w:rsid w:val="0098006D"/>
    <w:rsid w:val="00982163"/>
    <w:rsid w:val="00990255"/>
    <w:rsid w:val="009906FE"/>
    <w:rsid w:val="009926F3"/>
    <w:rsid w:val="009A41F9"/>
    <w:rsid w:val="009A5F7A"/>
    <w:rsid w:val="009B3F9A"/>
    <w:rsid w:val="009C532B"/>
    <w:rsid w:val="009E2492"/>
    <w:rsid w:val="009F1AB1"/>
    <w:rsid w:val="009F1C7E"/>
    <w:rsid w:val="009F51D2"/>
    <w:rsid w:val="00A0366C"/>
    <w:rsid w:val="00A074A3"/>
    <w:rsid w:val="00A206C0"/>
    <w:rsid w:val="00A32397"/>
    <w:rsid w:val="00A34A86"/>
    <w:rsid w:val="00A42506"/>
    <w:rsid w:val="00A4698D"/>
    <w:rsid w:val="00A4735D"/>
    <w:rsid w:val="00A505FF"/>
    <w:rsid w:val="00A538B1"/>
    <w:rsid w:val="00A561C8"/>
    <w:rsid w:val="00A67935"/>
    <w:rsid w:val="00A7030A"/>
    <w:rsid w:val="00A816ED"/>
    <w:rsid w:val="00A81A4E"/>
    <w:rsid w:val="00A823DB"/>
    <w:rsid w:val="00A94D63"/>
    <w:rsid w:val="00AA37F4"/>
    <w:rsid w:val="00AB1099"/>
    <w:rsid w:val="00AB670B"/>
    <w:rsid w:val="00AC031C"/>
    <w:rsid w:val="00AC41D9"/>
    <w:rsid w:val="00AC4C8D"/>
    <w:rsid w:val="00AC60A7"/>
    <w:rsid w:val="00AD0E8F"/>
    <w:rsid w:val="00AE619F"/>
    <w:rsid w:val="00B00023"/>
    <w:rsid w:val="00B12083"/>
    <w:rsid w:val="00B15C9C"/>
    <w:rsid w:val="00B163B1"/>
    <w:rsid w:val="00B16BA7"/>
    <w:rsid w:val="00B20D1D"/>
    <w:rsid w:val="00B2124B"/>
    <w:rsid w:val="00B2310C"/>
    <w:rsid w:val="00B24447"/>
    <w:rsid w:val="00B2465E"/>
    <w:rsid w:val="00B31ACB"/>
    <w:rsid w:val="00B43298"/>
    <w:rsid w:val="00B442BA"/>
    <w:rsid w:val="00B443CA"/>
    <w:rsid w:val="00B50BFE"/>
    <w:rsid w:val="00B55055"/>
    <w:rsid w:val="00B55E17"/>
    <w:rsid w:val="00B56268"/>
    <w:rsid w:val="00B56614"/>
    <w:rsid w:val="00B60732"/>
    <w:rsid w:val="00B610D9"/>
    <w:rsid w:val="00B64674"/>
    <w:rsid w:val="00B65F47"/>
    <w:rsid w:val="00B71180"/>
    <w:rsid w:val="00B80E0C"/>
    <w:rsid w:val="00B91557"/>
    <w:rsid w:val="00BA3EBC"/>
    <w:rsid w:val="00BA6694"/>
    <w:rsid w:val="00BA7D69"/>
    <w:rsid w:val="00BB6BE5"/>
    <w:rsid w:val="00BB7205"/>
    <w:rsid w:val="00BC4CAC"/>
    <w:rsid w:val="00BC5492"/>
    <w:rsid w:val="00BC7438"/>
    <w:rsid w:val="00BD2E74"/>
    <w:rsid w:val="00BD7B2B"/>
    <w:rsid w:val="00BD7BC5"/>
    <w:rsid w:val="00BE0596"/>
    <w:rsid w:val="00BE4917"/>
    <w:rsid w:val="00BF1066"/>
    <w:rsid w:val="00BF2598"/>
    <w:rsid w:val="00BF3F28"/>
    <w:rsid w:val="00C039D3"/>
    <w:rsid w:val="00C11366"/>
    <w:rsid w:val="00C12644"/>
    <w:rsid w:val="00C13546"/>
    <w:rsid w:val="00C15BE0"/>
    <w:rsid w:val="00C23C4B"/>
    <w:rsid w:val="00C24E36"/>
    <w:rsid w:val="00C26325"/>
    <w:rsid w:val="00C32DE5"/>
    <w:rsid w:val="00C355CF"/>
    <w:rsid w:val="00C369E5"/>
    <w:rsid w:val="00C37EF6"/>
    <w:rsid w:val="00C41A76"/>
    <w:rsid w:val="00C45422"/>
    <w:rsid w:val="00C536F8"/>
    <w:rsid w:val="00C539FC"/>
    <w:rsid w:val="00C56FDA"/>
    <w:rsid w:val="00C81DFB"/>
    <w:rsid w:val="00C81E90"/>
    <w:rsid w:val="00C83575"/>
    <w:rsid w:val="00C90CC2"/>
    <w:rsid w:val="00C939A3"/>
    <w:rsid w:val="00C93C92"/>
    <w:rsid w:val="00CA1D8E"/>
    <w:rsid w:val="00CC0969"/>
    <w:rsid w:val="00CC283D"/>
    <w:rsid w:val="00CD186F"/>
    <w:rsid w:val="00CD4522"/>
    <w:rsid w:val="00CD5843"/>
    <w:rsid w:val="00CD65A0"/>
    <w:rsid w:val="00CE4425"/>
    <w:rsid w:val="00CF6E70"/>
    <w:rsid w:val="00CF79D5"/>
    <w:rsid w:val="00D00345"/>
    <w:rsid w:val="00D06052"/>
    <w:rsid w:val="00D10350"/>
    <w:rsid w:val="00D143A9"/>
    <w:rsid w:val="00D14484"/>
    <w:rsid w:val="00D14C7D"/>
    <w:rsid w:val="00D16F71"/>
    <w:rsid w:val="00D1759B"/>
    <w:rsid w:val="00D25F92"/>
    <w:rsid w:val="00D316B4"/>
    <w:rsid w:val="00D436F7"/>
    <w:rsid w:val="00D4758C"/>
    <w:rsid w:val="00D53F92"/>
    <w:rsid w:val="00D541A5"/>
    <w:rsid w:val="00D66860"/>
    <w:rsid w:val="00D7117A"/>
    <w:rsid w:val="00D75251"/>
    <w:rsid w:val="00D86A0F"/>
    <w:rsid w:val="00D93905"/>
    <w:rsid w:val="00D94C53"/>
    <w:rsid w:val="00DA23A2"/>
    <w:rsid w:val="00DB112A"/>
    <w:rsid w:val="00DB1D2C"/>
    <w:rsid w:val="00DB59F1"/>
    <w:rsid w:val="00DB6F74"/>
    <w:rsid w:val="00DC5E50"/>
    <w:rsid w:val="00DE0B76"/>
    <w:rsid w:val="00DF2310"/>
    <w:rsid w:val="00DF3B38"/>
    <w:rsid w:val="00E0585A"/>
    <w:rsid w:val="00E1768A"/>
    <w:rsid w:val="00E5408F"/>
    <w:rsid w:val="00E55C6A"/>
    <w:rsid w:val="00E56C04"/>
    <w:rsid w:val="00E56F92"/>
    <w:rsid w:val="00E77A0B"/>
    <w:rsid w:val="00E77B9E"/>
    <w:rsid w:val="00E83D76"/>
    <w:rsid w:val="00E847D6"/>
    <w:rsid w:val="00E85523"/>
    <w:rsid w:val="00E8784C"/>
    <w:rsid w:val="00E91C47"/>
    <w:rsid w:val="00E94E83"/>
    <w:rsid w:val="00E95074"/>
    <w:rsid w:val="00E95F8A"/>
    <w:rsid w:val="00EA6B43"/>
    <w:rsid w:val="00EB2683"/>
    <w:rsid w:val="00EB5FC3"/>
    <w:rsid w:val="00EC0014"/>
    <w:rsid w:val="00EC30AA"/>
    <w:rsid w:val="00EC5BB1"/>
    <w:rsid w:val="00ED1A3D"/>
    <w:rsid w:val="00ED212B"/>
    <w:rsid w:val="00ED56DB"/>
    <w:rsid w:val="00EE08D3"/>
    <w:rsid w:val="00EE1E02"/>
    <w:rsid w:val="00EE5773"/>
    <w:rsid w:val="00EE6E3E"/>
    <w:rsid w:val="00EF60B1"/>
    <w:rsid w:val="00EF6505"/>
    <w:rsid w:val="00F00F10"/>
    <w:rsid w:val="00F0102D"/>
    <w:rsid w:val="00F0716D"/>
    <w:rsid w:val="00F07DDE"/>
    <w:rsid w:val="00F1559D"/>
    <w:rsid w:val="00F2176E"/>
    <w:rsid w:val="00F27253"/>
    <w:rsid w:val="00F32302"/>
    <w:rsid w:val="00F413D9"/>
    <w:rsid w:val="00F43992"/>
    <w:rsid w:val="00F51139"/>
    <w:rsid w:val="00F51890"/>
    <w:rsid w:val="00F53A81"/>
    <w:rsid w:val="00F5577D"/>
    <w:rsid w:val="00F608DB"/>
    <w:rsid w:val="00F61F1F"/>
    <w:rsid w:val="00F6780C"/>
    <w:rsid w:val="00F73707"/>
    <w:rsid w:val="00F76135"/>
    <w:rsid w:val="00F8048D"/>
    <w:rsid w:val="00F91BA8"/>
    <w:rsid w:val="00FA4C58"/>
    <w:rsid w:val="00FA4D8A"/>
    <w:rsid w:val="00FA54CC"/>
    <w:rsid w:val="00FB153D"/>
    <w:rsid w:val="00FB5183"/>
    <w:rsid w:val="00FC47DF"/>
    <w:rsid w:val="00FC6DBC"/>
    <w:rsid w:val="00FD1573"/>
    <w:rsid w:val="00FD7A4B"/>
    <w:rsid w:val="00FD7C8D"/>
    <w:rsid w:val="00FE014F"/>
    <w:rsid w:val="00FE40A9"/>
    <w:rsid w:val="00FE5A9E"/>
    <w:rsid w:val="00FF0DD4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05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59D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45059D"/>
    <w:pPr>
      <w:spacing w:before="121"/>
      <w:ind w:left="463" w:right="462" w:hanging="3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9D"/>
    <w:rPr>
      <w:rFonts w:ascii="Times New Roman" w:eastAsiaTheme="minorEastAsia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D"/>
    <w:rPr>
      <w:rFonts w:ascii="Segoe UI" w:eastAsiaTheme="minorEastAsia" w:hAnsi="Segoe UI" w:cs="Segoe UI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0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9D"/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hcourt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cour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8fe3c49d4c3a51b49b5820eb6965a167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17bf54a0125c5ec0ccecfca21bb236bd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59788-D72C-4C42-9FAB-A76E179D0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8F5CE-6FDF-44E4-9AF9-69CCBD49B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F491-F7FA-4317-AFC3-E883E36D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3400</Characters>
  <Application>Microsoft Office Word</Application>
  <DocSecurity>0</DocSecurity>
  <Lines>59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4029</CharactersWithSpaces>
  <SharedDoc>false</SharedDoc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http://www.hcourt.gov.au/</vt:lpwstr>
      </vt:variant>
      <vt:variant>
        <vt:lpwstr/>
      </vt:variant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mailto:enquiries@hcourt.gov.au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2021-04-08T07:41:00Z</cp:lastPrinted>
  <dcterms:created xsi:type="dcterms:W3CDTF">2021-04-14T00:02:00Z</dcterms:created>
  <dcterms:modified xsi:type="dcterms:W3CDTF">2021-04-14T00:02:00Z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