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866D" w14:textId="548D1250" w:rsidR="0045059D" w:rsidRDefault="00183E53" w:rsidP="00183E53">
      <w:pPr>
        <w:pStyle w:val="BodyText"/>
        <w:kinsoku w:val="0"/>
        <w:overflowPunct w:val="0"/>
        <w:ind w:left="402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047296" wp14:editId="3CFCBA8D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0477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052">
        <w:rPr>
          <w:sz w:val="20"/>
          <w:szCs w:val="20"/>
        </w:rPr>
        <w:br w:type="textWrapping" w:clear="all"/>
      </w:r>
    </w:p>
    <w:p w14:paraId="5DBED7F7" w14:textId="77777777" w:rsidR="0045059D" w:rsidRDefault="0045059D" w:rsidP="0045059D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7D700CCC" w14:textId="77777777" w:rsidR="0045059D" w:rsidRPr="002C3B34" w:rsidRDefault="0045059D" w:rsidP="0045059D">
      <w:pPr>
        <w:pStyle w:val="BodyText"/>
        <w:kinsoku w:val="0"/>
        <w:overflowPunct w:val="0"/>
        <w:spacing w:before="6"/>
        <w:rPr>
          <w:sz w:val="16"/>
          <w:szCs w:val="15"/>
        </w:rPr>
        <w:sectPr w:rsidR="0045059D" w:rsidRPr="002C3B34" w:rsidSect="0045059D">
          <w:headerReference w:type="default" r:id="rId11"/>
          <w:headerReference w:type="first" r:id="rId12"/>
          <w:pgSz w:w="11910" w:h="16850"/>
          <w:pgMar w:top="709" w:right="840" w:bottom="0" w:left="1200" w:header="720" w:footer="720" w:gutter="0"/>
          <w:cols w:space="720"/>
          <w:noEndnote/>
          <w:titlePg/>
          <w:docGrid w:linePitch="299"/>
        </w:sectPr>
      </w:pPr>
    </w:p>
    <w:p w14:paraId="4EA7E7CB" w14:textId="77777777" w:rsidR="0045059D" w:rsidRDefault="0045059D" w:rsidP="0045059D">
      <w:pPr>
        <w:pStyle w:val="BodyText"/>
        <w:kinsoku w:val="0"/>
        <w:overflowPunct w:val="0"/>
        <w:spacing w:before="92"/>
        <w:ind w:left="2356"/>
        <w:jc w:val="center"/>
        <w:rPr>
          <w:rFonts w:ascii="Arial" w:hAnsi="Arial" w:cs="Arial"/>
          <w:spacing w:val="-39"/>
          <w:sz w:val="28"/>
          <w:szCs w:val="28"/>
        </w:rPr>
      </w:pPr>
      <w:bookmarkStart w:id="0" w:name="_GoBack"/>
      <w:r>
        <w:rPr>
          <w:rFonts w:ascii="Arial" w:hAnsi="Arial" w:cs="Arial"/>
          <w:spacing w:val="26"/>
          <w:sz w:val="28"/>
          <w:szCs w:val="28"/>
        </w:rPr>
        <w:t>HIGH COURT OF AUSTRALIA</w:t>
      </w:r>
    </w:p>
    <w:bookmarkEnd w:id="0"/>
    <w:p w14:paraId="1A742FFD" w14:textId="77777777" w:rsidR="0045059D" w:rsidRDefault="0045059D" w:rsidP="0045059D">
      <w:pPr>
        <w:pStyle w:val="BodyText"/>
        <w:kinsoku w:val="0"/>
        <w:overflowPunct w:val="0"/>
        <w:spacing w:before="5"/>
        <w:rPr>
          <w:rFonts w:ascii="Arial" w:hAnsi="Arial" w:cs="Arial"/>
          <w:sz w:val="38"/>
          <w:szCs w:val="38"/>
        </w:rPr>
      </w:pPr>
      <w:r>
        <w:br w:type="column"/>
      </w:r>
    </w:p>
    <w:p w14:paraId="7661BD32" w14:textId="77777777" w:rsidR="0045059D" w:rsidRPr="00EE02C7" w:rsidRDefault="0045059D" w:rsidP="0045059D">
      <w:pPr>
        <w:pStyle w:val="BodyText"/>
        <w:kinsoku w:val="0"/>
        <w:overflowPunct w:val="0"/>
        <w:spacing w:before="5"/>
        <w:jc w:val="right"/>
        <w:rPr>
          <w:rFonts w:ascii="Arial" w:hAnsi="Arial" w:cs="Arial"/>
          <w:sz w:val="38"/>
          <w:szCs w:val="38"/>
        </w:rPr>
        <w:sectPr w:rsidR="0045059D" w:rsidRPr="00EE02C7">
          <w:type w:val="continuous"/>
          <w:pgSz w:w="11910" w:h="16850"/>
          <w:pgMar w:top="1040" w:right="840" w:bottom="0" w:left="1200" w:header="720" w:footer="720" w:gutter="0"/>
          <w:cols w:num="2" w:space="720" w:equalWidth="0">
            <w:col w:w="7151" w:space="40"/>
            <w:col w:w="2679"/>
          </w:cols>
          <w:noEndnote/>
        </w:sectPr>
      </w:pPr>
      <w:r>
        <w:t>3 February 2021</w:t>
      </w:r>
    </w:p>
    <w:p w14:paraId="1EA42186" w14:textId="77777777" w:rsidR="0045059D" w:rsidRPr="002C3B34" w:rsidRDefault="0045059D" w:rsidP="0045059D">
      <w:pPr>
        <w:pStyle w:val="BodyText"/>
        <w:kinsoku w:val="0"/>
        <w:overflowPunct w:val="0"/>
        <w:spacing w:before="5"/>
        <w:rPr>
          <w:sz w:val="16"/>
          <w:szCs w:val="18"/>
        </w:rPr>
      </w:pPr>
    </w:p>
    <w:p w14:paraId="19A6DCFC" w14:textId="323A4F46" w:rsidR="0045059D" w:rsidRDefault="0045059D" w:rsidP="0045059D">
      <w:pPr>
        <w:pStyle w:val="BodyText"/>
        <w:kinsoku w:val="0"/>
        <w:overflowPunct w:val="0"/>
        <w:ind w:right="89"/>
        <w:jc w:val="center"/>
      </w:pPr>
      <w:r w:rsidRPr="00E52ABD">
        <w:rPr>
          <w:u w:val="single"/>
        </w:rPr>
        <w:t>MINISTER FOR IMMIGRATION AND BORDER PROTECTION v MAKASA</w:t>
      </w:r>
      <w:r w:rsidRPr="00E52ABD">
        <w:t xml:space="preserve"> </w:t>
      </w:r>
      <w:r w:rsidRPr="00E52ABD">
        <w:br/>
        <w:t>[202</w:t>
      </w:r>
      <w:r w:rsidR="00E52ABD">
        <w:t>1</w:t>
      </w:r>
      <w:r w:rsidRPr="00E52ABD">
        <w:t xml:space="preserve">] HCA </w:t>
      </w:r>
      <w:r w:rsidR="00E52ABD" w:rsidRPr="00E52ABD">
        <w:t>1</w:t>
      </w:r>
    </w:p>
    <w:p w14:paraId="31787814" w14:textId="77777777" w:rsidR="0045059D" w:rsidRPr="002C3B34" w:rsidRDefault="0045059D" w:rsidP="0045059D">
      <w:pPr>
        <w:pStyle w:val="BodyText"/>
        <w:kinsoku w:val="0"/>
        <w:overflowPunct w:val="0"/>
        <w:rPr>
          <w:sz w:val="16"/>
        </w:rPr>
      </w:pPr>
    </w:p>
    <w:p w14:paraId="75A36A82" w14:textId="14C92DA1" w:rsidR="0045059D" w:rsidRDefault="00923BBE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t>On 12 November 2020</w:t>
      </w:r>
      <w:r w:rsidR="00D75251">
        <w:t>,</w:t>
      </w:r>
      <w:r w:rsidR="0045059D">
        <w:rPr>
          <w:spacing w:val="-9"/>
        </w:rPr>
        <w:t xml:space="preserve"> </w:t>
      </w:r>
      <w:r w:rsidR="0045059D">
        <w:t>the</w:t>
      </w:r>
      <w:r w:rsidR="0045059D">
        <w:rPr>
          <w:spacing w:val="-5"/>
        </w:rPr>
        <w:t xml:space="preserve"> </w:t>
      </w:r>
      <w:r w:rsidR="0045059D">
        <w:t>High</w:t>
      </w:r>
      <w:r w:rsidR="0045059D">
        <w:rPr>
          <w:spacing w:val="-3"/>
        </w:rPr>
        <w:t xml:space="preserve"> </w:t>
      </w:r>
      <w:r w:rsidR="0045059D">
        <w:t>Court</w:t>
      </w:r>
      <w:r w:rsidR="0045059D">
        <w:rPr>
          <w:spacing w:val="-3"/>
        </w:rPr>
        <w:t xml:space="preserve"> </w:t>
      </w:r>
      <w:r w:rsidR="0045059D">
        <w:t>unanimously</w:t>
      </w:r>
      <w:r w:rsidR="0045059D">
        <w:rPr>
          <w:spacing w:val="-8"/>
        </w:rPr>
        <w:t xml:space="preserve"> </w:t>
      </w:r>
      <w:r w:rsidR="001C5D0D">
        <w:t>dismissed</w:t>
      </w:r>
      <w:r w:rsidR="0045059D">
        <w:rPr>
          <w:spacing w:val="-4"/>
        </w:rPr>
        <w:t xml:space="preserve"> an appeal from a judgment of the </w:t>
      </w:r>
      <w:r w:rsidR="00107D6A">
        <w:rPr>
          <w:spacing w:val="-4"/>
        </w:rPr>
        <w:t xml:space="preserve">Full </w:t>
      </w:r>
      <w:r w:rsidR="00FC47DF">
        <w:rPr>
          <w:spacing w:val="-4"/>
        </w:rPr>
        <w:t xml:space="preserve">Court of the </w:t>
      </w:r>
      <w:r w:rsidR="0045059D">
        <w:rPr>
          <w:spacing w:val="-4"/>
        </w:rPr>
        <w:t>Federal Court of Australia</w:t>
      </w:r>
      <w:r w:rsidR="009759E3">
        <w:rPr>
          <w:spacing w:val="-4"/>
        </w:rPr>
        <w:t xml:space="preserve"> ("Full Court")</w:t>
      </w:r>
      <w:r w:rsidR="0045059D">
        <w:rPr>
          <w:spacing w:val="-4"/>
        </w:rPr>
        <w:t xml:space="preserve">. </w:t>
      </w:r>
      <w:r w:rsidR="00D75251">
        <w:rPr>
          <w:spacing w:val="-4"/>
        </w:rPr>
        <w:t xml:space="preserve">Today, the High Court published its reasons for that decision. </w:t>
      </w:r>
      <w:r w:rsidR="0045059D">
        <w:rPr>
          <w:spacing w:val="-4"/>
        </w:rPr>
        <w:t xml:space="preserve">The question </w:t>
      </w:r>
      <w:r w:rsidR="001C5D0D">
        <w:rPr>
          <w:spacing w:val="-4"/>
        </w:rPr>
        <w:t>for determination</w:t>
      </w:r>
      <w:r w:rsidR="0045059D">
        <w:rPr>
          <w:spacing w:val="-4"/>
        </w:rPr>
        <w:t xml:space="preserve"> was whether the Minister for Immigration and Border Protection ("the Minister") could re-exercise the power conferred by </w:t>
      </w:r>
      <w:r w:rsidR="001C5D0D">
        <w:rPr>
          <w:spacing w:val="-4"/>
        </w:rPr>
        <w:t xml:space="preserve">s 501(2) of </w:t>
      </w:r>
      <w:r w:rsidR="0045059D">
        <w:rPr>
          <w:spacing w:val="-4"/>
        </w:rPr>
        <w:t xml:space="preserve">the </w:t>
      </w:r>
      <w:r w:rsidR="0045059D" w:rsidRPr="0045059D">
        <w:rPr>
          <w:i/>
          <w:spacing w:val="-4"/>
        </w:rPr>
        <w:t xml:space="preserve">Migration Act 1958 </w:t>
      </w:r>
      <w:r w:rsidR="0045059D">
        <w:rPr>
          <w:spacing w:val="-4"/>
        </w:rPr>
        <w:t>(Cth)</w:t>
      </w:r>
      <w:r w:rsidR="00B443CA">
        <w:rPr>
          <w:spacing w:val="-4"/>
        </w:rPr>
        <w:t xml:space="preserve"> ("the Act")</w:t>
      </w:r>
      <w:r w:rsidR="0045059D">
        <w:rPr>
          <w:spacing w:val="-4"/>
        </w:rPr>
        <w:t xml:space="preserve"> to cancel a visa on character grounds </w:t>
      </w:r>
      <w:r w:rsidR="001C5D0D">
        <w:rPr>
          <w:spacing w:val="-4"/>
        </w:rPr>
        <w:t xml:space="preserve">after </w:t>
      </w:r>
      <w:r w:rsidR="0045059D">
        <w:rPr>
          <w:spacing w:val="-4"/>
        </w:rPr>
        <w:t>the Administrative Appeals Tribunal</w:t>
      </w:r>
      <w:r w:rsidR="00C039D3">
        <w:rPr>
          <w:spacing w:val="-4"/>
        </w:rPr>
        <w:t xml:space="preserve"> ("AAT")</w:t>
      </w:r>
      <w:r w:rsidR="0045059D">
        <w:rPr>
          <w:spacing w:val="-4"/>
        </w:rPr>
        <w:t xml:space="preserve"> had </w:t>
      </w:r>
      <w:r w:rsidR="00B56268">
        <w:rPr>
          <w:spacing w:val="-4"/>
        </w:rPr>
        <w:t xml:space="preserve">set </w:t>
      </w:r>
      <w:r w:rsidR="001C5D0D">
        <w:rPr>
          <w:spacing w:val="-4"/>
        </w:rPr>
        <w:t>aside a prior decision of the delegate of the Minister to cancel the visa and substi</w:t>
      </w:r>
      <w:r w:rsidR="00B56268">
        <w:rPr>
          <w:spacing w:val="-4"/>
        </w:rPr>
        <w:t xml:space="preserve">tuted </w:t>
      </w:r>
      <w:r w:rsidR="001C5D0D">
        <w:rPr>
          <w:spacing w:val="-4"/>
        </w:rPr>
        <w:t>a decision that the visa should not be cancelled</w:t>
      </w:r>
      <w:r w:rsidR="00B443CA">
        <w:rPr>
          <w:spacing w:val="-4"/>
        </w:rPr>
        <w:t>.</w:t>
      </w:r>
    </w:p>
    <w:p w14:paraId="1939F5DD" w14:textId="77777777" w:rsidR="00B443CA" w:rsidRDefault="00B443CA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5F99E3D8" w14:textId="20D22A65" w:rsidR="00B443CA" w:rsidRDefault="00031F9F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>F</w:t>
      </w:r>
      <w:r w:rsidR="00B56268">
        <w:rPr>
          <w:spacing w:val="-4"/>
        </w:rPr>
        <w:t xml:space="preserve">ollowing the </w:t>
      </w:r>
      <w:r w:rsidR="00D14484">
        <w:rPr>
          <w:spacing w:val="-4"/>
        </w:rPr>
        <w:t>AAT's decision, t</w:t>
      </w:r>
      <w:r w:rsidR="00B443CA">
        <w:rPr>
          <w:spacing w:val="-4"/>
        </w:rPr>
        <w:t xml:space="preserve">he </w:t>
      </w:r>
      <w:r w:rsidR="000E409B">
        <w:rPr>
          <w:spacing w:val="-4"/>
        </w:rPr>
        <w:t>r</w:t>
      </w:r>
      <w:r w:rsidR="00B443CA">
        <w:rPr>
          <w:spacing w:val="-4"/>
        </w:rPr>
        <w:t xml:space="preserve">espondent was subsequently convicted </w:t>
      </w:r>
      <w:r w:rsidR="002F796F">
        <w:rPr>
          <w:spacing w:val="-4"/>
        </w:rPr>
        <w:t>and sentenced in relation to</w:t>
      </w:r>
      <w:r w:rsidR="00B443CA">
        <w:rPr>
          <w:spacing w:val="-4"/>
        </w:rPr>
        <w:t xml:space="preserve"> two further offences</w:t>
      </w:r>
      <w:r w:rsidR="002F796F">
        <w:rPr>
          <w:spacing w:val="-4"/>
        </w:rPr>
        <w:t xml:space="preserve"> involving failing to comply with reporting obligations and driving under the influence of alcohol. Being satisfied that the </w:t>
      </w:r>
      <w:r w:rsidR="007F620B">
        <w:rPr>
          <w:spacing w:val="-4"/>
        </w:rPr>
        <w:t>r</w:t>
      </w:r>
      <w:r w:rsidR="002F796F">
        <w:rPr>
          <w:spacing w:val="-4"/>
        </w:rPr>
        <w:t>espondent failed to pass the character test solely by reason of the sentences imposed in respect of the earlier convictions</w:t>
      </w:r>
      <w:r w:rsidR="00D14484">
        <w:rPr>
          <w:spacing w:val="-4"/>
        </w:rPr>
        <w:t xml:space="preserve"> that formed the basis of the first cancellation decision</w:t>
      </w:r>
      <w:r w:rsidR="002F796F">
        <w:rPr>
          <w:spacing w:val="-4"/>
        </w:rPr>
        <w:t xml:space="preserve">, but taking the subsequent convictions into account in the exercise of discretion, the Minister personally purported to re-exercise the power conferred by s 501(2) of the Act to cancel the </w:t>
      </w:r>
      <w:r w:rsidR="007F620B">
        <w:rPr>
          <w:spacing w:val="-4"/>
        </w:rPr>
        <w:t>r</w:t>
      </w:r>
      <w:r w:rsidR="002F796F">
        <w:rPr>
          <w:spacing w:val="-4"/>
        </w:rPr>
        <w:t>espondent's visa.</w:t>
      </w:r>
    </w:p>
    <w:p w14:paraId="2DC6B707" w14:textId="77777777" w:rsidR="002F796F" w:rsidRDefault="002F796F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3B684E0D" w14:textId="72BB579E" w:rsidR="002F796F" w:rsidRDefault="002F796F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 xml:space="preserve">The </w:t>
      </w:r>
      <w:r w:rsidR="000E409B">
        <w:rPr>
          <w:spacing w:val="-4"/>
        </w:rPr>
        <w:t>r</w:t>
      </w:r>
      <w:r>
        <w:rPr>
          <w:spacing w:val="-4"/>
        </w:rPr>
        <w:t>espondent applied to the Federal Court</w:t>
      </w:r>
      <w:r w:rsidR="00892EAA">
        <w:rPr>
          <w:spacing w:val="-4"/>
        </w:rPr>
        <w:t xml:space="preserve"> of Australia</w:t>
      </w:r>
      <w:r>
        <w:rPr>
          <w:spacing w:val="-4"/>
        </w:rPr>
        <w:t xml:space="preserve"> for judicial review of the Minister's decision, which was dismissed at first instance. On appeal, the Full Court, by majority, allowed the </w:t>
      </w:r>
      <w:r w:rsidR="007F620B">
        <w:rPr>
          <w:spacing w:val="-4"/>
        </w:rPr>
        <w:t>r</w:t>
      </w:r>
      <w:r>
        <w:rPr>
          <w:spacing w:val="-4"/>
        </w:rPr>
        <w:t xml:space="preserve">espondent's appeal. </w:t>
      </w:r>
      <w:r w:rsidR="00D14484">
        <w:rPr>
          <w:spacing w:val="-4"/>
        </w:rPr>
        <w:t>B</w:t>
      </w:r>
      <w:r>
        <w:rPr>
          <w:spacing w:val="-4"/>
        </w:rPr>
        <w:t xml:space="preserve">y grant of special leave, </w:t>
      </w:r>
      <w:r w:rsidR="00D14484">
        <w:rPr>
          <w:spacing w:val="-4"/>
        </w:rPr>
        <w:t xml:space="preserve">the Minister </w:t>
      </w:r>
      <w:r>
        <w:rPr>
          <w:spacing w:val="-4"/>
        </w:rPr>
        <w:t>appealed t</w:t>
      </w:r>
      <w:r w:rsidR="00107D6A">
        <w:rPr>
          <w:spacing w:val="-4"/>
        </w:rPr>
        <w:t>o the High Court</w:t>
      </w:r>
      <w:r>
        <w:rPr>
          <w:spacing w:val="-4"/>
        </w:rPr>
        <w:t xml:space="preserve">. The High Court </w:t>
      </w:r>
      <w:r w:rsidR="00107D6A">
        <w:rPr>
          <w:spacing w:val="-4"/>
        </w:rPr>
        <w:t>upheld the orders of the Full Court but gave different reasons for its decision</w:t>
      </w:r>
      <w:r w:rsidR="00F43992">
        <w:rPr>
          <w:spacing w:val="-4"/>
        </w:rPr>
        <w:t xml:space="preserve">. </w:t>
      </w:r>
    </w:p>
    <w:p w14:paraId="2B871FA4" w14:textId="77777777" w:rsidR="00107D6A" w:rsidRDefault="00107D6A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</w:p>
    <w:p w14:paraId="7EE130A7" w14:textId="54669660" w:rsidR="00B443CA" w:rsidRDefault="0077585F" w:rsidP="0045059D">
      <w:pPr>
        <w:pStyle w:val="BodyText"/>
        <w:kinsoku w:val="0"/>
        <w:overflowPunct w:val="0"/>
        <w:ind w:left="103" w:right="178"/>
        <w:jc w:val="both"/>
        <w:rPr>
          <w:spacing w:val="-4"/>
        </w:rPr>
      </w:pPr>
      <w:r>
        <w:rPr>
          <w:spacing w:val="-4"/>
        </w:rPr>
        <w:t>The High Court reasoned that the answer to the question for determination turned on whether, and to what extent, there appear</w:t>
      </w:r>
      <w:r w:rsidR="00F43992">
        <w:rPr>
          <w:spacing w:val="-4"/>
        </w:rPr>
        <w:t>ed</w:t>
      </w:r>
      <w:r>
        <w:rPr>
          <w:spacing w:val="-4"/>
        </w:rPr>
        <w:t xml:space="preserve"> sufficiently for the purposes of s 2 of the </w:t>
      </w:r>
      <w:r w:rsidRPr="0077585F">
        <w:rPr>
          <w:i/>
          <w:spacing w:val="-4"/>
        </w:rPr>
        <w:t>Acts Interpretation Act 1901</w:t>
      </w:r>
      <w:r>
        <w:rPr>
          <w:spacing w:val="-4"/>
        </w:rPr>
        <w:t xml:space="preserve"> (Cth) ("the AI Act") an intention contrary to the application of the general prescription in s 33(1) of the AI Act that a statutory power "may be exercised ... from time to time as occasion requires".</w:t>
      </w:r>
      <w:r w:rsidR="005C0EF4">
        <w:rPr>
          <w:spacing w:val="-4"/>
        </w:rPr>
        <w:t xml:space="preserve"> </w:t>
      </w:r>
      <w:r w:rsidR="00016139">
        <w:rPr>
          <w:spacing w:val="-4"/>
        </w:rPr>
        <w:t xml:space="preserve">The High Court held that, where </w:t>
      </w:r>
      <w:r w:rsidR="00C90CC2">
        <w:rPr>
          <w:spacing w:val="-4"/>
        </w:rPr>
        <w:t xml:space="preserve">there is no different </w:t>
      </w:r>
      <w:r w:rsidR="00FD7A4B">
        <w:rPr>
          <w:spacing w:val="-4"/>
        </w:rPr>
        <w:t xml:space="preserve">factual </w:t>
      </w:r>
      <w:r w:rsidR="00C90CC2">
        <w:rPr>
          <w:spacing w:val="-4"/>
        </w:rPr>
        <w:t xml:space="preserve">basis on which to form a reasonable suspicion that </w:t>
      </w:r>
      <w:r w:rsidR="008F4B38">
        <w:rPr>
          <w:spacing w:val="-4"/>
        </w:rPr>
        <w:t xml:space="preserve">a </w:t>
      </w:r>
      <w:r w:rsidR="00C90CC2">
        <w:rPr>
          <w:spacing w:val="-4"/>
        </w:rPr>
        <w:t>person does not pass the character test, such an intention emerges by reference to two principal consideration</w:t>
      </w:r>
      <w:r w:rsidR="00E52ABD">
        <w:rPr>
          <w:spacing w:val="-4"/>
        </w:rPr>
        <w:t>s</w:t>
      </w:r>
      <w:r w:rsidR="00F43992">
        <w:rPr>
          <w:spacing w:val="-4"/>
        </w:rPr>
        <w:t xml:space="preserve">. </w:t>
      </w:r>
      <w:r w:rsidR="00C90CC2">
        <w:rPr>
          <w:spacing w:val="-4"/>
        </w:rPr>
        <w:t xml:space="preserve"> </w:t>
      </w:r>
      <w:r w:rsidR="00C369E5">
        <w:rPr>
          <w:spacing w:val="-4"/>
        </w:rPr>
        <w:t>The first is inherent in the nature of the merits review function of the AAT. The function of the AAT</w:t>
      </w:r>
      <w:r w:rsidR="00D14484">
        <w:rPr>
          <w:spacing w:val="-4"/>
        </w:rPr>
        <w:t xml:space="preserve">, the High Court </w:t>
      </w:r>
      <w:r w:rsidR="006C62B6">
        <w:rPr>
          <w:spacing w:val="-4"/>
        </w:rPr>
        <w:t>observed, is</w:t>
      </w:r>
      <w:r w:rsidR="00C369E5">
        <w:rPr>
          <w:spacing w:val="-4"/>
        </w:rPr>
        <w:t xml:space="preserve"> "to do over again" that which was done by the primary decision</w:t>
      </w:r>
      <w:r w:rsidR="00FE5A9E">
        <w:rPr>
          <w:spacing w:val="-4"/>
        </w:rPr>
        <w:t>-</w:t>
      </w:r>
      <w:r w:rsidR="00C369E5">
        <w:rPr>
          <w:spacing w:val="-4"/>
        </w:rPr>
        <w:t>maker</w:t>
      </w:r>
      <w:r w:rsidR="00D14484">
        <w:rPr>
          <w:spacing w:val="-4"/>
        </w:rPr>
        <w:t xml:space="preserve">, and that function </w:t>
      </w:r>
      <w:r w:rsidR="00C369E5">
        <w:rPr>
          <w:spacing w:val="-4"/>
        </w:rPr>
        <w:t xml:space="preserve">would be reduced to a mockery were the subject-matter of the primary decision made by the AAT on review able to be revisited by the primary decision-maker in the unqualified re-exercise of the same statutory power already re-exercised by the AAT in the conduct of the review. </w:t>
      </w:r>
      <w:r w:rsidR="005C4469">
        <w:rPr>
          <w:spacing w:val="-4"/>
        </w:rPr>
        <w:t>The second is the existence of s 501A of the Act, which confers a power on the Mi</w:t>
      </w:r>
      <w:r w:rsidR="00D14484">
        <w:rPr>
          <w:spacing w:val="-4"/>
        </w:rPr>
        <w:t xml:space="preserve">nister to personally re-exercise the power conferred by s 501(2) in certain circumstances. The High Court held that the existence of the special power, subject to limitations and qualifications, means that the general power </w:t>
      </w:r>
      <w:r w:rsidR="00341049">
        <w:rPr>
          <w:spacing w:val="-4"/>
        </w:rPr>
        <w:t>conferred by s 501</w:t>
      </w:r>
      <w:r w:rsidR="00DA23A2">
        <w:rPr>
          <w:spacing w:val="-4"/>
        </w:rPr>
        <w:t>(2)</w:t>
      </w:r>
      <w:r w:rsidR="00D14484">
        <w:rPr>
          <w:spacing w:val="-4"/>
        </w:rPr>
        <w:t xml:space="preserve"> cannot be exercised to do that which is the subject of the special power. </w:t>
      </w:r>
      <w:r w:rsidR="00F43992">
        <w:rPr>
          <w:spacing w:val="-4"/>
        </w:rPr>
        <w:t>The result is that the Minister can only re-exercise the power under s 501(2)</w:t>
      </w:r>
      <w:r w:rsidR="00C24E36">
        <w:rPr>
          <w:spacing w:val="-4"/>
        </w:rPr>
        <w:t xml:space="preserve"> either</w:t>
      </w:r>
      <w:r w:rsidR="00F43992">
        <w:rPr>
          <w:spacing w:val="-4"/>
        </w:rPr>
        <w:t xml:space="preserve"> in reliance on s 501A or where subsequent events or further information provide a different factual basis for forming a reasonable suspicion that the person does not pass the character test.</w:t>
      </w:r>
    </w:p>
    <w:p w14:paraId="2014669D" w14:textId="77777777" w:rsidR="0045059D" w:rsidRPr="002C3B34" w:rsidRDefault="0045059D" w:rsidP="00107D6A">
      <w:pPr>
        <w:pStyle w:val="ListParagraph"/>
        <w:tabs>
          <w:tab w:val="left" w:pos="464"/>
        </w:tabs>
        <w:kinsoku w:val="0"/>
        <w:overflowPunct w:val="0"/>
        <w:ind w:firstLine="0"/>
        <w:rPr>
          <w:i/>
          <w:iCs/>
          <w:sz w:val="20"/>
          <w:szCs w:val="22"/>
        </w:rPr>
      </w:pPr>
      <w:r w:rsidRPr="002C3B34">
        <w:rPr>
          <w:i/>
          <w:iCs/>
          <w:sz w:val="20"/>
          <w:szCs w:val="22"/>
        </w:rPr>
        <w:t>This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statement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is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not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intended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to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be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a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substitute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for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the</w:t>
      </w:r>
      <w:r w:rsidRPr="002C3B34">
        <w:rPr>
          <w:i/>
          <w:iCs/>
          <w:spacing w:val="-5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reasons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of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the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High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Court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or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to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be</w:t>
      </w:r>
      <w:r w:rsidRPr="002C3B34">
        <w:rPr>
          <w:i/>
          <w:iCs/>
          <w:spacing w:val="-2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used</w:t>
      </w:r>
      <w:r w:rsidRPr="002C3B34">
        <w:rPr>
          <w:i/>
          <w:iCs/>
          <w:spacing w:val="-5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in</w:t>
      </w:r>
      <w:r w:rsidRPr="002C3B34">
        <w:rPr>
          <w:i/>
          <w:iCs/>
          <w:spacing w:val="-3"/>
          <w:sz w:val="20"/>
          <w:szCs w:val="22"/>
        </w:rPr>
        <w:t xml:space="preserve"> </w:t>
      </w:r>
      <w:r w:rsidRPr="002C3B34">
        <w:rPr>
          <w:i/>
          <w:iCs/>
          <w:sz w:val="20"/>
          <w:szCs w:val="22"/>
        </w:rPr>
        <w:t>any later consideration of the Court’s reasons.</w:t>
      </w:r>
    </w:p>
    <w:p w14:paraId="49B156E6" w14:textId="77777777" w:rsidR="0045059D" w:rsidRDefault="0045059D" w:rsidP="0045059D">
      <w:pPr>
        <w:pStyle w:val="BodyText"/>
        <w:tabs>
          <w:tab w:val="left" w:pos="4307"/>
        </w:tabs>
        <w:kinsoku w:val="0"/>
        <w:overflowPunct w:val="0"/>
        <w:spacing w:before="146"/>
        <w:ind w:left="1879" w:right="22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Please direct enquiries to Ben Wickham, Senior Executive Deputy</w:t>
      </w:r>
      <w:r>
        <w:rPr>
          <w:rFonts w:ascii="Arial" w:hAnsi="Arial" w:cs="Arial"/>
          <w:b/>
          <w:bCs/>
          <w:spacing w:val="-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Registrar Telephone: (02)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6270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6893</w:t>
      </w:r>
      <w:r>
        <w:rPr>
          <w:rFonts w:ascii="Arial" w:hAnsi="Arial" w:cs="Arial"/>
          <w:b/>
          <w:bCs/>
          <w:sz w:val="16"/>
          <w:szCs w:val="16"/>
        </w:rPr>
        <w:tab/>
        <w:t>Fax: (02) 6270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6868</w:t>
      </w:r>
    </w:p>
    <w:p w14:paraId="335F826F" w14:textId="77777777" w:rsidR="00755EE2" w:rsidRPr="00F43992" w:rsidRDefault="0045059D" w:rsidP="00F43992">
      <w:pPr>
        <w:pStyle w:val="BodyText"/>
        <w:tabs>
          <w:tab w:val="left" w:pos="2894"/>
        </w:tabs>
        <w:kinsoku w:val="0"/>
        <w:overflowPunct w:val="0"/>
        <w:spacing w:line="183" w:lineRule="exact"/>
        <w:ind w:righ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Email: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hyperlink r:id="rId13" w:history="1">
        <w:r>
          <w:rPr>
            <w:rFonts w:ascii="Arial" w:hAnsi="Arial" w:cs="Arial"/>
            <w:b/>
            <w:bCs/>
            <w:sz w:val="16"/>
            <w:szCs w:val="16"/>
          </w:rPr>
          <w:t>enquiries@hcourt.gov.au</w:t>
        </w:r>
      </w:hyperlink>
      <w:r>
        <w:rPr>
          <w:rFonts w:ascii="Arial" w:hAnsi="Arial" w:cs="Arial"/>
          <w:b/>
          <w:bCs/>
          <w:sz w:val="16"/>
          <w:szCs w:val="16"/>
        </w:rPr>
        <w:tab/>
        <w:t xml:space="preserve">Website: </w:t>
      </w:r>
      <w:hyperlink r:id="rId14" w:history="1">
        <w:r>
          <w:rPr>
            <w:rFonts w:ascii="Arial" w:hAnsi="Arial" w:cs="Arial"/>
            <w:b/>
            <w:bCs/>
            <w:sz w:val="16"/>
            <w:szCs w:val="16"/>
          </w:rPr>
          <w:t>www.hcourt.gov.au</w:t>
        </w:r>
      </w:hyperlink>
    </w:p>
    <w:sectPr w:rsidR="00755EE2" w:rsidRPr="00F43992" w:rsidSect="009245F5">
      <w:type w:val="continuous"/>
      <w:pgSz w:w="11910" w:h="16850"/>
      <w:pgMar w:top="1040" w:right="840" w:bottom="0" w:left="1200" w:header="720" w:footer="720" w:gutter="0"/>
      <w:cols w:space="720" w:equalWidth="0">
        <w:col w:w="987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F9E4" w14:textId="77777777" w:rsidR="00E5408F" w:rsidRDefault="00E5408F" w:rsidP="0045059D">
      <w:r>
        <w:separator/>
      </w:r>
    </w:p>
  </w:endnote>
  <w:endnote w:type="continuationSeparator" w:id="0">
    <w:p w14:paraId="6EB4A7F8" w14:textId="77777777" w:rsidR="00E5408F" w:rsidRDefault="00E5408F" w:rsidP="0045059D">
      <w:r>
        <w:continuationSeparator/>
      </w:r>
    </w:p>
  </w:endnote>
  <w:endnote w:type="continuationNotice" w:id="1">
    <w:p w14:paraId="536D4DD2" w14:textId="77777777" w:rsidR="00E5408F" w:rsidRDefault="00E54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E53B" w14:textId="77777777" w:rsidR="00E5408F" w:rsidRDefault="00E5408F" w:rsidP="0045059D">
      <w:r>
        <w:separator/>
      </w:r>
    </w:p>
  </w:footnote>
  <w:footnote w:type="continuationSeparator" w:id="0">
    <w:p w14:paraId="050726D6" w14:textId="77777777" w:rsidR="00E5408F" w:rsidRDefault="00E5408F" w:rsidP="0045059D">
      <w:r>
        <w:continuationSeparator/>
      </w:r>
    </w:p>
  </w:footnote>
  <w:footnote w:type="continuationNotice" w:id="1">
    <w:p w14:paraId="30815CB4" w14:textId="77777777" w:rsidR="00E5408F" w:rsidRDefault="00E54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6B8" w14:textId="77241942" w:rsidR="009245F5" w:rsidRDefault="00906E26" w:rsidP="009245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3481" w14:textId="4C89590D" w:rsidR="009245F5" w:rsidRDefault="00906E26" w:rsidP="009245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00" w:hanging="361"/>
      </w:pPr>
    </w:lvl>
    <w:lvl w:ilvl="2">
      <w:numFmt w:val="bullet"/>
      <w:lvlText w:val="•"/>
      <w:lvlJc w:val="left"/>
      <w:pPr>
        <w:ind w:left="2341" w:hanging="361"/>
      </w:pPr>
    </w:lvl>
    <w:lvl w:ilvl="3">
      <w:numFmt w:val="bullet"/>
      <w:lvlText w:val="•"/>
      <w:lvlJc w:val="left"/>
      <w:pPr>
        <w:ind w:left="3281" w:hanging="361"/>
      </w:pPr>
    </w:lvl>
    <w:lvl w:ilvl="4">
      <w:numFmt w:val="bullet"/>
      <w:lvlText w:val="•"/>
      <w:lvlJc w:val="left"/>
      <w:pPr>
        <w:ind w:left="4222" w:hanging="361"/>
      </w:pPr>
    </w:lvl>
    <w:lvl w:ilvl="5">
      <w:numFmt w:val="bullet"/>
      <w:lvlText w:val="•"/>
      <w:lvlJc w:val="left"/>
      <w:pPr>
        <w:ind w:left="5163" w:hanging="361"/>
      </w:pPr>
    </w:lvl>
    <w:lvl w:ilvl="6">
      <w:numFmt w:val="bullet"/>
      <w:lvlText w:val="•"/>
      <w:lvlJc w:val="left"/>
      <w:pPr>
        <w:ind w:left="6103" w:hanging="361"/>
      </w:pPr>
    </w:lvl>
    <w:lvl w:ilvl="7">
      <w:numFmt w:val="bullet"/>
      <w:lvlText w:val="•"/>
      <w:lvlJc w:val="left"/>
      <w:pPr>
        <w:ind w:left="7044" w:hanging="361"/>
      </w:pPr>
    </w:lvl>
    <w:lvl w:ilvl="8">
      <w:numFmt w:val="bullet"/>
      <w:lvlText w:val="•"/>
      <w:lvlJc w:val="left"/>
      <w:pPr>
        <w:ind w:left="798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9D"/>
    <w:rsid w:val="00010C51"/>
    <w:rsid w:val="00016139"/>
    <w:rsid w:val="00031F9F"/>
    <w:rsid w:val="00033359"/>
    <w:rsid w:val="00052295"/>
    <w:rsid w:val="000562D7"/>
    <w:rsid w:val="00082CE7"/>
    <w:rsid w:val="00082EE7"/>
    <w:rsid w:val="00093A8B"/>
    <w:rsid w:val="000B08EF"/>
    <w:rsid w:val="000C142B"/>
    <w:rsid w:val="000E409B"/>
    <w:rsid w:val="00107D6A"/>
    <w:rsid w:val="00183E53"/>
    <w:rsid w:val="001C5D0D"/>
    <w:rsid w:val="0020565A"/>
    <w:rsid w:val="00211EEE"/>
    <w:rsid w:val="00236834"/>
    <w:rsid w:val="002510B9"/>
    <w:rsid w:val="00277FED"/>
    <w:rsid w:val="0028698A"/>
    <w:rsid w:val="00296933"/>
    <w:rsid w:val="002C1850"/>
    <w:rsid w:val="002C1EE0"/>
    <w:rsid w:val="002F0960"/>
    <w:rsid w:val="002F1442"/>
    <w:rsid w:val="002F796F"/>
    <w:rsid w:val="0032168B"/>
    <w:rsid w:val="00341049"/>
    <w:rsid w:val="003777A1"/>
    <w:rsid w:val="003A54D7"/>
    <w:rsid w:val="00437055"/>
    <w:rsid w:val="0045059D"/>
    <w:rsid w:val="00453159"/>
    <w:rsid w:val="00456CA6"/>
    <w:rsid w:val="00470A8F"/>
    <w:rsid w:val="0048259E"/>
    <w:rsid w:val="0049337F"/>
    <w:rsid w:val="004C62D5"/>
    <w:rsid w:val="004F1F51"/>
    <w:rsid w:val="00502DA8"/>
    <w:rsid w:val="00581ED2"/>
    <w:rsid w:val="005B315A"/>
    <w:rsid w:val="005C0EF4"/>
    <w:rsid w:val="005C4469"/>
    <w:rsid w:val="005C4702"/>
    <w:rsid w:val="00622576"/>
    <w:rsid w:val="006402BE"/>
    <w:rsid w:val="006C62B6"/>
    <w:rsid w:val="006C68D3"/>
    <w:rsid w:val="00731746"/>
    <w:rsid w:val="007466B2"/>
    <w:rsid w:val="00755EE2"/>
    <w:rsid w:val="0077585F"/>
    <w:rsid w:val="0079212D"/>
    <w:rsid w:val="007B003A"/>
    <w:rsid w:val="007C10AC"/>
    <w:rsid w:val="007F620B"/>
    <w:rsid w:val="008274A1"/>
    <w:rsid w:val="008570E9"/>
    <w:rsid w:val="00892EAA"/>
    <w:rsid w:val="008F4B38"/>
    <w:rsid w:val="00906E26"/>
    <w:rsid w:val="00916374"/>
    <w:rsid w:val="00923BBE"/>
    <w:rsid w:val="009552AF"/>
    <w:rsid w:val="009759E3"/>
    <w:rsid w:val="009A41F9"/>
    <w:rsid w:val="009C532B"/>
    <w:rsid w:val="009E2492"/>
    <w:rsid w:val="00A074A3"/>
    <w:rsid w:val="00A42506"/>
    <w:rsid w:val="00A67935"/>
    <w:rsid w:val="00A823DB"/>
    <w:rsid w:val="00A94D63"/>
    <w:rsid w:val="00AB1099"/>
    <w:rsid w:val="00AC4C8D"/>
    <w:rsid w:val="00B00023"/>
    <w:rsid w:val="00B12083"/>
    <w:rsid w:val="00B2124B"/>
    <w:rsid w:val="00B43298"/>
    <w:rsid w:val="00B443CA"/>
    <w:rsid w:val="00B56268"/>
    <w:rsid w:val="00B56614"/>
    <w:rsid w:val="00BA3EBC"/>
    <w:rsid w:val="00BB6BE5"/>
    <w:rsid w:val="00BB7205"/>
    <w:rsid w:val="00BD2E74"/>
    <w:rsid w:val="00BE0596"/>
    <w:rsid w:val="00C039D3"/>
    <w:rsid w:val="00C23C4B"/>
    <w:rsid w:val="00C24E36"/>
    <w:rsid w:val="00C26325"/>
    <w:rsid w:val="00C32DE5"/>
    <w:rsid w:val="00C369E5"/>
    <w:rsid w:val="00C37EF6"/>
    <w:rsid w:val="00C81E90"/>
    <w:rsid w:val="00C83575"/>
    <w:rsid w:val="00C90CC2"/>
    <w:rsid w:val="00CA1D8E"/>
    <w:rsid w:val="00CC0969"/>
    <w:rsid w:val="00CD5843"/>
    <w:rsid w:val="00CF6E70"/>
    <w:rsid w:val="00D06052"/>
    <w:rsid w:val="00D143A9"/>
    <w:rsid w:val="00D14484"/>
    <w:rsid w:val="00D1759B"/>
    <w:rsid w:val="00D316B4"/>
    <w:rsid w:val="00D4758C"/>
    <w:rsid w:val="00D53F92"/>
    <w:rsid w:val="00D75251"/>
    <w:rsid w:val="00D86A0F"/>
    <w:rsid w:val="00D93905"/>
    <w:rsid w:val="00DA23A2"/>
    <w:rsid w:val="00DF28AA"/>
    <w:rsid w:val="00DF3B38"/>
    <w:rsid w:val="00E0585A"/>
    <w:rsid w:val="00E52ABD"/>
    <w:rsid w:val="00E5408F"/>
    <w:rsid w:val="00E85523"/>
    <w:rsid w:val="00E95F8A"/>
    <w:rsid w:val="00EB5FC3"/>
    <w:rsid w:val="00EC0014"/>
    <w:rsid w:val="00EE5773"/>
    <w:rsid w:val="00EE6E3E"/>
    <w:rsid w:val="00EF60B1"/>
    <w:rsid w:val="00EF6505"/>
    <w:rsid w:val="00F07DDE"/>
    <w:rsid w:val="00F43992"/>
    <w:rsid w:val="00F51890"/>
    <w:rsid w:val="00FA54CC"/>
    <w:rsid w:val="00FB153D"/>
    <w:rsid w:val="00FC47DF"/>
    <w:rsid w:val="00FD7A4B"/>
    <w:rsid w:val="00FE5A9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05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59D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45059D"/>
    <w:pPr>
      <w:spacing w:before="121"/>
      <w:ind w:left="463" w:right="462" w:hanging="3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9D"/>
    <w:rPr>
      <w:rFonts w:ascii="Times New Roman" w:eastAsiaTheme="minorEastAsia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D"/>
    <w:rPr>
      <w:rFonts w:ascii="Segoe UI" w:eastAsiaTheme="minorEastAsia" w:hAnsi="Segoe UI" w:cs="Segoe UI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0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9D"/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hcourt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cour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8fe3c49d4c3a51b49b5820eb6965a167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17bf54a0125c5ec0ccecfca21bb236bd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59788-D72C-4C42-9FAB-A76E179D09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3cc3f26d-d9cc-46f3-89c7-f1482de8c8f1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38F5CE-6FDF-44E4-9AF9-69CCBD49B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F491-F7FA-4317-AFC3-E883E36D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3268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3903</CharactersWithSpaces>
  <SharedDoc>false</SharedDoc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http://www.hcourt.gov.au/</vt:lpwstr>
      </vt:variant>
      <vt:variant>
        <vt:lpwstr/>
      </vt:variant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mailto:enquiries@hcourt.gov.au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2021-02-01T07:00:00Z</cp:lastPrinted>
  <dcterms:created xsi:type="dcterms:W3CDTF">2021-02-02T23:07:00Z</dcterms:created>
  <dcterms:modified xsi:type="dcterms:W3CDTF">2021-02-02T23:07:00Z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