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E22C" w14:textId="77777777" w:rsidR="009D0CE8" w:rsidRPr="00B546B2" w:rsidRDefault="007A348E" w:rsidP="009D0CE8">
      <w:pPr>
        <w:jc w:val="left"/>
      </w:pPr>
      <w:r>
        <w:rPr>
          <w:noProof/>
        </w:rPr>
        <w:drawing>
          <wp:anchor distT="0" distB="0" distL="114300" distR="114300" simplePos="0" relativeHeight="251658240" behindDoc="0" locked="0" layoutInCell="1" allowOverlap="1" wp14:anchorId="0A22408F" wp14:editId="5F136E03">
            <wp:simplePos x="0" y="0"/>
            <wp:positionH relativeFrom="margin">
              <wp:align>center</wp:align>
            </wp:positionH>
            <wp:positionV relativeFrom="margin">
              <wp:align>top</wp:align>
            </wp:positionV>
            <wp:extent cx="764540" cy="65532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CE8" w:rsidRPr="00B546B2">
        <w:tab/>
      </w:r>
      <w:r w:rsidR="009D0CE8" w:rsidRPr="00B546B2">
        <w:br w:type="textWrapping" w:clear="all"/>
      </w:r>
    </w:p>
    <w:p w14:paraId="734E8A79" w14:textId="77777777" w:rsidR="009D0CE8" w:rsidRPr="00B546B2" w:rsidRDefault="009D0CE8" w:rsidP="009D0CE8">
      <w:pPr>
        <w:jc w:val="center"/>
      </w:pPr>
    </w:p>
    <w:p w14:paraId="272331A7" w14:textId="77777777" w:rsidR="009D0CE8" w:rsidRPr="00B546B2" w:rsidRDefault="009D0CE8" w:rsidP="009D0CE8">
      <w:pPr>
        <w:pStyle w:val="BullTitle1"/>
      </w:pPr>
      <w:bookmarkStart w:id="0" w:name="Top"/>
      <w:r w:rsidRPr="00B546B2">
        <w:t xml:space="preserve">Overseas </w:t>
      </w:r>
      <w:bookmarkStart w:id="1" w:name="Home"/>
      <w:r w:rsidRPr="00B546B2">
        <w:t xml:space="preserve">Decisions </w:t>
      </w:r>
      <w:bookmarkEnd w:id="1"/>
      <w:r w:rsidRPr="00B546B2">
        <w:t>Bulletin</w:t>
      </w:r>
    </w:p>
    <w:bookmarkEnd w:id="0"/>
    <w:p w14:paraId="0C34AA83" w14:textId="77777777" w:rsidR="009D0CE8" w:rsidRPr="00B546B2" w:rsidRDefault="009D0CE8" w:rsidP="009D0CE8"/>
    <w:p w14:paraId="5B7E2B12" w14:textId="77777777" w:rsidR="009D0CE8" w:rsidRPr="00B546B2" w:rsidRDefault="009D0CE8" w:rsidP="009D0CE8">
      <w:pPr>
        <w:pStyle w:val="BullTitle2"/>
      </w:pPr>
      <w:r w:rsidRPr="00B546B2">
        <w:t xml:space="preserve">Produced by the Legal Research Officer, </w:t>
      </w:r>
      <w:r w:rsidRPr="00B546B2">
        <w:br/>
        <w:t>High Court of Australia Library</w:t>
      </w:r>
    </w:p>
    <w:p w14:paraId="12473652" w14:textId="77777777" w:rsidR="009D0CE8" w:rsidRPr="00B546B2" w:rsidRDefault="009D0CE8" w:rsidP="009D0CE8">
      <w:pPr>
        <w:pStyle w:val="BullTitle3"/>
      </w:pPr>
    </w:p>
    <w:p w14:paraId="50FBA707" w14:textId="0EFAF717" w:rsidR="009D0CE8" w:rsidRPr="007203D3" w:rsidRDefault="009D0CE8" w:rsidP="009D0CE8">
      <w:pPr>
        <w:pStyle w:val="BullTitle3"/>
      </w:pPr>
      <w:r w:rsidRPr="007203D3">
        <w:t xml:space="preserve">Volume </w:t>
      </w:r>
      <w:r w:rsidR="00DB68FF">
        <w:t>19</w:t>
      </w:r>
      <w:r w:rsidRPr="007203D3">
        <w:t xml:space="preserve"> Number </w:t>
      </w:r>
      <w:r w:rsidR="000B0D09">
        <w:t>2</w:t>
      </w:r>
      <w:r w:rsidRPr="007203D3">
        <w:t xml:space="preserve"> (</w:t>
      </w:r>
      <w:r w:rsidR="00A7097D" w:rsidRPr="007203D3">
        <w:t xml:space="preserve">1 </w:t>
      </w:r>
      <w:r w:rsidR="009D6C9F">
        <w:t>April</w:t>
      </w:r>
      <w:r w:rsidR="007E4E01" w:rsidRPr="007203D3">
        <w:t xml:space="preserve"> –</w:t>
      </w:r>
      <w:r w:rsidR="00727206" w:rsidRPr="007203D3">
        <w:t xml:space="preserve"> </w:t>
      </w:r>
      <w:r w:rsidR="00A22D93">
        <w:t>3</w:t>
      </w:r>
      <w:r w:rsidR="00B72B9A">
        <w:t>1</w:t>
      </w:r>
      <w:r w:rsidR="00A22D93">
        <w:t xml:space="preserve"> May</w:t>
      </w:r>
      <w:r w:rsidR="00DB68FF">
        <w:t xml:space="preserve"> 2022</w:t>
      </w:r>
      <w:r w:rsidRPr="007203D3">
        <w:t>)</w:t>
      </w:r>
    </w:p>
    <w:p w14:paraId="61439D12" w14:textId="77777777" w:rsidR="009D0CE8" w:rsidRPr="00B546B2" w:rsidRDefault="009D0CE8" w:rsidP="009D0CE8"/>
    <w:p w14:paraId="79ED9A18" w14:textId="77777777" w:rsidR="00AE777D" w:rsidRDefault="009D0CE8" w:rsidP="000F35BD">
      <w:r w:rsidRPr="00B546B2">
        <w:t>Decisions of the Supreme Court of the United Kingdom, the Supreme Court of Canada, the Supreme Court of the United States, the Constitutional Court of South Africa, the Supreme Court of New Zealand and the Hong Kong Court of Final Appeal. Admiralty, arbitration and constitutional decisions of the Court of Appeal of Singapore.</w:t>
      </w:r>
    </w:p>
    <w:p w14:paraId="2B3D93C4" w14:textId="77777777" w:rsidR="00BC4126" w:rsidRPr="00784EDC" w:rsidRDefault="00BC4126" w:rsidP="00BC4126">
      <w:pPr>
        <w:pBdr>
          <w:bottom w:val="double" w:sz="6" w:space="1" w:color="auto"/>
        </w:pBdr>
        <w:rPr>
          <w:rFonts w:cs="Arial"/>
          <w:szCs w:val="20"/>
          <w:highlight w:val="yellow"/>
          <w:lang w:eastAsia="en-AU"/>
        </w:rPr>
      </w:pPr>
    </w:p>
    <w:p w14:paraId="5AF78334" w14:textId="77777777" w:rsidR="00C80E0E" w:rsidRPr="004106E1" w:rsidRDefault="00C80E0E" w:rsidP="00BA2C1C"/>
    <w:p w14:paraId="1264A1EB" w14:textId="46B626E3" w:rsidR="00297E73" w:rsidRDefault="00297E73" w:rsidP="009556B8">
      <w:pPr>
        <w:pStyle w:val="Heading1"/>
      </w:pPr>
      <w:r>
        <w:t xml:space="preserve">Administrative Law </w:t>
      </w:r>
    </w:p>
    <w:p w14:paraId="54FEA629" w14:textId="4FB8BBC8" w:rsidR="00297E73" w:rsidRDefault="00297E73" w:rsidP="00297E73">
      <w:pPr>
        <w:rPr>
          <w:lang w:eastAsia="en-AU"/>
        </w:rPr>
      </w:pPr>
    </w:p>
    <w:p w14:paraId="415F5D2F" w14:textId="529F4BA2" w:rsidR="00297E73" w:rsidRPr="00297E73" w:rsidRDefault="00297E73" w:rsidP="00297E73">
      <w:pPr>
        <w:pStyle w:val="Heading2"/>
        <w:rPr>
          <w:i w:val="0"/>
          <w:iCs w:val="0"/>
        </w:rPr>
      </w:pPr>
      <w:proofErr w:type="spellStart"/>
      <w:r w:rsidRPr="00297E73">
        <w:t>Boechler</w:t>
      </w:r>
      <w:proofErr w:type="spellEnd"/>
      <w:r>
        <w:t>, PC</w:t>
      </w:r>
      <w:r w:rsidRPr="00297E73">
        <w:t xml:space="preserve"> v Commissioner</w:t>
      </w:r>
      <w:r>
        <w:t xml:space="preserve"> of Internal Revenue </w:t>
      </w:r>
    </w:p>
    <w:p w14:paraId="0286A2AE" w14:textId="28E7F61F" w:rsidR="00297E73" w:rsidRDefault="00297E73" w:rsidP="00297E73">
      <w:pPr>
        <w:rPr>
          <w:lang w:eastAsia="en-AU"/>
        </w:rPr>
      </w:pPr>
      <w:r>
        <w:rPr>
          <w:b/>
          <w:bCs/>
          <w:lang w:eastAsia="en-AU"/>
        </w:rPr>
        <w:t>Supreme Court of the United States</w:t>
      </w:r>
      <w:r w:rsidRPr="006B0D58">
        <w:rPr>
          <w:b/>
          <w:bCs/>
          <w:lang w:eastAsia="en-AU"/>
        </w:rPr>
        <w:t>:</w:t>
      </w:r>
      <w:r>
        <w:rPr>
          <w:lang w:eastAsia="en-AU"/>
        </w:rPr>
        <w:t xml:space="preserve"> </w:t>
      </w:r>
      <w:hyperlink r:id="rId9" w:history="1">
        <w:r>
          <w:rPr>
            <w:rStyle w:val="Hyperlink"/>
          </w:rPr>
          <w:t>Docket No. 20</w:t>
        </w:r>
        <w:r w:rsidR="00515F52" w:rsidRPr="00515F52">
          <w:rPr>
            <w:rStyle w:val="Hyperlink"/>
          </w:rPr>
          <w:t>–</w:t>
        </w:r>
        <w:r>
          <w:rPr>
            <w:rStyle w:val="Hyperlink"/>
          </w:rPr>
          <w:t>1472</w:t>
        </w:r>
      </w:hyperlink>
    </w:p>
    <w:p w14:paraId="021B8F15" w14:textId="77777777" w:rsidR="00297E73" w:rsidRDefault="00297E73" w:rsidP="00297E73">
      <w:pPr>
        <w:rPr>
          <w:lang w:eastAsia="en-AU"/>
        </w:rPr>
      </w:pPr>
    </w:p>
    <w:p w14:paraId="764CD000" w14:textId="77777777" w:rsidR="00297E73" w:rsidRPr="00DB68FF" w:rsidRDefault="00297E73" w:rsidP="00297E73">
      <w:pPr>
        <w:rPr>
          <w:lang w:eastAsia="en-AU"/>
        </w:rPr>
      </w:pPr>
      <w:r>
        <w:rPr>
          <w:b/>
          <w:bCs/>
          <w:lang w:eastAsia="en-AU"/>
        </w:rPr>
        <w:t xml:space="preserve">Judgment delivered: </w:t>
      </w:r>
      <w:r>
        <w:rPr>
          <w:lang w:eastAsia="en-AU"/>
        </w:rPr>
        <w:t xml:space="preserve">21 April 2022 </w:t>
      </w:r>
    </w:p>
    <w:p w14:paraId="7BD489C0" w14:textId="77777777" w:rsidR="00297E73" w:rsidRDefault="00297E73" w:rsidP="00297E73">
      <w:pPr>
        <w:rPr>
          <w:b/>
          <w:bCs/>
          <w:lang w:eastAsia="en-AU"/>
        </w:rPr>
      </w:pPr>
    </w:p>
    <w:p w14:paraId="23B589C1" w14:textId="77777777" w:rsidR="00297E73" w:rsidRDefault="00297E73" w:rsidP="00297E73">
      <w:pPr>
        <w:rPr>
          <w:lang w:eastAsia="en-AU"/>
        </w:rPr>
      </w:pPr>
      <w:r>
        <w:rPr>
          <w:b/>
          <w:bCs/>
          <w:lang w:eastAsia="en-AU"/>
        </w:rPr>
        <w:t>Coram:</w:t>
      </w:r>
      <w:r w:rsidRPr="00DB68FF">
        <w:t xml:space="preserve"> </w:t>
      </w:r>
      <w:r>
        <w:rPr>
          <w:lang w:eastAsia="en-AU"/>
        </w:rPr>
        <w:t xml:space="preserve">Roberts CJ, Thomas, </w:t>
      </w:r>
      <w:proofErr w:type="spellStart"/>
      <w:r>
        <w:rPr>
          <w:lang w:eastAsia="en-AU"/>
        </w:rPr>
        <w:t>Breyer</w:t>
      </w:r>
      <w:proofErr w:type="spellEnd"/>
      <w:r>
        <w:rPr>
          <w:lang w:eastAsia="en-AU"/>
        </w:rPr>
        <w:t>, Alito, Sotomayor, Kagan, Gorsuch,</w:t>
      </w:r>
    </w:p>
    <w:p w14:paraId="06728676" w14:textId="77777777" w:rsidR="00297E73" w:rsidRPr="00DB68FF" w:rsidRDefault="00297E73" w:rsidP="00297E73">
      <w:pPr>
        <w:rPr>
          <w:lang w:eastAsia="en-AU"/>
        </w:rPr>
      </w:pPr>
      <w:r>
        <w:rPr>
          <w:lang w:eastAsia="en-AU"/>
        </w:rPr>
        <w:t>Kavanaugh and Barrett JJ</w:t>
      </w:r>
    </w:p>
    <w:p w14:paraId="729D0C12" w14:textId="77777777" w:rsidR="00297E73" w:rsidRDefault="00297E73" w:rsidP="00297E73">
      <w:pPr>
        <w:rPr>
          <w:b/>
          <w:bCs/>
          <w:lang w:eastAsia="en-AU"/>
        </w:rPr>
      </w:pPr>
    </w:p>
    <w:p w14:paraId="0DE4F904" w14:textId="77777777" w:rsidR="00297E73" w:rsidRDefault="00297E73" w:rsidP="00297E73">
      <w:pPr>
        <w:rPr>
          <w:b/>
          <w:bCs/>
          <w:lang w:eastAsia="en-AU"/>
        </w:rPr>
      </w:pPr>
      <w:r>
        <w:rPr>
          <w:b/>
          <w:bCs/>
          <w:lang w:eastAsia="en-AU"/>
        </w:rPr>
        <w:t>Catchwords:</w:t>
      </w:r>
    </w:p>
    <w:p w14:paraId="2431C647" w14:textId="77777777" w:rsidR="00297E73" w:rsidRDefault="00297E73" w:rsidP="00297E73">
      <w:pPr>
        <w:rPr>
          <w:b/>
          <w:bCs/>
          <w:lang w:eastAsia="en-AU"/>
        </w:rPr>
      </w:pPr>
    </w:p>
    <w:p w14:paraId="4F988466" w14:textId="3FD12509" w:rsidR="00297E73" w:rsidRPr="005E2809" w:rsidRDefault="00297E73" w:rsidP="005E2809">
      <w:pPr>
        <w:pStyle w:val="Catchwords"/>
      </w:pPr>
      <w:r>
        <w:t>Administrative law – Jurisdiction – Jurisdictional deadline – Where Internal Revenue Service (</w:t>
      </w:r>
      <w:r w:rsidR="00A74661">
        <w:t>"</w:t>
      </w:r>
      <w:r>
        <w:t>IRS</w:t>
      </w:r>
      <w:r w:rsidR="00A74661">
        <w:t>"</w:t>
      </w:r>
      <w:r>
        <w:t xml:space="preserve">) notified </w:t>
      </w:r>
      <w:proofErr w:type="spellStart"/>
      <w:r>
        <w:t>Boechler</w:t>
      </w:r>
      <w:proofErr w:type="spellEnd"/>
      <w:r>
        <w:t>, PC, of tax filing discrepancy</w:t>
      </w:r>
      <w:r w:rsidR="005E2809">
        <w:t xml:space="preserve"> –</w:t>
      </w:r>
      <w:r w:rsidR="00261F48">
        <w:t xml:space="preserve"> </w:t>
      </w:r>
      <w:r w:rsidR="005E2809">
        <w:t xml:space="preserve">Where </w:t>
      </w:r>
      <w:proofErr w:type="spellStart"/>
      <w:r>
        <w:t>Boechler</w:t>
      </w:r>
      <w:proofErr w:type="spellEnd"/>
      <w:r>
        <w:t xml:space="preserve"> did</w:t>
      </w:r>
      <w:r w:rsidR="005E2809">
        <w:t xml:space="preserve"> </w:t>
      </w:r>
      <w:r>
        <w:t>not respond</w:t>
      </w:r>
      <w:r w:rsidR="005E2809">
        <w:t xml:space="preserve"> and</w:t>
      </w:r>
      <w:r>
        <w:t xml:space="preserve"> IRS assessed </w:t>
      </w:r>
      <w:r w:rsidR="00A74661">
        <w:t>"</w:t>
      </w:r>
      <w:r>
        <w:t>intentional disregard</w:t>
      </w:r>
      <w:r w:rsidR="00A74661">
        <w:t>"</w:t>
      </w:r>
      <w:r>
        <w:t xml:space="preserve"> penalty and</w:t>
      </w:r>
      <w:r w:rsidR="005E2809">
        <w:t xml:space="preserve"> </w:t>
      </w:r>
      <w:r>
        <w:t xml:space="preserve">notified </w:t>
      </w:r>
      <w:proofErr w:type="spellStart"/>
      <w:r>
        <w:t>Boechler</w:t>
      </w:r>
      <w:proofErr w:type="spellEnd"/>
      <w:r>
        <w:t xml:space="preserve"> of intent to levy </w:t>
      </w:r>
      <w:proofErr w:type="spellStart"/>
      <w:r>
        <w:t>Boechler</w:t>
      </w:r>
      <w:r w:rsidR="00A74661">
        <w:t>'</w:t>
      </w:r>
      <w:r>
        <w:t>s</w:t>
      </w:r>
      <w:proofErr w:type="spellEnd"/>
      <w:r>
        <w:t xml:space="preserve"> property to satisfy penalty</w:t>
      </w:r>
      <w:r w:rsidR="005E2809">
        <w:t xml:space="preserve"> pursuant to</w:t>
      </w:r>
      <w:r>
        <w:t xml:space="preserve"> 26 </w:t>
      </w:r>
      <w:r w:rsidR="005E2809">
        <w:t>USC</w:t>
      </w:r>
      <w:r>
        <w:t xml:space="preserve"> §§6330(a), 6721(a)(2), (e)(2)(A)</w:t>
      </w:r>
      <w:r w:rsidR="005E2809">
        <w:t xml:space="preserve"> – Where </w:t>
      </w:r>
      <w:proofErr w:type="spellStart"/>
      <w:r>
        <w:t>Boechler</w:t>
      </w:r>
      <w:proofErr w:type="spellEnd"/>
      <w:r>
        <w:t xml:space="preserve"> requested and received </w:t>
      </w:r>
      <w:r w:rsidR="00A74661">
        <w:t>"</w:t>
      </w:r>
      <w:r>
        <w:t>collection due process hearing</w:t>
      </w:r>
      <w:r w:rsidR="00A74661">
        <w:t>"</w:t>
      </w:r>
      <w:r>
        <w:t xml:space="preserve"> before</w:t>
      </w:r>
      <w:r w:rsidR="005E2809">
        <w:t xml:space="preserve"> </w:t>
      </w:r>
      <w:r>
        <w:t>IRS</w:t>
      </w:r>
      <w:r w:rsidR="00A74661">
        <w:t>'</w:t>
      </w:r>
      <w:r>
        <w:t>s Independent Office of Appeals pursuant to §6330(b), but Office sustained proposed levy</w:t>
      </w:r>
      <w:r w:rsidR="005E2809">
        <w:t xml:space="preserve"> – Where,</w:t>
      </w:r>
      <w:r>
        <w:t xml:space="preserve"> </w:t>
      </w:r>
      <w:r w:rsidR="005E2809">
        <w:t>u</w:t>
      </w:r>
      <w:r>
        <w:t xml:space="preserve">nder §6330(d)(1), </w:t>
      </w:r>
      <w:proofErr w:type="spellStart"/>
      <w:r>
        <w:t>Boechler</w:t>
      </w:r>
      <w:proofErr w:type="spellEnd"/>
      <w:r>
        <w:t xml:space="preserve"> had 30</w:t>
      </w:r>
      <w:r w:rsidR="00E376D3">
        <w:t xml:space="preserve"> </w:t>
      </w:r>
      <w:r>
        <w:t>days to petition Tax Court for review</w:t>
      </w:r>
      <w:r w:rsidR="005E2809">
        <w:t xml:space="preserve"> – Where </w:t>
      </w:r>
      <w:proofErr w:type="spellStart"/>
      <w:r>
        <w:t>Boechler</w:t>
      </w:r>
      <w:proofErr w:type="spellEnd"/>
      <w:r>
        <w:t xml:space="preserve"> filed petition</w:t>
      </w:r>
      <w:r w:rsidR="005E2809">
        <w:t xml:space="preserve"> </w:t>
      </w:r>
      <w:r>
        <w:t>one day late</w:t>
      </w:r>
      <w:r w:rsidR="005E2809">
        <w:t xml:space="preserve"> – Where </w:t>
      </w:r>
      <w:r>
        <w:t>Tax Court dismissed petition for lack of jurisdiction and Eighth Circuit affirmed</w:t>
      </w:r>
      <w:r w:rsidR="005E2809">
        <w:t xml:space="preserve"> – Whether </w:t>
      </w:r>
      <w:r>
        <w:t>§6330(d)(1)</w:t>
      </w:r>
      <w:r w:rsidR="00A74661">
        <w:t>'</w:t>
      </w:r>
      <w:r>
        <w:t xml:space="preserve">s 30-day filing deadline jurisdictional </w:t>
      </w:r>
      <w:r w:rsidR="005E2809">
        <w:t xml:space="preserve">– Whether </w:t>
      </w:r>
      <w:r w:rsidR="005E2809" w:rsidRPr="005E2809">
        <w:t>§6330(d)(1)</w:t>
      </w:r>
      <w:r w:rsidR="00A74661">
        <w:t>'</w:t>
      </w:r>
      <w:r w:rsidR="005E2809" w:rsidRPr="005E2809">
        <w:t>s 30-day filing deadline</w:t>
      </w:r>
      <w:r w:rsidR="005E2809">
        <w:t xml:space="preserve"> subject to equitable tolling</w:t>
      </w:r>
      <w:r>
        <w:t xml:space="preserve">. </w:t>
      </w:r>
      <w:r>
        <w:cr/>
      </w:r>
    </w:p>
    <w:p w14:paraId="291C2103" w14:textId="4A972201" w:rsidR="00297E73" w:rsidRDefault="00297E73" w:rsidP="00297E73">
      <w:pPr>
        <w:rPr>
          <w:lang w:eastAsia="en-AU"/>
        </w:rPr>
      </w:pPr>
      <w:r>
        <w:rPr>
          <w:b/>
          <w:bCs/>
          <w:lang w:eastAsia="en-AU"/>
        </w:rPr>
        <w:t>Held (9:0):</w:t>
      </w:r>
      <w:r w:rsidRPr="00FD6C82">
        <w:rPr>
          <w:lang w:eastAsia="en-AU"/>
        </w:rPr>
        <w:t xml:space="preserve"> Judgment of Court of Appeals for the </w:t>
      </w:r>
      <w:r>
        <w:rPr>
          <w:lang w:eastAsia="en-AU"/>
        </w:rPr>
        <w:t>Eighth</w:t>
      </w:r>
      <w:r w:rsidRPr="00FD6C82">
        <w:rPr>
          <w:lang w:eastAsia="en-AU"/>
        </w:rPr>
        <w:t xml:space="preserve"> Circuit </w:t>
      </w:r>
      <w:proofErr w:type="gramStart"/>
      <w:r>
        <w:rPr>
          <w:lang w:eastAsia="en-AU"/>
        </w:rPr>
        <w:t>reversed</w:t>
      </w:r>
      <w:proofErr w:type="gramEnd"/>
      <w:r w:rsidRPr="00FD6C82">
        <w:rPr>
          <w:lang w:eastAsia="en-AU"/>
        </w:rPr>
        <w:t xml:space="preserve"> and case remanded.</w:t>
      </w:r>
    </w:p>
    <w:p w14:paraId="7D08D9EB" w14:textId="579D0CA6" w:rsidR="00297E73" w:rsidRDefault="00297E73" w:rsidP="00297E73">
      <w:pPr>
        <w:pStyle w:val="BullDivider2"/>
      </w:pPr>
    </w:p>
    <w:p w14:paraId="3EFB14F2" w14:textId="77777777" w:rsidR="00297E73" w:rsidRPr="00297E73" w:rsidRDefault="00297E73" w:rsidP="00297E73">
      <w:pPr>
        <w:rPr>
          <w:lang w:eastAsia="en-AU"/>
        </w:rPr>
      </w:pPr>
    </w:p>
    <w:p w14:paraId="3280ABBE" w14:textId="47C73AA8" w:rsidR="00CF2169" w:rsidRDefault="00CF2169" w:rsidP="009556B8">
      <w:pPr>
        <w:pStyle w:val="Heading1"/>
      </w:pPr>
      <w:r>
        <w:t>Arbitration</w:t>
      </w:r>
    </w:p>
    <w:p w14:paraId="4122096F" w14:textId="77777777" w:rsidR="00F6173F" w:rsidRPr="00F6173F" w:rsidRDefault="00F6173F" w:rsidP="00F6173F">
      <w:pPr>
        <w:rPr>
          <w:lang w:eastAsia="en-AU"/>
        </w:rPr>
      </w:pPr>
    </w:p>
    <w:p w14:paraId="03A9B38B" w14:textId="66524136" w:rsidR="00212982" w:rsidRDefault="00212982" w:rsidP="00212982">
      <w:pPr>
        <w:pStyle w:val="Heading2"/>
      </w:pPr>
      <w:r>
        <w:t>C</w:t>
      </w:r>
      <w:r w:rsidR="00E376D3">
        <w:t xml:space="preserve">JA </w:t>
      </w:r>
      <w:r>
        <w:t>v C</w:t>
      </w:r>
      <w:r w:rsidR="00E376D3">
        <w:t>I</w:t>
      </w:r>
      <w:r>
        <w:t>Z</w:t>
      </w:r>
    </w:p>
    <w:p w14:paraId="20597EDD" w14:textId="608E9C57" w:rsidR="00212982" w:rsidRDefault="00212982" w:rsidP="00212982">
      <w:pPr>
        <w:rPr>
          <w:lang w:eastAsia="en-AU"/>
        </w:rPr>
      </w:pPr>
      <w:r>
        <w:rPr>
          <w:b/>
          <w:bCs/>
          <w:lang w:eastAsia="en-AU"/>
        </w:rPr>
        <w:t>Court of Appeal of Singapore</w:t>
      </w:r>
      <w:r w:rsidRPr="006B0D58">
        <w:rPr>
          <w:b/>
          <w:bCs/>
          <w:lang w:eastAsia="en-AU"/>
        </w:rPr>
        <w:t>:</w:t>
      </w:r>
      <w:r>
        <w:rPr>
          <w:b/>
          <w:bCs/>
          <w:lang w:eastAsia="en-AU"/>
        </w:rPr>
        <w:t xml:space="preserve"> </w:t>
      </w:r>
      <w:hyperlink r:id="rId10" w:history="1">
        <w:r w:rsidR="00B01414">
          <w:rPr>
            <w:rStyle w:val="Hyperlink"/>
            <w:lang w:eastAsia="en-AU"/>
          </w:rPr>
          <w:t>[2022] SGCA 41</w:t>
        </w:r>
      </w:hyperlink>
    </w:p>
    <w:p w14:paraId="2464B3F0" w14:textId="77777777" w:rsidR="00212982" w:rsidRDefault="00212982" w:rsidP="00212982">
      <w:pPr>
        <w:rPr>
          <w:lang w:eastAsia="en-AU"/>
        </w:rPr>
      </w:pPr>
    </w:p>
    <w:p w14:paraId="4657B4E3" w14:textId="162034D3" w:rsidR="00212982" w:rsidRPr="00DB68FF" w:rsidRDefault="00212982" w:rsidP="00212982">
      <w:pPr>
        <w:rPr>
          <w:lang w:eastAsia="en-AU"/>
        </w:rPr>
      </w:pPr>
      <w:r>
        <w:rPr>
          <w:b/>
          <w:bCs/>
          <w:lang w:eastAsia="en-AU"/>
        </w:rPr>
        <w:t xml:space="preserve">Judgment delivered: </w:t>
      </w:r>
      <w:r>
        <w:rPr>
          <w:lang w:eastAsia="en-AU"/>
        </w:rPr>
        <w:t>1</w:t>
      </w:r>
      <w:r w:rsidR="00B01414">
        <w:rPr>
          <w:lang w:eastAsia="en-AU"/>
        </w:rPr>
        <w:t>7</w:t>
      </w:r>
      <w:r>
        <w:rPr>
          <w:lang w:eastAsia="en-AU"/>
        </w:rPr>
        <w:t xml:space="preserve"> May 2022 </w:t>
      </w:r>
    </w:p>
    <w:p w14:paraId="2DC332DF" w14:textId="77777777" w:rsidR="00212982" w:rsidRDefault="00212982" w:rsidP="00212982">
      <w:pPr>
        <w:rPr>
          <w:b/>
          <w:bCs/>
          <w:lang w:eastAsia="en-AU"/>
        </w:rPr>
      </w:pPr>
    </w:p>
    <w:p w14:paraId="348356A6" w14:textId="4BC4E7E0" w:rsidR="00212982" w:rsidRDefault="00212982" w:rsidP="00212982">
      <w:pPr>
        <w:rPr>
          <w:lang w:eastAsia="en-AU"/>
        </w:rPr>
      </w:pPr>
      <w:r>
        <w:rPr>
          <w:b/>
          <w:bCs/>
          <w:lang w:eastAsia="en-AU"/>
        </w:rPr>
        <w:t>Coram:</w:t>
      </w:r>
      <w:r w:rsidRPr="00DB68FF">
        <w:t xml:space="preserve"> </w:t>
      </w:r>
      <w:r w:rsidR="00B01414" w:rsidRPr="00B01414">
        <w:rPr>
          <w:lang w:eastAsia="en-AU"/>
        </w:rPr>
        <w:t>Menon CJ, Prakash JCA and Chao SJ</w:t>
      </w:r>
    </w:p>
    <w:p w14:paraId="2D9FFCA4" w14:textId="77777777" w:rsidR="00212982" w:rsidRDefault="00212982" w:rsidP="00212982">
      <w:pPr>
        <w:rPr>
          <w:b/>
          <w:bCs/>
          <w:lang w:eastAsia="en-AU"/>
        </w:rPr>
      </w:pPr>
    </w:p>
    <w:p w14:paraId="6DABED5A" w14:textId="77777777" w:rsidR="00212982" w:rsidRDefault="00212982" w:rsidP="00212982">
      <w:pPr>
        <w:rPr>
          <w:b/>
          <w:bCs/>
          <w:lang w:eastAsia="en-AU"/>
        </w:rPr>
      </w:pPr>
      <w:r>
        <w:rPr>
          <w:b/>
          <w:bCs/>
          <w:lang w:eastAsia="en-AU"/>
        </w:rPr>
        <w:t>Catchwords:</w:t>
      </w:r>
    </w:p>
    <w:p w14:paraId="77BD845D" w14:textId="77777777" w:rsidR="00212982" w:rsidRDefault="00212982" w:rsidP="00212982">
      <w:pPr>
        <w:rPr>
          <w:b/>
          <w:bCs/>
          <w:lang w:eastAsia="en-AU"/>
        </w:rPr>
      </w:pPr>
    </w:p>
    <w:p w14:paraId="3ED2EBEF" w14:textId="45713B80" w:rsidR="00B01414" w:rsidRDefault="00212982" w:rsidP="00212982">
      <w:pPr>
        <w:pStyle w:val="Catchwords"/>
      </w:pPr>
      <w:r>
        <w:t xml:space="preserve">Arbitration – Award – Recourse against award – Setting aside – Scope of arbitration agreement </w:t>
      </w:r>
      <w:r w:rsidR="00B01414">
        <w:t>–</w:t>
      </w:r>
      <w:r>
        <w:t xml:space="preserve"> </w:t>
      </w:r>
      <w:r w:rsidR="00B01414">
        <w:t xml:space="preserve">Breach of natural justice – Where High Court judge </w:t>
      </w:r>
    </w:p>
    <w:p w14:paraId="3C8BC890" w14:textId="4B42EB0F" w:rsidR="00212982" w:rsidRPr="008650AA" w:rsidRDefault="00B01414" w:rsidP="00B01414">
      <w:pPr>
        <w:pStyle w:val="Catchwords"/>
      </w:pPr>
      <w:r>
        <w:t xml:space="preserve">set aside part of arbitral award on basis Tribunal exceeded jurisdiction – Where judge held Tribunal, in finding in favour of appellant on one of claims, interpreted articles in agreement in manner contrary to case advanced by appellant in arbitration – Where judge held, since appellant run entire case on premise </w:t>
      </w:r>
      <w:r w:rsidR="00AC0B9E">
        <w:t>of</w:t>
      </w:r>
      <w:r>
        <w:t xml:space="preserve"> subsisting agreement and therefore no issue of expiry of original agreement arose, excess of jurisdiction for Tribunal to find no subsisting agreement, but that original agreement could be interpreted in manner which allowed appellant</w:t>
      </w:r>
      <w:r w:rsidR="00A74661">
        <w:t>'</w:t>
      </w:r>
      <w:r>
        <w:t>s claim – Whether Tribunal</w:t>
      </w:r>
      <w:r w:rsidR="00A74661">
        <w:t>'</w:t>
      </w:r>
      <w:r>
        <w:t>s findings and interpretations of articles within scope of submission to Tribunal</w:t>
      </w:r>
      <w:r w:rsidR="00212982">
        <w:t xml:space="preserve">. </w:t>
      </w:r>
    </w:p>
    <w:p w14:paraId="599A21FD" w14:textId="77777777" w:rsidR="00212982" w:rsidRDefault="00212982" w:rsidP="00212982">
      <w:pPr>
        <w:rPr>
          <w:b/>
          <w:bCs/>
          <w:lang w:eastAsia="en-AU"/>
        </w:rPr>
      </w:pPr>
    </w:p>
    <w:p w14:paraId="0916D369" w14:textId="1DE66655" w:rsidR="00212982" w:rsidRDefault="00212982" w:rsidP="00212982">
      <w:pPr>
        <w:rPr>
          <w:lang w:eastAsia="en-AU"/>
        </w:rPr>
      </w:pPr>
      <w:r>
        <w:rPr>
          <w:b/>
          <w:bCs/>
          <w:lang w:eastAsia="en-AU"/>
        </w:rPr>
        <w:t xml:space="preserve">Held (3:0): </w:t>
      </w:r>
      <w:r>
        <w:rPr>
          <w:lang w:eastAsia="en-AU"/>
        </w:rPr>
        <w:t>Appeal allowed</w:t>
      </w:r>
      <w:r w:rsidRPr="004E51ED">
        <w:rPr>
          <w:lang w:eastAsia="en-AU"/>
        </w:rPr>
        <w:t>.</w:t>
      </w:r>
    </w:p>
    <w:p w14:paraId="4BB91738" w14:textId="77777777" w:rsidR="00212982" w:rsidRDefault="00212982" w:rsidP="00212982">
      <w:pPr>
        <w:pStyle w:val="BullDivider1"/>
      </w:pPr>
    </w:p>
    <w:p w14:paraId="16BCA267" w14:textId="77777777" w:rsidR="00212982" w:rsidRDefault="00212982" w:rsidP="00212982">
      <w:pPr>
        <w:rPr>
          <w:lang w:eastAsia="en-AU"/>
        </w:rPr>
      </w:pPr>
    </w:p>
    <w:p w14:paraId="02D53A0F" w14:textId="16A39BFC" w:rsidR="00F6173F" w:rsidRDefault="00F6173F" w:rsidP="00F6173F">
      <w:pPr>
        <w:pStyle w:val="Heading2"/>
      </w:pPr>
      <w:r>
        <w:t>CSY v CSZ</w:t>
      </w:r>
    </w:p>
    <w:p w14:paraId="4921060C" w14:textId="533ADE9B" w:rsidR="00F6173F" w:rsidRDefault="00F6173F" w:rsidP="00F6173F">
      <w:pPr>
        <w:rPr>
          <w:lang w:eastAsia="en-AU"/>
        </w:rPr>
      </w:pPr>
      <w:r>
        <w:rPr>
          <w:b/>
          <w:bCs/>
          <w:lang w:eastAsia="en-AU"/>
        </w:rPr>
        <w:t>Court of Appeal of Singapore</w:t>
      </w:r>
      <w:r w:rsidRPr="006B0D58">
        <w:rPr>
          <w:b/>
          <w:bCs/>
          <w:lang w:eastAsia="en-AU"/>
        </w:rPr>
        <w:t>:</w:t>
      </w:r>
      <w:r>
        <w:rPr>
          <w:b/>
          <w:bCs/>
          <w:lang w:eastAsia="en-AU"/>
        </w:rPr>
        <w:t xml:space="preserve"> </w:t>
      </w:r>
      <w:hyperlink r:id="rId11" w:history="1">
        <w:r w:rsidRPr="00F6173F">
          <w:rPr>
            <w:rStyle w:val="Hyperlink"/>
            <w:lang w:eastAsia="en-AU"/>
          </w:rPr>
          <w:t>[2022] SGCA 43</w:t>
        </w:r>
      </w:hyperlink>
    </w:p>
    <w:p w14:paraId="12F1E7D6" w14:textId="77777777" w:rsidR="00F6173F" w:rsidRDefault="00F6173F" w:rsidP="00F6173F">
      <w:pPr>
        <w:rPr>
          <w:lang w:eastAsia="en-AU"/>
        </w:rPr>
      </w:pPr>
    </w:p>
    <w:p w14:paraId="6557AF51" w14:textId="13E1D548" w:rsidR="00F6173F" w:rsidRPr="00DB68FF" w:rsidRDefault="00F6173F" w:rsidP="00F6173F">
      <w:pPr>
        <w:rPr>
          <w:lang w:eastAsia="en-AU"/>
        </w:rPr>
      </w:pPr>
      <w:r>
        <w:rPr>
          <w:b/>
          <w:bCs/>
          <w:lang w:eastAsia="en-AU"/>
        </w:rPr>
        <w:t xml:space="preserve">Judgment delivered: </w:t>
      </w:r>
      <w:r>
        <w:rPr>
          <w:lang w:eastAsia="en-AU"/>
        </w:rPr>
        <w:t xml:space="preserve">19 May 2022 </w:t>
      </w:r>
    </w:p>
    <w:p w14:paraId="6FEDA791" w14:textId="77777777" w:rsidR="00F6173F" w:rsidRDefault="00F6173F" w:rsidP="00F6173F">
      <w:pPr>
        <w:rPr>
          <w:b/>
          <w:bCs/>
          <w:lang w:eastAsia="en-AU"/>
        </w:rPr>
      </w:pPr>
    </w:p>
    <w:p w14:paraId="0B424A28" w14:textId="578696E4" w:rsidR="00F6173F" w:rsidRDefault="00F6173F" w:rsidP="00F6173F">
      <w:pPr>
        <w:rPr>
          <w:lang w:eastAsia="en-AU"/>
        </w:rPr>
      </w:pPr>
      <w:r>
        <w:rPr>
          <w:b/>
          <w:bCs/>
          <w:lang w:eastAsia="en-AU"/>
        </w:rPr>
        <w:t>Coram:</w:t>
      </w:r>
      <w:r w:rsidRPr="00DB68FF">
        <w:t xml:space="preserve"> </w:t>
      </w:r>
      <w:r w:rsidRPr="00F6173F">
        <w:rPr>
          <w:lang w:eastAsia="en-AU"/>
        </w:rPr>
        <w:t>Menon CJ and Leong JCA</w:t>
      </w:r>
    </w:p>
    <w:p w14:paraId="0923AA57" w14:textId="77777777" w:rsidR="00F6173F" w:rsidRDefault="00F6173F" w:rsidP="00F6173F">
      <w:pPr>
        <w:rPr>
          <w:b/>
          <w:bCs/>
          <w:lang w:eastAsia="en-AU"/>
        </w:rPr>
      </w:pPr>
    </w:p>
    <w:p w14:paraId="384A7BDC" w14:textId="77777777" w:rsidR="00F6173F" w:rsidRDefault="00F6173F" w:rsidP="00F6173F">
      <w:pPr>
        <w:rPr>
          <w:b/>
          <w:bCs/>
          <w:lang w:eastAsia="en-AU"/>
        </w:rPr>
      </w:pPr>
      <w:r>
        <w:rPr>
          <w:b/>
          <w:bCs/>
          <w:lang w:eastAsia="en-AU"/>
        </w:rPr>
        <w:t>Catchwords:</w:t>
      </w:r>
    </w:p>
    <w:p w14:paraId="1C7E7FDD" w14:textId="77777777" w:rsidR="00F6173F" w:rsidRDefault="00F6173F" w:rsidP="00F6173F">
      <w:pPr>
        <w:rPr>
          <w:b/>
          <w:bCs/>
          <w:lang w:eastAsia="en-AU"/>
        </w:rPr>
      </w:pPr>
    </w:p>
    <w:p w14:paraId="3BFC0C10" w14:textId="11F8A5DB" w:rsidR="00F6173F" w:rsidRPr="008650AA" w:rsidRDefault="00F6173F" w:rsidP="00F6173F">
      <w:pPr>
        <w:pStyle w:val="Catchwords"/>
      </w:pPr>
      <w:r>
        <w:t>Arbitration – Domestic arbitration – Stay of proceedings – Exercise of courts</w:t>
      </w:r>
      <w:r w:rsidR="00A74661">
        <w:t>'</w:t>
      </w:r>
      <w:r>
        <w:t xml:space="preserve"> discretion </w:t>
      </w:r>
      <w:r w:rsidR="00212982">
        <w:t xml:space="preserve">– Where differences in legislative schemes governing domestic and international arbitration regarding stay of court proceedings brought in breach of arbitration agreement – Where, for international arbitrations, court mandated to stay proceedings in favour of international arbitration unless arbitration agreement </w:t>
      </w:r>
      <w:r w:rsidR="00A74661">
        <w:t>"</w:t>
      </w:r>
      <w:r w:rsidR="00212982">
        <w:t>null and void, inoperative or incapable of being performed</w:t>
      </w:r>
      <w:r w:rsidR="00A74661">
        <w:t>"</w:t>
      </w:r>
      <w:r w:rsidR="00212982">
        <w:t xml:space="preserve"> under s 6(2) of </w:t>
      </w:r>
      <w:r w:rsidR="00212982" w:rsidRPr="00957596">
        <w:rPr>
          <w:i/>
          <w:iCs/>
        </w:rPr>
        <w:t>International Arbitration Act 1994</w:t>
      </w:r>
      <w:r w:rsidR="00212982" w:rsidRPr="00212982">
        <w:t xml:space="preserve"> (2020 Rev Ed)</w:t>
      </w:r>
      <w:r>
        <w:t xml:space="preserve"> </w:t>
      </w:r>
      <w:r w:rsidR="00212982">
        <w:t xml:space="preserve">– Where, for domestic arbitration, court </w:t>
      </w:r>
      <w:r w:rsidR="00212982" w:rsidRPr="00212982">
        <w:t xml:space="preserve">retains discretion to refuse to stay court proceedings in favour of domestic arbitration under s 6(2) of </w:t>
      </w:r>
      <w:r w:rsidR="00212982" w:rsidRPr="00957596">
        <w:rPr>
          <w:i/>
          <w:iCs/>
        </w:rPr>
        <w:t>Arbitration Act</w:t>
      </w:r>
      <w:r w:rsidR="00212982" w:rsidRPr="00212982">
        <w:t xml:space="preserve"> (Cap 10, 2002 Rev Ed)</w:t>
      </w:r>
      <w:r w:rsidR="00212982">
        <w:t xml:space="preserve"> (</w:t>
      </w:r>
      <w:r w:rsidR="00A74661">
        <w:t>"</w:t>
      </w:r>
      <w:r w:rsidR="00212982">
        <w:t>AA</w:t>
      </w:r>
      <w:r w:rsidR="00A74661">
        <w:t>"</w:t>
      </w:r>
      <w:r w:rsidR="00212982">
        <w:t xml:space="preserve">) when court satisfied there sufficient reason why matter should not be referred to arbitration in accordance with arbitration agreement or if applicant seeking stay not ready and willing to do all necessary for proper </w:t>
      </w:r>
      <w:r w:rsidR="00212982">
        <w:lastRenderedPageBreak/>
        <w:t>conduct of arbitration – Where appellant appealed against decision of High Court granting application of respondent to stay proceedings in favour of domestic arbitration – Proper approach to court</w:t>
      </w:r>
      <w:r w:rsidR="00A74661">
        <w:t>'</w:t>
      </w:r>
      <w:r w:rsidR="00212982">
        <w:t>s exercise of discretion to refuse stay of proceedings in favour of domestic arbitration under s 6 of AA</w:t>
      </w:r>
      <w:r>
        <w:t xml:space="preserve">. </w:t>
      </w:r>
    </w:p>
    <w:p w14:paraId="4F67A64A" w14:textId="77777777" w:rsidR="00F6173F" w:rsidRDefault="00F6173F" w:rsidP="00F6173F">
      <w:pPr>
        <w:rPr>
          <w:b/>
          <w:bCs/>
          <w:lang w:eastAsia="en-AU"/>
        </w:rPr>
      </w:pPr>
    </w:p>
    <w:p w14:paraId="566354F9" w14:textId="4E7A6E02" w:rsidR="00F6173F" w:rsidRDefault="00F6173F" w:rsidP="00F6173F">
      <w:pPr>
        <w:rPr>
          <w:lang w:eastAsia="en-AU"/>
        </w:rPr>
      </w:pPr>
      <w:r>
        <w:rPr>
          <w:b/>
          <w:bCs/>
          <w:lang w:eastAsia="en-AU"/>
        </w:rPr>
        <w:t xml:space="preserve">Held (2:0): </w:t>
      </w:r>
      <w:r>
        <w:rPr>
          <w:lang w:eastAsia="en-AU"/>
        </w:rPr>
        <w:t>Appeal allowed</w:t>
      </w:r>
      <w:r w:rsidRPr="004E51ED">
        <w:rPr>
          <w:lang w:eastAsia="en-AU"/>
        </w:rPr>
        <w:t>.</w:t>
      </w:r>
    </w:p>
    <w:p w14:paraId="3BBFCA78" w14:textId="77777777" w:rsidR="00F6173F" w:rsidRDefault="00F6173F" w:rsidP="00F6173F">
      <w:pPr>
        <w:pStyle w:val="BullDivider1"/>
      </w:pPr>
    </w:p>
    <w:p w14:paraId="03FADC46" w14:textId="49E121A0" w:rsidR="00CF2169" w:rsidRDefault="00CF2169" w:rsidP="00CF2169">
      <w:pPr>
        <w:rPr>
          <w:lang w:eastAsia="en-AU"/>
        </w:rPr>
      </w:pPr>
    </w:p>
    <w:p w14:paraId="21578407" w14:textId="1E8AB676" w:rsidR="00CF2169" w:rsidRPr="00297E73" w:rsidRDefault="00CF2169" w:rsidP="00CF2169">
      <w:pPr>
        <w:pStyle w:val="Heading2"/>
        <w:rPr>
          <w:i w:val="0"/>
          <w:iCs w:val="0"/>
        </w:rPr>
      </w:pPr>
      <w:r>
        <w:t>Morgan v Sundance, Inc</w:t>
      </w:r>
    </w:p>
    <w:p w14:paraId="3570CB19" w14:textId="15430D8C" w:rsidR="00CF2169" w:rsidRPr="00CF2169" w:rsidRDefault="00CF2169" w:rsidP="00CF2169">
      <w:pPr>
        <w:rPr>
          <w:rStyle w:val="Hyperlink"/>
          <w:lang w:eastAsia="en-AU"/>
        </w:rPr>
      </w:pPr>
      <w:r>
        <w:rPr>
          <w:b/>
          <w:bCs/>
          <w:lang w:eastAsia="en-AU"/>
        </w:rPr>
        <w:t>Supreme Court of the United States</w:t>
      </w:r>
      <w:r w:rsidRPr="006B0D58">
        <w:rPr>
          <w:b/>
          <w:bCs/>
          <w:lang w:eastAsia="en-AU"/>
        </w:rPr>
        <w:t>:</w:t>
      </w:r>
      <w:r>
        <w:rPr>
          <w:lang w:eastAsia="en-AU"/>
        </w:rPr>
        <w:t xml:space="preserve"> </w:t>
      </w:r>
      <w:r>
        <w:fldChar w:fldCharType="begin"/>
      </w:r>
      <w:r>
        <w:instrText xml:space="preserve"> HYPERLINK "https://www.supremecourt.gov/opinions/21pdf/21-328_m6ho.pdf" </w:instrText>
      </w:r>
      <w:r>
        <w:fldChar w:fldCharType="separate"/>
      </w:r>
      <w:r w:rsidRPr="00CF2169">
        <w:rPr>
          <w:rStyle w:val="Hyperlink"/>
        </w:rPr>
        <w:t>Docket No. 21</w:t>
      </w:r>
      <w:r w:rsidR="00515F52" w:rsidRPr="00515F52">
        <w:rPr>
          <w:rStyle w:val="Hyperlink"/>
        </w:rPr>
        <w:t>–</w:t>
      </w:r>
      <w:r w:rsidRPr="00CF2169">
        <w:rPr>
          <w:rStyle w:val="Hyperlink"/>
        </w:rPr>
        <w:t>328</w:t>
      </w:r>
    </w:p>
    <w:p w14:paraId="432C4DA8" w14:textId="314FF926" w:rsidR="00CF2169" w:rsidRDefault="00CF2169" w:rsidP="00CF2169">
      <w:pPr>
        <w:rPr>
          <w:lang w:eastAsia="en-AU"/>
        </w:rPr>
      </w:pPr>
      <w:r>
        <w:fldChar w:fldCharType="end"/>
      </w:r>
    </w:p>
    <w:p w14:paraId="15ABFC20" w14:textId="16D423F8" w:rsidR="00CF2169" w:rsidRPr="00DB68FF" w:rsidRDefault="00CF2169" w:rsidP="00CF2169">
      <w:pPr>
        <w:rPr>
          <w:lang w:eastAsia="en-AU"/>
        </w:rPr>
      </w:pPr>
      <w:r>
        <w:rPr>
          <w:b/>
          <w:bCs/>
          <w:lang w:eastAsia="en-AU"/>
        </w:rPr>
        <w:t xml:space="preserve">Judgment delivered: </w:t>
      </w:r>
      <w:r>
        <w:rPr>
          <w:lang w:eastAsia="en-AU"/>
        </w:rPr>
        <w:t xml:space="preserve">23 May 2022 </w:t>
      </w:r>
    </w:p>
    <w:p w14:paraId="01F42627" w14:textId="77777777" w:rsidR="00CF2169" w:rsidRDefault="00CF2169" w:rsidP="00CF2169">
      <w:pPr>
        <w:rPr>
          <w:b/>
          <w:bCs/>
          <w:lang w:eastAsia="en-AU"/>
        </w:rPr>
      </w:pPr>
    </w:p>
    <w:p w14:paraId="0E68676F" w14:textId="77777777" w:rsidR="00CF2169" w:rsidRDefault="00CF2169" w:rsidP="00CF2169">
      <w:pPr>
        <w:rPr>
          <w:lang w:eastAsia="en-AU"/>
        </w:rPr>
      </w:pPr>
      <w:r>
        <w:rPr>
          <w:b/>
          <w:bCs/>
          <w:lang w:eastAsia="en-AU"/>
        </w:rPr>
        <w:t>Coram:</w:t>
      </w:r>
      <w:r w:rsidRPr="00DB68FF">
        <w:t xml:space="preserve"> </w:t>
      </w:r>
      <w:r>
        <w:rPr>
          <w:lang w:eastAsia="en-AU"/>
        </w:rPr>
        <w:t xml:space="preserve">Roberts CJ, Thomas, </w:t>
      </w:r>
      <w:proofErr w:type="spellStart"/>
      <w:r>
        <w:rPr>
          <w:lang w:eastAsia="en-AU"/>
        </w:rPr>
        <w:t>Breyer</w:t>
      </w:r>
      <w:proofErr w:type="spellEnd"/>
      <w:r>
        <w:rPr>
          <w:lang w:eastAsia="en-AU"/>
        </w:rPr>
        <w:t>, Alito, Sotomayor, Kagan, Gorsuch,</w:t>
      </w:r>
    </w:p>
    <w:p w14:paraId="5654C8D2" w14:textId="77777777" w:rsidR="00CF2169" w:rsidRPr="00DB68FF" w:rsidRDefault="00CF2169" w:rsidP="00CF2169">
      <w:pPr>
        <w:rPr>
          <w:lang w:eastAsia="en-AU"/>
        </w:rPr>
      </w:pPr>
      <w:r>
        <w:rPr>
          <w:lang w:eastAsia="en-AU"/>
        </w:rPr>
        <w:t>Kavanaugh and Barrett JJ</w:t>
      </w:r>
    </w:p>
    <w:p w14:paraId="0DA8F350" w14:textId="77777777" w:rsidR="00CF2169" w:rsidRDefault="00CF2169" w:rsidP="00CF2169">
      <w:pPr>
        <w:rPr>
          <w:b/>
          <w:bCs/>
          <w:lang w:eastAsia="en-AU"/>
        </w:rPr>
      </w:pPr>
    </w:p>
    <w:p w14:paraId="258B016E" w14:textId="77777777" w:rsidR="00CF2169" w:rsidRDefault="00CF2169" w:rsidP="00CF2169">
      <w:pPr>
        <w:rPr>
          <w:b/>
          <w:bCs/>
          <w:lang w:eastAsia="en-AU"/>
        </w:rPr>
      </w:pPr>
      <w:r>
        <w:rPr>
          <w:b/>
          <w:bCs/>
          <w:lang w:eastAsia="en-AU"/>
        </w:rPr>
        <w:t>Catchwords:</w:t>
      </w:r>
    </w:p>
    <w:p w14:paraId="60C2A9BB" w14:textId="77777777" w:rsidR="00CF2169" w:rsidRDefault="00CF2169" w:rsidP="00CF2169">
      <w:pPr>
        <w:rPr>
          <w:b/>
          <w:bCs/>
          <w:lang w:eastAsia="en-AU"/>
        </w:rPr>
      </w:pPr>
    </w:p>
    <w:p w14:paraId="26F663CB" w14:textId="47D8D356" w:rsidR="00CF2169" w:rsidRPr="008650AA" w:rsidRDefault="00CF2169" w:rsidP="00582CAB">
      <w:pPr>
        <w:pStyle w:val="Catchwords"/>
      </w:pPr>
      <w:r>
        <w:t xml:space="preserve">Arbitration </w:t>
      </w:r>
      <w:r w:rsidR="00957596">
        <w:t xml:space="preserve">– Employment dispute </w:t>
      </w:r>
      <w:r>
        <w:t>– Agreement to arbitrate</w:t>
      </w:r>
      <w:r w:rsidR="00957596">
        <w:t xml:space="preserve"> </w:t>
      </w:r>
      <w:r>
        <w:t xml:space="preserve">– Where petitioner hourly employee at Taco Bell franchise owned by respondent – Where petitioner signed agreement to arbitrate any employment dispute </w:t>
      </w:r>
      <w:r w:rsidR="00582CAB">
        <w:t>–</w:t>
      </w:r>
      <w:r>
        <w:t xml:space="preserve"> </w:t>
      </w:r>
      <w:r w:rsidR="00582CAB">
        <w:t xml:space="preserve">Where, despite agreement, petitioner filed nationwide collective action asserting respondent violated federal law regarding overtime payment – Where respondent defended action but, eight months after commencement of lawsuit, respondent moved to stay litigation and compel arbitration under </w:t>
      </w:r>
      <w:r w:rsidR="00582CAB">
        <w:rPr>
          <w:i/>
          <w:iCs/>
        </w:rPr>
        <w:t>Federal Arbitration Act</w:t>
      </w:r>
      <w:r w:rsidR="00582CAB">
        <w:t xml:space="preserve">, </w:t>
      </w:r>
      <w:r w:rsidR="00582CAB" w:rsidRPr="00582CAB">
        <w:t>9 U</w:t>
      </w:r>
      <w:r w:rsidR="00582CAB">
        <w:t>SC</w:t>
      </w:r>
      <w:r w:rsidR="00582CAB" w:rsidRPr="00582CAB">
        <w:t xml:space="preserve"> §3</w:t>
      </w:r>
      <w:r w:rsidR="00582CAB">
        <w:t xml:space="preserve"> – Where petitioner argued respondent waived right to arbitrate for litigating for so long – Where courts below applied Eighth Circuit precedent, under which party waives right to arbitration if knew of right; </w:t>
      </w:r>
      <w:r w:rsidR="00A74661">
        <w:t>"</w:t>
      </w:r>
      <w:r w:rsidR="00582CAB">
        <w:t>acted inconsistently with right</w:t>
      </w:r>
      <w:r w:rsidR="00A74661">
        <w:t>"</w:t>
      </w:r>
      <w:r w:rsidR="00582CAB">
        <w:t xml:space="preserve">; and </w:t>
      </w:r>
      <w:r w:rsidR="00A74661">
        <w:t>"</w:t>
      </w:r>
      <w:r w:rsidR="00582CAB">
        <w:t>prejudiced other party by inconsistent actions</w:t>
      </w:r>
      <w:r w:rsidR="00A74661">
        <w:t>"</w:t>
      </w:r>
      <w:r w:rsidR="00582CAB">
        <w:t xml:space="preserve">: </w:t>
      </w:r>
      <w:r w:rsidR="00582CAB" w:rsidRPr="00582CAB">
        <w:rPr>
          <w:i/>
          <w:iCs/>
        </w:rPr>
        <w:t>Erdman Co v Phoenix Land &amp; Acquisition, LLC,</w:t>
      </w:r>
      <w:r w:rsidR="00582CAB">
        <w:t xml:space="preserve"> 650 F 3d 1115, 1117 – Where prejudice requirement not feature of federal waiver law generally – Where Eighth Circuit adopted requirement because of federal policy </w:t>
      </w:r>
      <w:r w:rsidR="00AD35F2">
        <w:t>favouring</w:t>
      </w:r>
      <w:r w:rsidR="00582CAB">
        <w:t xml:space="preserve"> arbitration, but other courts rejected such requirement – Whether federal courts should adopt arbitration-specific waiver rule demanding showing of prejudice.</w:t>
      </w:r>
      <w:r>
        <w:t xml:space="preserve"> </w:t>
      </w:r>
    </w:p>
    <w:p w14:paraId="555F3C0F" w14:textId="77777777" w:rsidR="00CF2169" w:rsidRDefault="00CF2169" w:rsidP="00CF2169">
      <w:pPr>
        <w:rPr>
          <w:b/>
          <w:bCs/>
          <w:lang w:eastAsia="en-AU"/>
        </w:rPr>
      </w:pPr>
    </w:p>
    <w:p w14:paraId="418FF912" w14:textId="4FCC0539" w:rsidR="00CF2169" w:rsidRDefault="00CF2169" w:rsidP="00CF2169">
      <w:pPr>
        <w:rPr>
          <w:lang w:eastAsia="en-AU"/>
        </w:rPr>
      </w:pPr>
      <w:r>
        <w:rPr>
          <w:b/>
          <w:bCs/>
          <w:lang w:eastAsia="en-AU"/>
        </w:rPr>
        <w:t>Held (9:0):</w:t>
      </w:r>
      <w:r w:rsidRPr="00FD6C82">
        <w:rPr>
          <w:lang w:eastAsia="en-AU"/>
        </w:rPr>
        <w:t xml:space="preserve"> Judgment of Court of Appeals for the </w:t>
      </w:r>
      <w:r>
        <w:rPr>
          <w:lang w:eastAsia="en-AU"/>
        </w:rPr>
        <w:t>Eighth</w:t>
      </w:r>
      <w:r w:rsidRPr="00FD6C82">
        <w:rPr>
          <w:lang w:eastAsia="en-AU"/>
        </w:rPr>
        <w:t xml:space="preserve"> Circuit </w:t>
      </w:r>
      <w:proofErr w:type="gramStart"/>
      <w:r>
        <w:rPr>
          <w:lang w:eastAsia="en-AU"/>
        </w:rPr>
        <w:t>vacated</w:t>
      </w:r>
      <w:proofErr w:type="gramEnd"/>
      <w:r w:rsidRPr="00FD6C82">
        <w:rPr>
          <w:lang w:eastAsia="en-AU"/>
        </w:rPr>
        <w:t xml:space="preserve"> and case remanded.</w:t>
      </w:r>
    </w:p>
    <w:p w14:paraId="4B52F76A" w14:textId="77777777" w:rsidR="00CF2169" w:rsidRDefault="00CF2169" w:rsidP="00CF2169">
      <w:pPr>
        <w:pStyle w:val="BullDivider2"/>
      </w:pPr>
    </w:p>
    <w:p w14:paraId="2DC6C84B" w14:textId="77777777" w:rsidR="00FD6C82" w:rsidRPr="00FD6C82" w:rsidRDefault="00FD6C82" w:rsidP="00FD6C82">
      <w:pPr>
        <w:rPr>
          <w:lang w:eastAsia="en-AU"/>
        </w:rPr>
      </w:pPr>
    </w:p>
    <w:p w14:paraId="6E52BE72" w14:textId="079D9335" w:rsidR="00CE512F" w:rsidRDefault="00CE512F" w:rsidP="009556B8">
      <w:pPr>
        <w:pStyle w:val="Heading1"/>
      </w:pPr>
      <w:r>
        <w:t xml:space="preserve">Constitutional Law </w:t>
      </w:r>
    </w:p>
    <w:p w14:paraId="0C9EEC32" w14:textId="1BFC2AAB" w:rsidR="00CE512F" w:rsidRDefault="00CE512F" w:rsidP="00CE512F">
      <w:pPr>
        <w:rPr>
          <w:lang w:eastAsia="en-AU"/>
        </w:rPr>
      </w:pPr>
    </w:p>
    <w:p w14:paraId="33FD9AB1" w14:textId="3279B605" w:rsidR="00A479EC" w:rsidRDefault="00A479EC" w:rsidP="00A479EC">
      <w:pPr>
        <w:pStyle w:val="Heading2"/>
      </w:pPr>
      <w:r>
        <w:t xml:space="preserve">Attorney-General v </w:t>
      </w:r>
      <w:proofErr w:type="spellStart"/>
      <w:r>
        <w:t>Datchinamurthy</w:t>
      </w:r>
      <w:proofErr w:type="spellEnd"/>
      <w:r>
        <w:t xml:space="preserve"> a/l </w:t>
      </w:r>
      <w:proofErr w:type="spellStart"/>
      <w:r>
        <w:t>Kataiah</w:t>
      </w:r>
      <w:proofErr w:type="spellEnd"/>
    </w:p>
    <w:p w14:paraId="51E75BC3" w14:textId="0AEC4F9A" w:rsidR="00A479EC" w:rsidRDefault="001D42D3" w:rsidP="00A479EC">
      <w:pPr>
        <w:rPr>
          <w:lang w:eastAsia="en-AU"/>
        </w:rPr>
      </w:pPr>
      <w:r>
        <w:rPr>
          <w:b/>
          <w:bCs/>
          <w:lang w:eastAsia="en-AU"/>
        </w:rPr>
        <w:t>Court of Appeal</w:t>
      </w:r>
      <w:r w:rsidR="00F6173F">
        <w:rPr>
          <w:b/>
          <w:bCs/>
          <w:lang w:eastAsia="en-AU"/>
        </w:rPr>
        <w:t xml:space="preserve"> of Singapore</w:t>
      </w:r>
      <w:r w:rsidR="00A479EC" w:rsidRPr="006B0D58">
        <w:rPr>
          <w:b/>
          <w:bCs/>
          <w:lang w:eastAsia="en-AU"/>
        </w:rPr>
        <w:t>:</w:t>
      </w:r>
      <w:r>
        <w:rPr>
          <w:b/>
          <w:bCs/>
          <w:lang w:eastAsia="en-AU"/>
        </w:rPr>
        <w:t xml:space="preserve"> </w:t>
      </w:r>
      <w:hyperlink r:id="rId12" w:history="1">
        <w:r w:rsidRPr="001D42D3">
          <w:rPr>
            <w:rStyle w:val="Hyperlink"/>
            <w:lang w:eastAsia="en-AU"/>
          </w:rPr>
          <w:t>[2022] SGCA 46</w:t>
        </w:r>
      </w:hyperlink>
    </w:p>
    <w:p w14:paraId="33B83742" w14:textId="77777777" w:rsidR="00A479EC" w:rsidRDefault="00A479EC" w:rsidP="00A479EC">
      <w:pPr>
        <w:rPr>
          <w:lang w:eastAsia="en-AU"/>
        </w:rPr>
      </w:pPr>
    </w:p>
    <w:p w14:paraId="3D2CBCA3" w14:textId="68DE3A1D" w:rsidR="00A479EC" w:rsidRPr="00DB68FF" w:rsidRDefault="00A479EC" w:rsidP="00A479EC">
      <w:pPr>
        <w:rPr>
          <w:lang w:eastAsia="en-AU"/>
        </w:rPr>
      </w:pPr>
      <w:r>
        <w:rPr>
          <w:b/>
          <w:bCs/>
          <w:lang w:eastAsia="en-AU"/>
        </w:rPr>
        <w:t xml:space="preserve">Judgment delivered: </w:t>
      </w:r>
      <w:r w:rsidR="001D42D3">
        <w:rPr>
          <w:lang w:eastAsia="en-AU"/>
        </w:rPr>
        <w:t>30 May</w:t>
      </w:r>
      <w:r>
        <w:rPr>
          <w:lang w:eastAsia="en-AU"/>
        </w:rPr>
        <w:t xml:space="preserve"> 2022 </w:t>
      </w:r>
    </w:p>
    <w:p w14:paraId="784D9500" w14:textId="77777777" w:rsidR="00A479EC" w:rsidRDefault="00A479EC" w:rsidP="00A479EC">
      <w:pPr>
        <w:rPr>
          <w:b/>
          <w:bCs/>
          <w:lang w:eastAsia="en-AU"/>
        </w:rPr>
      </w:pPr>
    </w:p>
    <w:p w14:paraId="7CDE3024" w14:textId="2A430767" w:rsidR="00A479EC" w:rsidRDefault="00A479EC" w:rsidP="00A479EC">
      <w:pPr>
        <w:rPr>
          <w:lang w:eastAsia="en-AU"/>
        </w:rPr>
      </w:pPr>
      <w:r>
        <w:rPr>
          <w:b/>
          <w:bCs/>
          <w:lang w:eastAsia="en-AU"/>
        </w:rPr>
        <w:t>Coram:</w:t>
      </w:r>
      <w:r w:rsidRPr="00DB68FF">
        <w:t xml:space="preserve"> </w:t>
      </w:r>
      <w:r w:rsidRPr="00A479EC">
        <w:rPr>
          <w:lang w:eastAsia="en-AU"/>
        </w:rPr>
        <w:t xml:space="preserve">Leong, Prakash </w:t>
      </w:r>
      <w:r w:rsidR="001D42D3">
        <w:rPr>
          <w:lang w:eastAsia="en-AU"/>
        </w:rPr>
        <w:t>J</w:t>
      </w:r>
      <w:r w:rsidRPr="00A479EC">
        <w:rPr>
          <w:lang w:eastAsia="en-AU"/>
        </w:rPr>
        <w:t>JCA and Ang JAD</w:t>
      </w:r>
    </w:p>
    <w:p w14:paraId="0D339CC3" w14:textId="77777777" w:rsidR="00A479EC" w:rsidRDefault="00A479EC" w:rsidP="00A479EC">
      <w:pPr>
        <w:rPr>
          <w:b/>
          <w:bCs/>
          <w:lang w:eastAsia="en-AU"/>
        </w:rPr>
      </w:pPr>
    </w:p>
    <w:p w14:paraId="72E9DEB8" w14:textId="77777777" w:rsidR="00A479EC" w:rsidRDefault="00A479EC" w:rsidP="00A479EC">
      <w:pPr>
        <w:rPr>
          <w:b/>
          <w:bCs/>
          <w:lang w:eastAsia="en-AU"/>
        </w:rPr>
      </w:pPr>
      <w:r>
        <w:rPr>
          <w:b/>
          <w:bCs/>
          <w:lang w:eastAsia="en-AU"/>
        </w:rPr>
        <w:t>Catchwords:</w:t>
      </w:r>
    </w:p>
    <w:p w14:paraId="11122C9C" w14:textId="77777777" w:rsidR="00A479EC" w:rsidRDefault="00A479EC" w:rsidP="00A479EC">
      <w:pPr>
        <w:rPr>
          <w:b/>
          <w:bCs/>
          <w:lang w:eastAsia="en-AU"/>
        </w:rPr>
      </w:pPr>
    </w:p>
    <w:p w14:paraId="01462894" w14:textId="3293857B" w:rsidR="00A479EC" w:rsidRPr="008650AA" w:rsidRDefault="00A479EC" w:rsidP="00A479EC">
      <w:pPr>
        <w:pStyle w:val="Catchwords"/>
      </w:pPr>
      <w:r>
        <w:t>Constitutional law –</w:t>
      </w:r>
      <w:r w:rsidR="001D42D3">
        <w:t xml:space="preserve"> Judicial review – Equal protection of law – Fundamental liberties – Right to life – Stay of execution – Where respondent </w:t>
      </w:r>
      <w:r w:rsidR="001D42D3" w:rsidRPr="001D42D3">
        <w:t xml:space="preserve">convicted and sentenced </w:t>
      </w:r>
      <w:r w:rsidR="001D42D3">
        <w:t>for</w:t>
      </w:r>
      <w:r w:rsidR="001D42D3" w:rsidRPr="001D42D3">
        <w:t xml:space="preserve"> capital offence</w:t>
      </w:r>
      <w:r w:rsidR="001D42D3">
        <w:t xml:space="preserve"> and date of</w:t>
      </w:r>
      <w:r w:rsidR="001D42D3" w:rsidRPr="001D42D3">
        <w:t xml:space="preserve"> execution fixed</w:t>
      </w:r>
      <w:r w:rsidR="001D42D3">
        <w:t xml:space="preserve"> – Where execution date </w:t>
      </w:r>
      <w:r w:rsidR="001D42D3" w:rsidRPr="001D42D3">
        <w:t xml:space="preserve">fell prior to hearing of civil matter in which </w:t>
      </w:r>
      <w:r w:rsidR="001D42D3">
        <w:t>respondent</w:t>
      </w:r>
      <w:r w:rsidR="001D42D3" w:rsidRPr="001D42D3">
        <w:t xml:space="preserve"> one of 13 plaintiffs</w:t>
      </w:r>
      <w:r w:rsidR="001D42D3">
        <w:t xml:space="preserve"> – Where </w:t>
      </w:r>
      <w:r w:rsidR="001D42D3" w:rsidRPr="001D42D3">
        <w:t xml:space="preserve">High Court judge found there prima facie case of unequal treatment and allowed </w:t>
      </w:r>
      <w:r w:rsidR="001D42D3">
        <w:t>respondent</w:t>
      </w:r>
      <w:r w:rsidR="00A74661">
        <w:t>'</w:t>
      </w:r>
      <w:r w:rsidR="001D42D3">
        <w:t>s</w:t>
      </w:r>
      <w:r w:rsidR="001D42D3" w:rsidRPr="001D42D3">
        <w:t xml:space="preserve"> application for leave to commence judicial review proceedings</w:t>
      </w:r>
      <w:r w:rsidR="001D42D3">
        <w:t xml:space="preserve"> –</w:t>
      </w:r>
      <w:r w:rsidR="001D42D3" w:rsidRPr="001D42D3">
        <w:t xml:space="preserve"> </w:t>
      </w:r>
      <w:r w:rsidR="001D42D3">
        <w:t>Whether, by scheduling of execution,</w:t>
      </w:r>
      <w:r w:rsidR="001D42D3" w:rsidRPr="001D42D3">
        <w:t xml:space="preserve"> </w:t>
      </w:r>
      <w:r w:rsidR="001D42D3">
        <w:t>respondent</w:t>
      </w:r>
      <w:r w:rsidR="001D42D3" w:rsidRPr="001D42D3">
        <w:t xml:space="preserve"> subjected to unequal treatment </w:t>
      </w:r>
      <w:r w:rsidR="001D42D3">
        <w:t>– Whether to stay execution pending resolution of respondent</w:t>
      </w:r>
      <w:r w:rsidR="00A74661">
        <w:t>'</w:t>
      </w:r>
      <w:r w:rsidR="001D42D3">
        <w:t>s judicial review application</w:t>
      </w:r>
      <w:r>
        <w:t xml:space="preserve">. </w:t>
      </w:r>
    </w:p>
    <w:p w14:paraId="7B8F6950" w14:textId="77777777" w:rsidR="00A479EC" w:rsidRDefault="00A479EC" w:rsidP="00A479EC">
      <w:pPr>
        <w:rPr>
          <w:b/>
          <w:bCs/>
          <w:lang w:eastAsia="en-AU"/>
        </w:rPr>
      </w:pPr>
    </w:p>
    <w:p w14:paraId="47C82111" w14:textId="2F01471B" w:rsidR="00A479EC" w:rsidRDefault="00A479EC" w:rsidP="00A479EC">
      <w:pPr>
        <w:rPr>
          <w:lang w:eastAsia="en-AU"/>
        </w:rPr>
      </w:pPr>
      <w:r>
        <w:rPr>
          <w:b/>
          <w:bCs/>
          <w:lang w:eastAsia="en-AU"/>
        </w:rPr>
        <w:t xml:space="preserve">Held (3:0): </w:t>
      </w:r>
      <w:r>
        <w:rPr>
          <w:lang w:eastAsia="en-AU"/>
        </w:rPr>
        <w:t xml:space="preserve">Appeal </w:t>
      </w:r>
      <w:r w:rsidR="00265F84">
        <w:rPr>
          <w:lang w:eastAsia="en-AU"/>
        </w:rPr>
        <w:t>dismissed</w:t>
      </w:r>
      <w:r w:rsidRPr="004E51ED">
        <w:rPr>
          <w:lang w:eastAsia="en-AU"/>
        </w:rPr>
        <w:t>.</w:t>
      </w:r>
    </w:p>
    <w:p w14:paraId="63A96A0E" w14:textId="77777777" w:rsidR="00A479EC" w:rsidRDefault="00A479EC" w:rsidP="00A479EC">
      <w:pPr>
        <w:pStyle w:val="BullDivider1"/>
      </w:pPr>
    </w:p>
    <w:p w14:paraId="443C1791" w14:textId="77777777" w:rsidR="00A479EC" w:rsidRDefault="00A479EC" w:rsidP="00CE512F">
      <w:pPr>
        <w:rPr>
          <w:lang w:eastAsia="en-AU"/>
        </w:rPr>
      </w:pPr>
    </w:p>
    <w:p w14:paraId="12804609" w14:textId="0C48CCE0" w:rsidR="004E51ED" w:rsidRDefault="004E51ED" w:rsidP="004E51ED">
      <w:pPr>
        <w:pStyle w:val="Heading2"/>
        <w:rPr>
          <w:i w:val="0"/>
          <w:iCs w:val="0"/>
        </w:rPr>
      </w:pPr>
      <w:r>
        <w:t>City of Austin, Texas v Reagan National Advertising of Austin, LLC</w:t>
      </w:r>
    </w:p>
    <w:p w14:paraId="7FC27997" w14:textId="11D63274" w:rsidR="004E51ED" w:rsidRDefault="004E51ED" w:rsidP="004E51ED">
      <w:pPr>
        <w:rPr>
          <w:lang w:eastAsia="en-AU"/>
        </w:rPr>
      </w:pPr>
      <w:r>
        <w:rPr>
          <w:b/>
          <w:bCs/>
          <w:lang w:eastAsia="en-AU"/>
        </w:rPr>
        <w:t>Supreme Court of the United States</w:t>
      </w:r>
      <w:r w:rsidRPr="006B0D58">
        <w:rPr>
          <w:b/>
          <w:bCs/>
          <w:lang w:eastAsia="en-AU"/>
        </w:rPr>
        <w:t>:</w:t>
      </w:r>
      <w:r>
        <w:rPr>
          <w:lang w:eastAsia="en-AU"/>
        </w:rPr>
        <w:t xml:space="preserve"> </w:t>
      </w:r>
      <w:hyperlink r:id="rId13" w:history="1">
        <w:r w:rsidR="00DB5E34">
          <w:rPr>
            <w:rStyle w:val="Hyperlink"/>
          </w:rPr>
          <w:t>Docket No. 20</w:t>
        </w:r>
        <w:r w:rsidR="00515F52" w:rsidRPr="00515F52">
          <w:rPr>
            <w:rStyle w:val="Hyperlink"/>
          </w:rPr>
          <w:t>–</w:t>
        </w:r>
        <w:r w:rsidR="00DB5E34">
          <w:rPr>
            <w:rStyle w:val="Hyperlink"/>
          </w:rPr>
          <w:t>1029</w:t>
        </w:r>
      </w:hyperlink>
    </w:p>
    <w:p w14:paraId="62BF87AB" w14:textId="77777777" w:rsidR="004E51ED" w:rsidRDefault="004E51ED" w:rsidP="004E51ED">
      <w:pPr>
        <w:rPr>
          <w:lang w:eastAsia="en-AU"/>
        </w:rPr>
      </w:pPr>
    </w:p>
    <w:p w14:paraId="68C4A806" w14:textId="59AA7B4F" w:rsidR="004E51ED" w:rsidRPr="00DB68FF" w:rsidRDefault="004E51ED" w:rsidP="004E51ED">
      <w:pPr>
        <w:rPr>
          <w:lang w:eastAsia="en-AU"/>
        </w:rPr>
      </w:pPr>
      <w:r>
        <w:rPr>
          <w:b/>
          <w:bCs/>
          <w:lang w:eastAsia="en-AU"/>
        </w:rPr>
        <w:t xml:space="preserve">Judgment delivered: </w:t>
      </w:r>
      <w:r w:rsidR="00DB5E34">
        <w:rPr>
          <w:lang w:eastAsia="en-AU"/>
        </w:rPr>
        <w:t>21</w:t>
      </w:r>
      <w:r>
        <w:rPr>
          <w:lang w:eastAsia="en-AU"/>
        </w:rPr>
        <w:t xml:space="preserve"> April 2022 </w:t>
      </w:r>
    </w:p>
    <w:p w14:paraId="5B6EE683" w14:textId="77777777" w:rsidR="004E51ED" w:rsidRDefault="004E51ED" w:rsidP="004E51ED">
      <w:pPr>
        <w:rPr>
          <w:b/>
          <w:bCs/>
          <w:lang w:eastAsia="en-AU"/>
        </w:rPr>
      </w:pPr>
    </w:p>
    <w:p w14:paraId="488E24DA" w14:textId="77777777" w:rsidR="004E51ED" w:rsidRDefault="004E51ED" w:rsidP="004E51ED">
      <w:pPr>
        <w:rPr>
          <w:lang w:eastAsia="en-AU"/>
        </w:rPr>
      </w:pPr>
      <w:r>
        <w:rPr>
          <w:b/>
          <w:bCs/>
          <w:lang w:eastAsia="en-AU"/>
        </w:rPr>
        <w:t>Coram:</w:t>
      </w:r>
      <w:r w:rsidRPr="00DB68FF">
        <w:t xml:space="preserve"> </w:t>
      </w:r>
      <w:r>
        <w:rPr>
          <w:lang w:eastAsia="en-AU"/>
        </w:rPr>
        <w:t xml:space="preserve">Roberts CJ, Thomas, </w:t>
      </w:r>
      <w:proofErr w:type="spellStart"/>
      <w:r>
        <w:rPr>
          <w:lang w:eastAsia="en-AU"/>
        </w:rPr>
        <w:t>Breyer</w:t>
      </w:r>
      <w:proofErr w:type="spellEnd"/>
      <w:r>
        <w:rPr>
          <w:lang w:eastAsia="en-AU"/>
        </w:rPr>
        <w:t>, Alito, Sotomayor, Kagan, Gorsuch,</w:t>
      </w:r>
    </w:p>
    <w:p w14:paraId="1028A34E" w14:textId="77777777" w:rsidR="004E51ED" w:rsidRPr="00DB68FF" w:rsidRDefault="004E51ED" w:rsidP="004E51ED">
      <w:pPr>
        <w:rPr>
          <w:lang w:eastAsia="en-AU"/>
        </w:rPr>
      </w:pPr>
      <w:r>
        <w:rPr>
          <w:lang w:eastAsia="en-AU"/>
        </w:rPr>
        <w:t>Kavanaugh and Barrett JJ</w:t>
      </w:r>
    </w:p>
    <w:p w14:paraId="020D8E3A" w14:textId="77777777" w:rsidR="004E51ED" w:rsidRDefault="004E51ED" w:rsidP="004E51ED">
      <w:pPr>
        <w:rPr>
          <w:b/>
          <w:bCs/>
          <w:lang w:eastAsia="en-AU"/>
        </w:rPr>
      </w:pPr>
    </w:p>
    <w:p w14:paraId="5D1604F6" w14:textId="77777777" w:rsidR="004E51ED" w:rsidRDefault="004E51ED" w:rsidP="004E51ED">
      <w:pPr>
        <w:rPr>
          <w:b/>
          <w:bCs/>
          <w:lang w:eastAsia="en-AU"/>
        </w:rPr>
      </w:pPr>
      <w:r>
        <w:rPr>
          <w:b/>
          <w:bCs/>
          <w:lang w:eastAsia="en-AU"/>
        </w:rPr>
        <w:t>Catchwords:</w:t>
      </w:r>
    </w:p>
    <w:p w14:paraId="30C92C8F" w14:textId="77777777" w:rsidR="004E51ED" w:rsidRDefault="004E51ED" w:rsidP="004E51ED">
      <w:pPr>
        <w:rPr>
          <w:b/>
          <w:bCs/>
          <w:lang w:eastAsia="en-AU"/>
        </w:rPr>
      </w:pPr>
    </w:p>
    <w:p w14:paraId="30BF369A" w14:textId="6FA374FE" w:rsidR="004E51ED" w:rsidRPr="008650AA" w:rsidRDefault="004E51ED" w:rsidP="00673E03">
      <w:pPr>
        <w:pStyle w:val="Catchwords"/>
      </w:pPr>
      <w:r>
        <w:t xml:space="preserve">Constitutional law – First Amendment – </w:t>
      </w:r>
      <w:r w:rsidR="00D55EC6">
        <w:t>Free Speech – Off-premises sign</w:t>
      </w:r>
      <w:r w:rsidR="005E61F7">
        <w:t>s</w:t>
      </w:r>
      <w:r w:rsidR="00D55EC6">
        <w:t xml:space="preserve"> – Where </w:t>
      </w:r>
      <w:r w:rsidR="001A061F">
        <w:t xml:space="preserve">Austin, Texas, </w:t>
      </w:r>
      <w:r w:rsidR="00D55EC6" w:rsidRPr="00D55EC6">
        <w:t>City Code</w:t>
      </w:r>
      <w:r w:rsidR="00E26DE6">
        <w:t>,</w:t>
      </w:r>
      <w:r w:rsidR="00D55EC6" w:rsidRPr="00D55EC6">
        <w:t xml:space="preserve"> §25–10–102(1)</w:t>
      </w:r>
      <w:r w:rsidR="001A061F">
        <w:t xml:space="preserve"> (2016) </w:t>
      </w:r>
      <w:r w:rsidR="00D55EC6">
        <w:t xml:space="preserve">regulated signs advertising things not located on same premises as sign – Where Code prohibited construction of new off-premises signs </w:t>
      </w:r>
      <w:r w:rsidR="0086314B">
        <w:t xml:space="preserve">– Where </w:t>
      </w:r>
      <w:r w:rsidR="00D55EC6">
        <w:t xml:space="preserve">existing off-premises signs, </w:t>
      </w:r>
      <w:r w:rsidR="00A74661">
        <w:t>"</w:t>
      </w:r>
      <w:r w:rsidR="00D55EC6">
        <w:t>nonconforming signs</w:t>
      </w:r>
      <w:r w:rsidR="00A74661">
        <w:t>"</w:t>
      </w:r>
      <w:r w:rsidR="00D55EC6">
        <w:t>, could not be altered to increase nonconformity</w:t>
      </w:r>
      <w:r w:rsidR="0086314B">
        <w:t xml:space="preserve"> but on-premises signs not similarly restricted</w:t>
      </w:r>
      <w:r w:rsidR="00D55EC6">
        <w:t xml:space="preserve"> – Where respondents owned billboards in Austin</w:t>
      </w:r>
      <w:r w:rsidR="0086314B">
        <w:t xml:space="preserve"> – Where respondent sought to digitise billboards but City denied applications – Where respondent filed suit alleging City</w:t>
      </w:r>
      <w:r w:rsidR="00A74661">
        <w:t>'</w:t>
      </w:r>
      <w:r w:rsidR="0086314B">
        <w:t xml:space="preserve">s prohibition </w:t>
      </w:r>
      <w:r w:rsidR="0086314B" w:rsidRPr="0086314B">
        <w:t>digitizing off-premises signs, but not on</w:t>
      </w:r>
      <w:r w:rsidR="0086314B">
        <w:t>-</w:t>
      </w:r>
      <w:r w:rsidR="0086314B" w:rsidRPr="0086314B">
        <w:t>premises signs, violated First Amendment</w:t>
      </w:r>
      <w:r w:rsidR="0086314B">
        <w:t xml:space="preserve"> free speech clause </w:t>
      </w:r>
      <w:r w:rsidR="002118D1">
        <w:t>–</w:t>
      </w:r>
      <w:r w:rsidR="0086314B">
        <w:t xml:space="preserve"> </w:t>
      </w:r>
      <w:r w:rsidR="00673E03">
        <w:t>Where District Court found for City, holding City Code provisions facially content</w:t>
      </w:r>
      <w:r w:rsidR="00DB5E34">
        <w:t xml:space="preserve"> </w:t>
      </w:r>
      <w:r w:rsidR="00673E03">
        <w:t xml:space="preserve">neutral under </w:t>
      </w:r>
      <w:r w:rsidR="00673E03" w:rsidRPr="00673E03">
        <w:rPr>
          <w:i/>
          <w:iCs/>
        </w:rPr>
        <w:t>Reed v Town of Gilbert</w:t>
      </w:r>
      <w:r w:rsidR="00673E03">
        <w:t>, 576 US 155 (2015) – Where Court of Appeals reversed decision, finding on-/off-premises distinction to be facially content based because</w:t>
      </w:r>
      <w:r w:rsidR="00983C4D">
        <w:t xml:space="preserve"> </w:t>
      </w:r>
      <w:r w:rsidR="00673E03">
        <w:t>government official had to read sign</w:t>
      </w:r>
      <w:r w:rsidR="00A74661">
        <w:t>'</w:t>
      </w:r>
      <w:r w:rsidR="00673E03">
        <w:t xml:space="preserve">s message to determine whether sign off-premises </w:t>
      </w:r>
      <w:r w:rsidR="0079644D">
        <w:t>– Whether City</w:t>
      </w:r>
      <w:r w:rsidR="00A74661">
        <w:t>'</w:t>
      </w:r>
      <w:r w:rsidR="0079644D">
        <w:t xml:space="preserve">s on-/off premises distinction facially content neutral under First Amendment. </w:t>
      </w:r>
    </w:p>
    <w:p w14:paraId="329E84D1" w14:textId="77777777" w:rsidR="004E51ED" w:rsidRDefault="004E51ED" w:rsidP="004E51ED">
      <w:pPr>
        <w:rPr>
          <w:b/>
          <w:bCs/>
          <w:lang w:eastAsia="en-AU"/>
        </w:rPr>
      </w:pPr>
    </w:p>
    <w:p w14:paraId="5FE85755" w14:textId="13E0A78C" w:rsidR="004E51ED" w:rsidRDefault="004E51ED" w:rsidP="004E51ED">
      <w:pPr>
        <w:rPr>
          <w:lang w:eastAsia="en-AU"/>
        </w:rPr>
      </w:pPr>
      <w:r>
        <w:rPr>
          <w:b/>
          <w:bCs/>
          <w:lang w:eastAsia="en-AU"/>
        </w:rPr>
        <w:t xml:space="preserve">Held (6:3; 5:4 (Alito J dissenting in part)): </w:t>
      </w:r>
      <w:r w:rsidRPr="004E51ED">
        <w:rPr>
          <w:lang w:eastAsia="en-AU"/>
        </w:rPr>
        <w:t xml:space="preserve">Judgment of Court of Appeals for the </w:t>
      </w:r>
      <w:r>
        <w:rPr>
          <w:lang w:eastAsia="en-AU"/>
        </w:rPr>
        <w:t>Fifth</w:t>
      </w:r>
      <w:r w:rsidRPr="004E51ED">
        <w:rPr>
          <w:lang w:eastAsia="en-AU"/>
        </w:rPr>
        <w:t xml:space="preserve"> Circuit </w:t>
      </w:r>
      <w:proofErr w:type="gramStart"/>
      <w:r w:rsidRPr="004E51ED">
        <w:rPr>
          <w:lang w:eastAsia="en-AU"/>
        </w:rPr>
        <w:t>reversed</w:t>
      </w:r>
      <w:proofErr w:type="gramEnd"/>
      <w:r w:rsidRPr="004E51ED">
        <w:rPr>
          <w:lang w:eastAsia="en-AU"/>
        </w:rPr>
        <w:t xml:space="preserve"> and case remanded.</w:t>
      </w:r>
    </w:p>
    <w:p w14:paraId="0D94E88B" w14:textId="39174A4F" w:rsidR="000A3D26" w:rsidRDefault="000A3D26" w:rsidP="000A3D26">
      <w:pPr>
        <w:pStyle w:val="BullDivider1"/>
      </w:pPr>
      <w:bookmarkStart w:id="2" w:name="_Hlk104278511"/>
    </w:p>
    <w:p w14:paraId="4D8A837A" w14:textId="77777777" w:rsidR="00F55826" w:rsidRPr="00F55826" w:rsidRDefault="00F55826" w:rsidP="00F55826">
      <w:pPr>
        <w:rPr>
          <w:lang w:eastAsia="en-AU"/>
        </w:rPr>
      </w:pPr>
    </w:p>
    <w:p w14:paraId="6F8A7BB6" w14:textId="34D1B1E4" w:rsidR="00F55826" w:rsidRPr="00DD0272" w:rsidRDefault="00F55826" w:rsidP="00F55826">
      <w:pPr>
        <w:keepNext/>
        <w:outlineLvl w:val="1"/>
        <w:rPr>
          <w:rFonts w:ascii="Arial" w:hAnsi="Arial" w:cs="Arial"/>
          <w:bCs/>
          <w:i/>
          <w:iCs/>
          <w:sz w:val="28"/>
          <w:szCs w:val="28"/>
          <w:lang w:eastAsia="en-AU"/>
        </w:rPr>
      </w:pPr>
      <w:r>
        <w:rPr>
          <w:rFonts w:ascii="Arial" w:hAnsi="Arial" w:cs="Arial"/>
          <w:bCs/>
          <w:i/>
          <w:iCs/>
          <w:sz w:val="28"/>
          <w:szCs w:val="28"/>
          <w:lang w:eastAsia="en-AU"/>
        </w:rPr>
        <w:t xml:space="preserve">R v </w:t>
      </w:r>
      <w:r w:rsidRPr="00F55826">
        <w:rPr>
          <w:rFonts w:ascii="Arial" w:hAnsi="Arial" w:cs="Arial"/>
          <w:bCs/>
          <w:i/>
          <w:iCs/>
          <w:sz w:val="28"/>
          <w:szCs w:val="28"/>
          <w:lang w:eastAsia="en-AU"/>
        </w:rPr>
        <w:t>Bissonnette</w:t>
      </w:r>
    </w:p>
    <w:p w14:paraId="2EB8E8CF" w14:textId="301265CE" w:rsidR="00F55826" w:rsidRPr="00DD0272" w:rsidRDefault="00F55826" w:rsidP="00F55826">
      <w:pPr>
        <w:rPr>
          <w:lang w:eastAsia="en-AU"/>
        </w:rPr>
      </w:pPr>
      <w:r w:rsidRPr="00DD0272">
        <w:rPr>
          <w:b/>
          <w:bCs/>
          <w:lang w:eastAsia="en-AU"/>
        </w:rPr>
        <w:t>Supreme Court of Canada:</w:t>
      </w:r>
      <w:r w:rsidRPr="00DD0272">
        <w:rPr>
          <w:lang w:eastAsia="en-AU"/>
        </w:rPr>
        <w:t xml:space="preserve"> </w:t>
      </w:r>
      <w:hyperlink r:id="rId14" w:history="1">
        <w:r w:rsidRPr="00F55826">
          <w:rPr>
            <w:rStyle w:val="Hyperlink"/>
            <w:lang w:eastAsia="en-AU"/>
          </w:rPr>
          <w:t>[2022] SCC 23</w:t>
        </w:r>
      </w:hyperlink>
    </w:p>
    <w:p w14:paraId="06C81210" w14:textId="77777777" w:rsidR="00F55826" w:rsidRPr="00DD0272" w:rsidRDefault="00F55826" w:rsidP="00F55826">
      <w:pPr>
        <w:rPr>
          <w:lang w:eastAsia="en-AU"/>
        </w:rPr>
      </w:pPr>
    </w:p>
    <w:p w14:paraId="4469A084" w14:textId="0431DBE6" w:rsidR="00F55826" w:rsidRPr="00DD0272" w:rsidRDefault="00F55826" w:rsidP="00F55826">
      <w:pPr>
        <w:rPr>
          <w:lang w:eastAsia="en-AU"/>
        </w:rPr>
      </w:pPr>
      <w:r w:rsidRPr="00DD0272">
        <w:rPr>
          <w:b/>
          <w:bCs/>
          <w:lang w:eastAsia="en-AU"/>
        </w:rPr>
        <w:t xml:space="preserve">Judgment delivered: </w:t>
      </w:r>
      <w:r>
        <w:rPr>
          <w:lang w:eastAsia="en-AU"/>
        </w:rPr>
        <w:t>27 May</w:t>
      </w:r>
      <w:r w:rsidRPr="00DD0272">
        <w:rPr>
          <w:lang w:eastAsia="en-AU"/>
        </w:rPr>
        <w:t xml:space="preserve"> 2022 </w:t>
      </w:r>
    </w:p>
    <w:p w14:paraId="233FC457" w14:textId="77777777" w:rsidR="00F55826" w:rsidRPr="00DD0272" w:rsidRDefault="00F55826" w:rsidP="00F55826">
      <w:pPr>
        <w:rPr>
          <w:b/>
          <w:bCs/>
          <w:lang w:eastAsia="en-AU"/>
        </w:rPr>
      </w:pPr>
    </w:p>
    <w:p w14:paraId="605C1605" w14:textId="77777777" w:rsidR="00F55826" w:rsidRPr="00DD0272" w:rsidRDefault="00F55826" w:rsidP="00F55826">
      <w:pPr>
        <w:rPr>
          <w:lang w:eastAsia="en-AU"/>
        </w:rPr>
      </w:pPr>
      <w:r w:rsidRPr="00DD0272">
        <w:rPr>
          <w:b/>
          <w:bCs/>
          <w:lang w:eastAsia="en-AU"/>
        </w:rPr>
        <w:lastRenderedPageBreak/>
        <w:t>Coram:</w:t>
      </w:r>
      <w:r w:rsidRPr="00DD0272">
        <w:t xml:space="preserve"> </w:t>
      </w:r>
      <w:r w:rsidRPr="00DD0272">
        <w:rPr>
          <w:lang w:eastAsia="en-AU"/>
        </w:rPr>
        <w:t xml:space="preserve">Wagner CJ, </w:t>
      </w:r>
      <w:proofErr w:type="spellStart"/>
      <w:r w:rsidRPr="00DD0272">
        <w:rPr>
          <w:lang w:eastAsia="en-AU"/>
        </w:rPr>
        <w:t>Moldaver</w:t>
      </w:r>
      <w:proofErr w:type="spellEnd"/>
      <w:r w:rsidRPr="00DD0272">
        <w:rPr>
          <w:lang w:eastAsia="en-AU"/>
        </w:rPr>
        <w:t xml:space="preserve">, Karakatsanis, </w:t>
      </w:r>
      <w:proofErr w:type="spellStart"/>
      <w:r w:rsidRPr="00DD0272">
        <w:rPr>
          <w:lang w:eastAsia="en-AU"/>
        </w:rPr>
        <w:t>Côté</w:t>
      </w:r>
      <w:proofErr w:type="spellEnd"/>
      <w:r w:rsidRPr="00DD0272">
        <w:rPr>
          <w:lang w:eastAsia="en-AU"/>
        </w:rPr>
        <w:t xml:space="preserve">, Brown, Rowe, Martin, </w:t>
      </w:r>
      <w:proofErr w:type="spellStart"/>
      <w:r w:rsidRPr="00DD0272">
        <w:rPr>
          <w:lang w:eastAsia="en-AU"/>
        </w:rPr>
        <w:t>Kasirer</w:t>
      </w:r>
      <w:proofErr w:type="spellEnd"/>
      <w:r w:rsidRPr="00DD0272">
        <w:rPr>
          <w:lang w:eastAsia="en-AU"/>
        </w:rPr>
        <w:t xml:space="preserve"> and Jamal JJ</w:t>
      </w:r>
    </w:p>
    <w:p w14:paraId="47C5A48B" w14:textId="77777777" w:rsidR="00F55826" w:rsidRPr="00DD0272" w:rsidRDefault="00F55826" w:rsidP="00F55826">
      <w:pPr>
        <w:rPr>
          <w:b/>
          <w:bCs/>
          <w:lang w:eastAsia="en-AU"/>
        </w:rPr>
      </w:pPr>
    </w:p>
    <w:p w14:paraId="04464377" w14:textId="77777777" w:rsidR="00F55826" w:rsidRPr="00DD0272" w:rsidRDefault="00F55826" w:rsidP="00F55826">
      <w:pPr>
        <w:rPr>
          <w:b/>
          <w:bCs/>
          <w:lang w:eastAsia="en-AU"/>
        </w:rPr>
      </w:pPr>
      <w:r w:rsidRPr="00DD0272">
        <w:rPr>
          <w:b/>
          <w:bCs/>
          <w:lang w:eastAsia="en-AU"/>
        </w:rPr>
        <w:t>Catchwords:</w:t>
      </w:r>
    </w:p>
    <w:p w14:paraId="1696CCFA" w14:textId="77777777" w:rsidR="00F55826" w:rsidRPr="00DD0272" w:rsidRDefault="00F55826" w:rsidP="00F55826">
      <w:pPr>
        <w:rPr>
          <w:b/>
          <w:bCs/>
          <w:lang w:eastAsia="en-AU"/>
        </w:rPr>
      </w:pPr>
    </w:p>
    <w:p w14:paraId="324254C2" w14:textId="2240F01F" w:rsidR="00F55826" w:rsidRDefault="00F55826" w:rsidP="00F55826">
      <w:pPr>
        <w:ind w:left="720"/>
        <w:rPr>
          <w:lang w:eastAsia="en-AU"/>
        </w:rPr>
      </w:pPr>
      <w:r w:rsidRPr="00A2764D">
        <w:rPr>
          <w:lang w:eastAsia="en-AU"/>
        </w:rPr>
        <w:t xml:space="preserve">Constitutional law </w:t>
      </w:r>
      <w:r>
        <w:rPr>
          <w:lang w:eastAsia="en-AU"/>
        </w:rPr>
        <w:t>–</w:t>
      </w:r>
      <w:r w:rsidRPr="00A2764D">
        <w:rPr>
          <w:lang w:eastAsia="en-AU"/>
        </w:rPr>
        <w:t xml:space="preserve"> </w:t>
      </w:r>
      <w:r w:rsidRPr="003E59CA">
        <w:rPr>
          <w:i/>
          <w:iCs/>
          <w:lang w:eastAsia="en-AU"/>
        </w:rPr>
        <w:t>Charter of Rights</w:t>
      </w:r>
      <w:r w:rsidRPr="00936D2B">
        <w:rPr>
          <w:lang w:eastAsia="en-AU"/>
        </w:rPr>
        <w:t xml:space="preserve"> </w:t>
      </w:r>
      <w:r>
        <w:rPr>
          <w:lang w:eastAsia="en-AU"/>
        </w:rPr>
        <w:t>–</w:t>
      </w:r>
      <w:r w:rsidRPr="00936D2B">
        <w:rPr>
          <w:lang w:eastAsia="en-AU"/>
        </w:rPr>
        <w:t xml:space="preserve"> </w:t>
      </w:r>
      <w:r w:rsidRPr="00F55826">
        <w:rPr>
          <w:lang w:eastAsia="en-AU"/>
        </w:rPr>
        <w:t xml:space="preserve">Cruel and unusual treatment or punishment </w:t>
      </w:r>
      <w:r>
        <w:rPr>
          <w:lang w:eastAsia="en-AU"/>
        </w:rPr>
        <w:t>–</w:t>
      </w:r>
      <w:r w:rsidRPr="00F55826">
        <w:rPr>
          <w:lang w:eastAsia="en-AU"/>
        </w:rPr>
        <w:t xml:space="preserve"> Punishment that is cruel and unusual by nature </w:t>
      </w:r>
      <w:r>
        <w:rPr>
          <w:lang w:eastAsia="en-AU"/>
        </w:rPr>
        <w:t>–</w:t>
      </w:r>
      <w:r w:rsidRPr="00F55826">
        <w:rPr>
          <w:lang w:eastAsia="en-AU"/>
        </w:rPr>
        <w:t xml:space="preserve"> Remedy </w:t>
      </w:r>
      <w:r>
        <w:rPr>
          <w:lang w:eastAsia="en-AU"/>
        </w:rPr>
        <w:t>–</w:t>
      </w:r>
      <w:r w:rsidRPr="00F55826">
        <w:rPr>
          <w:lang w:eastAsia="en-AU"/>
        </w:rPr>
        <w:t xml:space="preserve"> </w:t>
      </w:r>
      <w:r>
        <w:rPr>
          <w:lang w:eastAsia="en-AU"/>
        </w:rPr>
        <w:t>Where s</w:t>
      </w:r>
      <w:r w:rsidRPr="00F55826">
        <w:rPr>
          <w:lang w:eastAsia="en-AU"/>
        </w:rPr>
        <w:t xml:space="preserve"> 745.51 of </w:t>
      </w:r>
      <w:r w:rsidRPr="003E59CA">
        <w:rPr>
          <w:i/>
          <w:iCs/>
          <w:lang w:eastAsia="en-AU"/>
        </w:rPr>
        <w:t>Criminal Code</w:t>
      </w:r>
      <w:r w:rsidRPr="00F55826">
        <w:rPr>
          <w:lang w:eastAsia="en-AU"/>
        </w:rPr>
        <w:t xml:space="preserve"> </w:t>
      </w:r>
      <w:r>
        <w:rPr>
          <w:lang w:eastAsia="en-AU"/>
        </w:rPr>
        <w:t>authorised</w:t>
      </w:r>
      <w:r w:rsidRPr="00F55826">
        <w:rPr>
          <w:lang w:eastAsia="en-AU"/>
        </w:rPr>
        <w:t xml:space="preserve"> imposition of consecutive 25</w:t>
      </w:r>
      <w:r w:rsidRPr="00F55826">
        <w:rPr>
          <w:rFonts w:ascii="Cambria Math" w:hAnsi="Cambria Math" w:cs="Cambria Math"/>
          <w:lang w:eastAsia="en-AU"/>
        </w:rPr>
        <w:t>‑</w:t>
      </w:r>
      <w:r w:rsidRPr="00F55826">
        <w:rPr>
          <w:lang w:eastAsia="en-AU"/>
        </w:rPr>
        <w:t xml:space="preserve">year parole ineligibility periods in cases involving multiple first degree murders </w:t>
      </w:r>
      <w:r>
        <w:rPr>
          <w:rFonts w:cs="Verdana"/>
          <w:lang w:eastAsia="en-AU"/>
        </w:rPr>
        <w:t>–</w:t>
      </w:r>
      <w:r w:rsidRPr="00F55826">
        <w:rPr>
          <w:lang w:eastAsia="en-AU"/>
        </w:rPr>
        <w:t xml:space="preserve"> Whether s 745.51 infringes s 12 of </w:t>
      </w:r>
      <w:r w:rsidRPr="003E59CA">
        <w:rPr>
          <w:i/>
          <w:iCs/>
          <w:lang w:eastAsia="en-AU"/>
        </w:rPr>
        <w:t>Charter</w:t>
      </w:r>
      <w:r w:rsidRPr="00F55826">
        <w:rPr>
          <w:lang w:eastAsia="en-AU"/>
        </w:rPr>
        <w:t xml:space="preserve">, which guarantees right not to be subjected to cruel and unusual treatment or punishment </w:t>
      </w:r>
      <w:r>
        <w:rPr>
          <w:lang w:eastAsia="en-AU"/>
        </w:rPr>
        <w:t>–</w:t>
      </w:r>
      <w:r w:rsidRPr="00F55826">
        <w:rPr>
          <w:lang w:eastAsia="en-AU"/>
        </w:rPr>
        <w:t xml:space="preserve"> Appropriate remedy if s 12 infringed </w:t>
      </w:r>
      <w:r>
        <w:rPr>
          <w:lang w:eastAsia="en-AU"/>
        </w:rPr>
        <w:t>–</w:t>
      </w:r>
      <w:r w:rsidRPr="00F55826">
        <w:rPr>
          <w:lang w:eastAsia="en-AU"/>
        </w:rPr>
        <w:t xml:space="preserve"> </w:t>
      </w:r>
      <w:r w:rsidRPr="00F55826">
        <w:rPr>
          <w:i/>
          <w:iCs/>
          <w:lang w:eastAsia="en-AU"/>
        </w:rPr>
        <w:t>Constitution Act</w:t>
      </w:r>
      <w:r w:rsidRPr="00F55826">
        <w:rPr>
          <w:lang w:eastAsia="en-AU"/>
        </w:rPr>
        <w:t xml:space="preserve">, 1982, s 52(1) </w:t>
      </w:r>
      <w:r>
        <w:rPr>
          <w:lang w:eastAsia="en-AU"/>
        </w:rPr>
        <w:t>–</w:t>
      </w:r>
      <w:r w:rsidRPr="00F55826">
        <w:rPr>
          <w:lang w:eastAsia="en-AU"/>
        </w:rPr>
        <w:t xml:space="preserve"> </w:t>
      </w:r>
      <w:r w:rsidRPr="00F55826">
        <w:rPr>
          <w:i/>
          <w:iCs/>
          <w:lang w:eastAsia="en-AU"/>
        </w:rPr>
        <w:t>Canadian Charter of Rights and Freedoms</w:t>
      </w:r>
      <w:r w:rsidRPr="00F55826">
        <w:rPr>
          <w:lang w:eastAsia="en-AU"/>
        </w:rPr>
        <w:t xml:space="preserve">, s 12 </w:t>
      </w:r>
      <w:r>
        <w:rPr>
          <w:lang w:eastAsia="en-AU"/>
        </w:rPr>
        <w:t>–</w:t>
      </w:r>
      <w:r w:rsidRPr="00F55826">
        <w:rPr>
          <w:lang w:eastAsia="en-AU"/>
        </w:rPr>
        <w:t xml:space="preserve"> </w:t>
      </w:r>
      <w:r w:rsidRPr="00F55826">
        <w:rPr>
          <w:i/>
          <w:iCs/>
          <w:lang w:eastAsia="en-AU"/>
        </w:rPr>
        <w:t>Criminal Code</w:t>
      </w:r>
      <w:r w:rsidRPr="00F55826">
        <w:rPr>
          <w:lang w:eastAsia="en-AU"/>
        </w:rPr>
        <w:t xml:space="preserve">, </w:t>
      </w:r>
      <w:r>
        <w:rPr>
          <w:lang w:eastAsia="en-AU"/>
        </w:rPr>
        <w:t>RSC</w:t>
      </w:r>
      <w:r w:rsidRPr="00F55826">
        <w:rPr>
          <w:lang w:eastAsia="en-AU"/>
        </w:rPr>
        <w:t xml:space="preserve"> 1985, c C</w:t>
      </w:r>
      <w:r w:rsidRPr="00F55826">
        <w:rPr>
          <w:rFonts w:ascii="Cambria Math" w:hAnsi="Cambria Math" w:cs="Cambria Math"/>
          <w:lang w:eastAsia="en-AU"/>
        </w:rPr>
        <w:t>‑</w:t>
      </w:r>
      <w:r w:rsidRPr="00F55826">
        <w:rPr>
          <w:lang w:eastAsia="en-AU"/>
        </w:rPr>
        <w:t>46, s 745.51.</w:t>
      </w:r>
    </w:p>
    <w:p w14:paraId="35BA6A53" w14:textId="77777777" w:rsidR="00F55826" w:rsidRPr="00DD0272" w:rsidRDefault="00F55826" w:rsidP="00F55826">
      <w:pPr>
        <w:ind w:left="720"/>
        <w:rPr>
          <w:b/>
          <w:bCs/>
          <w:lang w:eastAsia="en-AU"/>
        </w:rPr>
      </w:pPr>
    </w:p>
    <w:p w14:paraId="4B8DAF71" w14:textId="77777777" w:rsidR="00F55826" w:rsidRPr="00DD0272" w:rsidRDefault="00F55826" w:rsidP="00F55826">
      <w:pPr>
        <w:rPr>
          <w:lang w:eastAsia="en-AU"/>
        </w:rPr>
      </w:pPr>
      <w:r w:rsidRPr="00DD0272">
        <w:rPr>
          <w:b/>
          <w:bCs/>
          <w:lang w:eastAsia="en-AU"/>
        </w:rPr>
        <w:t>Held (</w:t>
      </w:r>
      <w:r>
        <w:rPr>
          <w:b/>
          <w:bCs/>
          <w:lang w:eastAsia="en-AU"/>
        </w:rPr>
        <w:t>9</w:t>
      </w:r>
      <w:r w:rsidRPr="00DD0272">
        <w:rPr>
          <w:b/>
          <w:bCs/>
          <w:lang w:eastAsia="en-AU"/>
        </w:rPr>
        <w:t>:</w:t>
      </w:r>
      <w:r>
        <w:rPr>
          <w:b/>
          <w:bCs/>
          <w:lang w:eastAsia="en-AU"/>
        </w:rPr>
        <w:t>0</w:t>
      </w:r>
      <w:r w:rsidRPr="00DD0272">
        <w:rPr>
          <w:b/>
          <w:bCs/>
          <w:lang w:eastAsia="en-AU"/>
        </w:rPr>
        <w:t>):</w:t>
      </w:r>
      <w:r w:rsidRPr="00DD0272">
        <w:rPr>
          <w:lang w:eastAsia="en-AU"/>
        </w:rPr>
        <w:t xml:space="preserve"> Appeal </w:t>
      </w:r>
      <w:r>
        <w:rPr>
          <w:lang w:eastAsia="en-AU"/>
        </w:rPr>
        <w:t>dismissed</w:t>
      </w:r>
      <w:r w:rsidRPr="00DD0272">
        <w:rPr>
          <w:lang w:eastAsia="en-AU"/>
        </w:rPr>
        <w:t xml:space="preserve">. </w:t>
      </w:r>
    </w:p>
    <w:p w14:paraId="15907239" w14:textId="77777777" w:rsidR="00F55826" w:rsidRDefault="00F55826" w:rsidP="00F55826">
      <w:pPr>
        <w:pStyle w:val="BullDivider1"/>
      </w:pPr>
    </w:p>
    <w:p w14:paraId="24A9E242" w14:textId="77777777" w:rsidR="000A3D26" w:rsidRPr="00936D2B" w:rsidRDefault="000A3D26" w:rsidP="000A3D26">
      <w:pPr>
        <w:rPr>
          <w:lang w:eastAsia="en-AU"/>
        </w:rPr>
      </w:pPr>
    </w:p>
    <w:p w14:paraId="2459CC94" w14:textId="184D0F7B" w:rsidR="000A3D26" w:rsidRPr="00DD0272" w:rsidRDefault="000A3D26" w:rsidP="000A3D26">
      <w:pPr>
        <w:keepNext/>
        <w:outlineLvl w:val="1"/>
        <w:rPr>
          <w:rFonts w:ascii="Arial" w:hAnsi="Arial" w:cs="Arial"/>
          <w:bCs/>
          <w:i/>
          <w:iCs/>
          <w:sz w:val="28"/>
          <w:szCs w:val="28"/>
          <w:lang w:eastAsia="en-AU"/>
        </w:rPr>
      </w:pPr>
      <w:r>
        <w:rPr>
          <w:rFonts w:ascii="Arial" w:hAnsi="Arial" w:cs="Arial"/>
          <w:bCs/>
          <w:i/>
          <w:iCs/>
          <w:sz w:val="28"/>
          <w:szCs w:val="28"/>
          <w:lang w:eastAsia="en-AU"/>
        </w:rPr>
        <w:t xml:space="preserve">R v Brown </w:t>
      </w:r>
    </w:p>
    <w:p w14:paraId="240A1200" w14:textId="0D675DFE" w:rsidR="000A3D26" w:rsidRPr="00DD0272" w:rsidRDefault="000A3D26" w:rsidP="000A3D26">
      <w:pPr>
        <w:rPr>
          <w:lang w:eastAsia="en-AU"/>
        </w:rPr>
      </w:pPr>
      <w:r w:rsidRPr="00DD0272">
        <w:rPr>
          <w:b/>
          <w:bCs/>
          <w:lang w:eastAsia="en-AU"/>
        </w:rPr>
        <w:t>Supreme Court of Canada:</w:t>
      </w:r>
      <w:r w:rsidRPr="00DD0272">
        <w:rPr>
          <w:lang w:eastAsia="en-AU"/>
        </w:rPr>
        <w:t xml:space="preserve"> </w:t>
      </w:r>
      <w:hyperlink r:id="rId15" w:history="1">
        <w:r>
          <w:rPr>
            <w:rStyle w:val="Hyperlink"/>
            <w:lang w:eastAsia="en-AU"/>
          </w:rPr>
          <w:t>[2022] SCC 18</w:t>
        </w:r>
      </w:hyperlink>
    </w:p>
    <w:p w14:paraId="31614160" w14:textId="77777777" w:rsidR="000A3D26" w:rsidRPr="00DD0272" w:rsidRDefault="000A3D26" w:rsidP="000A3D26">
      <w:pPr>
        <w:rPr>
          <w:lang w:eastAsia="en-AU"/>
        </w:rPr>
      </w:pPr>
    </w:p>
    <w:p w14:paraId="7B15BC44" w14:textId="3C19F37B" w:rsidR="000A3D26" w:rsidRPr="00DD0272" w:rsidRDefault="000A3D26" w:rsidP="000A3D26">
      <w:pPr>
        <w:rPr>
          <w:lang w:eastAsia="en-AU"/>
        </w:rPr>
      </w:pPr>
      <w:r w:rsidRPr="00DD0272">
        <w:rPr>
          <w:b/>
          <w:bCs/>
          <w:lang w:eastAsia="en-AU"/>
        </w:rPr>
        <w:t xml:space="preserve">Judgment delivered: </w:t>
      </w:r>
      <w:r>
        <w:rPr>
          <w:lang w:eastAsia="en-AU"/>
        </w:rPr>
        <w:t>13 May</w:t>
      </w:r>
      <w:r w:rsidRPr="00DD0272">
        <w:rPr>
          <w:lang w:eastAsia="en-AU"/>
        </w:rPr>
        <w:t xml:space="preserve"> 2022 </w:t>
      </w:r>
    </w:p>
    <w:p w14:paraId="0BE465FB" w14:textId="77777777" w:rsidR="000A3D26" w:rsidRPr="00DD0272" w:rsidRDefault="000A3D26" w:rsidP="000A3D26">
      <w:pPr>
        <w:rPr>
          <w:b/>
          <w:bCs/>
          <w:lang w:eastAsia="en-AU"/>
        </w:rPr>
      </w:pPr>
    </w:p>
    <w:p w14:paraId="5429099A" w14:textId="77777777" w:rsidR="000A3D26" w:rsidRPr="00DD0272" w:rsidRDefault="000A3D26" w:rsidP="000A3D26">
      <w:pPr>
        <w:rPr>
          <w:lang w:eastAsia="en-AU"/>
        </w:rPr>
      </w:pPr>
      <w:r w:rsidRPr="00DD0272">
        <w:rPr>
          <w:b/>
          <w:bCs/>
          <w:lang w:eastAsia="en-AU"/>
        </w:rPr>
        <w:t>Coram:</w:t>
      </w:r>
      <w:r w:rsidRPr="00DD0272">
        <w:t xml:space="preserve"> </w:t>
      </w:r>
      <w:r w:rsidRPr="00DD0272">
        <w:rPr>
          <w:lang w:eastAsia="en-AU"/>
        </w:rPr>
        <w:t xml:space="preserve">Wagner CJ, </w:t>
      </w:r>
      <w:proofErr w:type="spellStart"/>
      <w:r w:rsidRPr="00DD0272">
        <w:rPr>
          <w:lang w:eastAsia="en-AU"/>
        </w:rPr>
        <w:t>Moldaver</w:t>
      </w:r>
      <w:proofErr w:type="spellEnd"/>
      <w:r w:rsidRPr="00DD0272">
        <w:rPr>
          <w:lang w:eastAsia="en-AU"/>
        </w:rPr>
        <w:t xml:space="preserve">, Karakatsanis, </w:t>
      </w:r>
      <w:proofErr w:type="spellStart"/>
      <w:r w:rsidRPr="00DD0272">
        <w:rPr>
          <w:lang w:eastAsia="en-AU"/>
        </w:rPr>
        <w:t>Côté</w:t>
      </w:r>
      <w:proofErr w:type="spellEnd"/>
      <w:r w:rsidRPr="00DD0272">
        <w:rPr>
          <w:lang w:eastAsia="en-AU"/>
        </w:rPr>
        <w:t xml:space="preserve">, Brown, Rowe, Martin, </w:t>
      </w:r>
      <w:proofErr w:type="spellStart"/>
      <w:r w:rsidRPr="00DD0272">
        <w:rPr>
          <w:lang w:eastAsia="en-AU"/>
        </w:rPr>
        <w:t>Kasirer</w:t>
      </w:r>
      <w:proofErr w:type="spellEnd"/>
      <w:r w:rsidRPr="00DD0272">
        <w:rPr>
          <w:lang w:eastAsia="en-AU"/>
        </w:rPr>
        <w:t xml:space="preserve"> and Jamal JJ</w:t>
      </w:r>
    </w:p>
    <w:p w14:paraId="4562345C" w14:textId="77777777" w:rsidR="000A3D26" w:rsidRPr="00DD0272" w:rsidRDefault="000A3D26" w:rsidP="000A3D26">
      <w:pPr>
        <w:rPr>
          <w:b/>
          <w:bCs/>
          <w:lang w:eastAsia="en-AU"/>
        </w:rPr>
      </w:pPr>
    </w:p>
    <w:p w14:paraId="637F77F9" w14:textId="77777777" w:rsidR="000A3D26" w:rsidRPr="00DD0272" w:rsidRDefault="000A3D26" w:rsidP="000A3D26">
      <w:pPr>
        <w:rPr>
          <w:b/>
          <w:bCs/>
          <w:lang w:eastAsia="en-AU"/>
        </w:rPr>
      </w:pPr>
      <w:r w:rsidRPr="00DD0272">
        <w:rPr>
          <w:b/>
          <w:bCs/>
          <w:lang w:eastAsia="en-AU"/>
        </w:rPr>
        <w:t>Catchwords:</w:t>
      </w:r>
    </w:p>
    <w:p w14:paraId="2C2A8165" w14:textId="77777777" w:rsidR="000A3D26" w:rsidRPr="00DD0272" w:rsidRDefault="000A3D26" w:rsidP="000A3D26">
      <w:pPr>
        <w:rPr>
          <w:b/>
          <w:bCs/>
          <w:lang w:eastAsia="en-AU"/>
        </w:rPr>
      </w:pPr>
    </w:p>
    <w:p w14:paraId="75B2D5C8" w14:textId="2894FC97" w:rsidR="000A3D26" w:rsidRDefault="000A3D26" w:rsidP="000A3D26">
      <w:pPr>
        <w:ind w:left="720"/>
        <w:rPr>
          <w:lang w:eastAsia="en-AU"/>
        </w:rPr>
      </w:pPr>
      <w:r w:rsidRPr="00A2764D">
        <w:rPr>
          <w:lang w:eastAsia="en-AU"/>
        </w:rPr>
        <w:t xml:space="preserve">Constitutional law </w:t>
      </w:r>
      <w:r w:rsidR="00983C4D">
        <w:rPr>
          <w:lang w:eastAsia="en-AU"/>
        </w:rPr>
        <w:t>–</w:t>
      </w:r>
      <w:r w:rsidRPr="00A2764D">
        <w:rPr>
          <w:lang w:eastAsia="en-AU"/>
        </w:rPr>
        <w:t xml:space="preserve"> </w:t>
      </w:r>
      <w:r w:rsidRPr="003E59CA">
        <w:rPr>
          <w:i/>
          <w:iCs/>
          <w:lang w:eastAsia="en-AU"/>
        </w:rPr>
        <w:t>Charter of Rights</w:t>
      </w:r>
      <w:r w:rsidRPr="00936D2B">
        <w:rPr>
          <w:lang w:eastAsia="en-AU"/>
        </w:rPr>
        <w:t xml:space="preserve"> </w:t>
      </w:r>
      <w:r w:rsidR="00983C4D">
        <w:rPr>
          <w:lang w:eastAsia="en-AU"/>
        </w:rPr>
        <w:t>–</w:t>
      </w:r>
      <w:r w:rsidRPr="00936D2B">
        <w:rPr>
          <w:lang w:eastAsia="en-AU"/>
        </w:rPr>
        <w:t xml:space="preserve"> </w:t>
      </w:r>
      <w:r w:rsidR="00C61262" w:rsidRPr="00C61262">
        <w:rPr>
          <w:lang w:eastAsia="en-AU"/>
        </w:rPr>
        <w:t xml:space="preserve">Fundamental justice </w:t>
      </w:r>
      <w:r w:rsidR="00983C4D">
        <w:rPr>
          <w:lang w:eastAsia="en-AU"/>
        </w:rPr>
        <w:t>–</w:t>
      </w:r>
      <w:r w:rsidR="00C61262" w:rsidRPr="00C61262">
        <w:rPr>
          <w:lang w:eastAsia="en-AU"/>
        </w:rPr>
        <w:t xml:space="preserve"> Presumption of innocence </w:t>
      </w:r>
      <w:r w:rsidR="00983C4D">
        <w:rPr>
          <w:lang w:eastAsia="en-AU"/>
        </w:rPr>
        <w:t>–</w:t>
      </w:r>
      <w:r w:rsidR="00C61262" w:rsidRPr="00C61262">
        <w:rPr>
          <w:lang w:eastAsia="en-AU"/>
        </w:rPr>
        <w:t xml:space="preserve"> Reasonable limits </w:t>
      </w:r>
      <w:r w:rsidR="00983C4D">
        <w:rPr>
          <w:lang w:eastAsia="en-AU"/>
        </w:rPr>
        <w:t>–</w:t>
      </w:r>
      <w:r w:rsidR="00C61262" w:rsidRPr="00C61262">
        <w:rPr>
          <w:lang w:eastAsia="en-AU"/>
        </w:rPr>
        <w:t xml:space="preserve"> </w:t>
      </w:r>
      <w:r w:rsidR="00C61262">
        <w:rPr>
          <w:lang w:eastAsia="en-AU"/>
        </w:rPr>
        <w:t>Where s</w:t>
      </w:r>
      <w:r w:rsidR="00C61262" w:rsidRPr="00C61262">
        <w:rPr>
          <w:lang w:eastAsia="en-AU"/>
        </w:rPr>
        <w:t xml:space="preserve"> 33.1 of C</w:t>
      </w:r>
      <w:r w:rsidR="00C61262" w:rsidRPr="00C61262">
        <w:rPr>
          <w:i/>
          <w:iCs/>
          <w:lang w:eastAsia="en-AU"/>
        </w:rPr>
        <w:t>riminal Code</w:t>
      </w:r>
      <w:r w:rsidR="00C61262" w:rsidRPr="00C61262">
        <w:rPr>
          <w:lang w:eastAsia="en-AU"/>
        </w:rPr>
        <w:t xml:space="preserve"> prevent</w:t>
      </w:r>
      <w:r w:rsidR="00C61262">
        <w:rPr>
          <w:lang w:eastAsia="en-AU"/>
        </w:rPr>
        <w:t xml:space="preserve">ed </w:t>
      </w:r>
      <w:r w:rsidR="00C61262" w:rsidRPr="00C61262">
        <w:rPr>
          <w:lang w:eastAsia="en-AU"/>
        </w:rPr>
        <w:t>accused from raising common law defence of self</w:t>
      </w:r>
      <w:r w:rsidR="00C61262" w:rsidRPr="00C61262">
        <w:rPr>
          <w:rFonts w:ascii="Cambria Math" w:hAnsi="Cambria Math" w:cs="Cambria Math"/>
          <w:lang w:eastAsia="en-AU"/>
        </w:rPr>
        <w:t>‑</w:t>
      </w:r>
      <w:r w:rsidR="00C61262" w:rsidRPr="00C61262">
        <w:rPr>
          <w:lang w:eastAsia="en-AU"/>
        </w:rPr>
        <w:t xml:space="preserve">induced intoxication akin to automatism </w:t>
      </w:r>
      <w:r w:rsidR="00983C4D">
        <w:rPr>
          <w:lang w:eastAsia="en-AU"/>
        </w:rPr>
        <w:t>–</w:t>
      </w:r>
      <w:r w:rsidR="00C61262" w:rsidRPr="00C61262">
        <w:rPr>
          <w:lang w:eastAsia="en-AU"/>
        </w:rPr>
        <w:t xml:space="preserve"> Whether s 33.1 violates principles of fundamental justice or presumption of innocence </w:t>
      </w:r>
      <w:r w:rsidR="00983C4D">
        <w:rPr>
          <w:lang w:eastAsia="en-AU"/>
        </w:rPr>
        <w:t>–</w:t>
      </w:r>
      <w:r w:rsidR="00BD0303">
        <w:rPr>
          <w:lang w:eastAsia="en-AU"/>
        </w:rPr>
        <w:t xml:space="preserve"> W</w:t>
      </w:r>
      <w:r w:rsidR="00C61262" w:rsidRPr="00C61262">
        <w:rPr>
          <w:lang w:eastAsia="en-AU"/>
        </w:rPr>
        <w:t>hether</w:t>
      </w:r>
      <w:r w:rsidR="00BD0303">
        <w:rPr>
          <w:lang w:eastAsia="en-AU"/>
        </w:rPr>
        <w:t>, if so,</w:t>
      </w:r>
      <w:r w:rsidR="00C61262" w:rsidRPr="00C61262">
        <w:rPr>
          <w:lang w:eastAsia="en-AU"/>
        </w:rPr>
        <w:t xml:space="preserve"> infringement justified </w:t>
      </w:r>
      <w:r w:rsidR="00983C4D">
        <w:rPr>
          <w:lang w:eastAsia="en-AU"/>
        </w:rPr>
        <w:t>–</w:t>
      </w:r>
      <w:r w:rsidR="00C61262" w:rsidRPr="00C61262">
        <w:rPr>
          <w:lang w:eastAsia="en-AU"/>
        </w:rPr>
        <w:t xml:space="preserve"> </w:t>
      </w:r>
      <w:r w:rsidR="00C61262" w:rsidRPr="00C61262">
        <w:rPr>
          <w:i/>
          <w:iCs/>
          <w:lang w:eastAsia="en-AU"/>
        </w:rPr>
        <w:t>Canadian Charter of Rights and Freedoms</w:t>
      </w:r>
      <w:r w:rsidR="00C61262" w:rsidRPr="00C61262">
        <w:rPr>
          <w:lang w:eastAsia="en-AU"/>
        </w:rPr>
        <w:t xml:space="preserve">, ss 1, 7, 11(d) </w:t>
      </w:r>
      <w:r w:rsidR="00983C4D">
        <w:rPr>
          <w:lang w:eastAsia="en-AU"/>
        </w:rPr>
        <w:t>–</w:t>
      </w:r>
      <w:r w:rsidR="00C61262" w:rsidRPr="00C61262">
        <w:rPr>
          <w:lang w:eastAsia="en-AU"/>
        </w:rPr>
        <w:t xml:space="preserve"> </w:t>
      </w:r>
      <w:r w:rsidR="00C61262" w:rsidRPr="003E59CA">
        <w:rPr>
          <w:i/>
          <w:iCs/>
          <w:lang w:eastAsia="en-AU"/>
        </w:rPr>
        <w:t>Criminal Code</w:t>
      </w:r>
      <w:r w:rsidR="00C61262" w:rsidRPr="00C61262">
        <w:rPr>
          <w:lang w:eastAsia="en-AU"/>
        </w:rPr>
        <w:t>, R</w:t>
      </w:r>
      <w:r w:rsidR="00C61262">
        <w:rPr>
          <w:lang w:eastAsia="en-AU"/>
        </w:rPr>
        <w:t>SC</w:t>
      </w:r>
      <w:r w:rsidR="00C61262" w:rsidRPr="00C61262">
        <w:rPr>
          <w:lang w:eastAsia="en-AU"/>
        </w:rPr>
        <w:t xml:space="preserve"> 1985, c C</w:t>
      </w:r>
      <w:r w:rsidR="00C61262" w:rsidRPr="00C61262">
        <w:rPr>
          <w:rFonts w:ascii="Cambria Math" w:hAnsi="Cambria Math" w:cs="Cambria Math"/>
          <w:lang w:eastAsia="en-AU"/>
        </w:rPr>
        <w:t>‑</w:t>
      </w:r>
      <w:r w:rsidR="00C61262" w:rsidRPr="00C61262">
        <w:rPr>
          <w:lang w:eastAsia="en-AU"/>
        </w:rPr>
        <w:t>46, s 33.1.</w:t>
      </w:r>
    </w:p>
    <w:p w14:paraId="68C04E8B" w14:textId="77777777" w:rsidR="000A3D26" w:rsidRPr="00DD0272" w:rsidRDefault="000A3D26" w:rsidP="000A3D26">
      <w:pPr>
        <w:ind w:left="720"/>
        <w:rPr>
          <w:b/>
          <w:bCs/>
          <w:lang w:eastAsia="en-AU"/>
        </w:rPr>
      </w:pPr>
    </w:p>
    <w:p w14:paraId="3492121F" w14:textId="77777777" w:rsidR="000A3D26" w:rsidRPr="00DD0272" w:rsidRDefault="000A3D26" w:rsidP="000A3D26">
      <w:pPr>
        <w:rPr>
          <w:lang w:eastAsia="en-AU"/>
        </w:rPr>
      </w:pPr>
      <w:r w:rsidRPr="00DD0272">
        <w:rPr>
          <w:b/>
          <w:bCs/>
          <w:lang w:eastAsia="en-AU"/>
        </w:rPr>
        <w:t>Held (</w:t>
      </w:r>
      <w:r>
        <w:rPr>
          <w:b/>
          <w:bCs/>
          <w:lang w:eastAsia="en-AU"/>
        </w:rPr>
        <w:t>9</w:t>
      </w:r>
      <w:r w:rsidRPr="00DD0272">
        <w:rPr>
          <w:b/>
          <w:bCs/>
          <w:lang w:eastAsia="en-AU"/>
        </w:rPr>
        <w:t>:</w:t>
      </w:r>
      <w:r>
        <w:rPr>
          <w:b/>
          <w:bCs/>
          <w:lang w:eastAsia="en-AU"/>
        </w:rPr>
        <w:t>0</w:t>
      </w:r>
      <w:r w:rsidRPr="00DD0272">
        <w:rPr>
          <w:b/>
          <w:bCs/>
          <w:lang w:eastAsia="en-AU"/>
        </w:rPr>
        <w:t>):</w:t>
      </w:r>
      <w:r w:rsidRPr="00DD0272">
        <w:rPr>
          <w:lang w:eastAsia="en-AU"/>
        </w:rPr>
        <w:t xml:space="preserve"> Appeal </w:t>
      </w:r>
      <w:r>
        <w:rPr>
          <w:lang w:eastAsia="en-AU"/>
        </w:rPr>
        <w:t>dismissed</w:t>
      </w:r>
      <w:r w:rsidRPr="00DD0272">
        <w:rPr>
          <w:lang w:eastAsia="en-AU"/>
        </w:rPr>
        <w:t xml:space="preserve">. </w:t>
      </w:r>
    </w:p>
    <w:p w14:paraId="62CE111E" w14:textId="77777777" w:rsidR="000A3D26" w:rsidRDefault="000A3D26" w:rsidP="000A3D26">
      <w:pPr>
        <w:pStyle w:val="BullDivider1"/>
      </w:pPr>
    </w:p>
    <w:p w14:paraId="4850F8EB" w14:textId="77777777" w:rsidR="00936D2B" w:rsidRPr="00936D2B" w:rsidRDefault="00936D2B" w:rsidP="00936D2B">
      <w:pPr>
        <w:rPr>
          <w:lang w:eastAsia="en-AU"/>
        </w:rPr>
      </w:pPr>
    </w:p>
    <w:p w14:paraId="49C2E8CC" w14:textId="54DFCBF0" w:rsidR="00936D2B" w:rsidRPr="00DD0272" w:rsidRDefault="00936D2B" w:rsidP="00936D2B">
      <w:pPr>
        <w:keepNext/>
        <w:outlineLvl w:val="1"/>
        <w:rPr>
          <w:rFonts w:ascii="Arial" w:hAnsi="Arial" w:cs="Arial"/>
          <w:bCs/>
          <w:i/>
          <w:iCs/>
          <w:sz w:val="28"/>
          <w:szCs w:val="28"/>
          <w:lang w:eastAsia="en-AU"/>
        </w:rPr>
      </w:pPr>
      <w:r>
        <w:rPr>
          <w:rFonts w:ascii="Arial" w:hAnsi="Arial" w:cs="Arial"/>
          <w:bCs/>
          <w:i/>
          <w:iCs/>
          <w:sz w:val="28"/>
          <w:szCs w:val="28"/>
          <w:lang w:eastAsia="en-AU"/>
        </w:rPr>
        <w:t xml:space="preserve">R v </w:t>
      </w:r>
      <w:proofErr w:type="spellStart"/>
      <w:r>
        <w:rPr>
          <w:rFonts w:ascii="Arial" w:hAnsi="Arial" w:cs="Arial"/>
          <w:bCs/>
          <w:i/>
          <w:iCs/>
          <w:sz w:val="28"/>
          <w:szCs w:val="28"/>
          <w:lang w:eastAsia="en-AU"/>
        </w:rPr>
        <w:t>Dussault</w:t>
      </w:r>
      <w:proofErr w:type="spellEnd"/>
      <w:r>
        <w:rPr>
          <w:rFonts w:ascii="Arial" w:hAnsi="Arial" w:cs="Arial"/>
          <w:bCs/>
          <w:i/>
          <w:iCs/>
          <w:sz w:val="28"/>
          <w:szCs w:val="28"/>
          <w:lang w:eastAsia="en-AU"/>
        </w:rPr>
        <w:t xml:space="preserve"> </w:t>
      </w:r>
    </w:p>
    <w:p w14:paraId="5569A7CF" w14:textId="004CB5B9" w:rsidR="00936D2B" w:rsidRPr="00DD0272" w:rsidRDefault="00936D2B" w:rsidP="00936D2B">
      <w:pPr>
        <w:rPr>
          <w:lang w:eastAsia="en-AU"/>
        </w:rPr>
      </w:pPr>
      <w:r w:rsidRPr="00DD0272">
        <w:rPr>
          <w:b/>
          <w:bCs/>
          <w:lang w:eastAsia="en-AU"/>
        </w:rPr>
        <w:t>Supreme Court of Canada:</w:t>
      </w:r>
      <w:r w:rsidRPr="00DD0272">
        <w:rPr>
          <w:lang w:eastAsia="en-AU"/>
        </w:rPr>
        <w:t xml:space="preserve"> </w:t>
      </w:r>
      <w:hyperlink r:id="rId16" w:history="1">
        <w:r>
          <w:rPr>
            <w:rStyle w:val="Hyperlink"/>
            <w:lang w:eastAsia="en-AU"/>
          </w:rPr>
          <w:t>[2022] SCC 16</w:t>
        </w:r>
      </w:hyperlink>
    </w:p>
    <w:p w14:paraId="515797E6" w14:textId="77777777" w:rsidR="00936D2B" w:rsidRPr="00DD0272" w:rsidRDefault="00936D2B" w:rsidP="00936D2B">
      <w:pPr>
        <w:rPr>
          <w:lang w:eastAsia="en-AU"/>
        </w:rPr>
      </w:pPr>
    </w:p>
    <w:p w14:paraId="286B3B62" w14:textId="5EEBAD3D" w:rsidR="00936D2B" w:rsidRPr="00DD0272" w:rsidRDefault="00936D2B" w:rsidP="00936D2B">
      <w:pPr>
        <w:rPr>
          <w:lang w:eastAsia="en-AU"/>
        </w:rPr>
      </w:pPr>
      <w:r w:rsidRPr="00DD0272">
        <w:rPr>
          <w:b/>
          <w:bCs/>
          <w:lang w:eastAsia="en-AU"/>
        </w:rPr>
        <w:t xml:space="preserve">Judgment delivered: </w:t>
      </w:r>
      <w:r>
        <w:rPr>
          <w:lang w:eastAsia="en-AU"/>
        </w:rPr>
        <w:t>29 April</w:t>
      </w:r>
      <w:r w:rsidRPr="00DD0272">
        <w:rPr>
          <w:lang w:eastAsia="en-AU"/>
        </w:rPr>
        <w:t xml:space="preserve"> 2022 </w:t>
      </w:r>
    </w:p>
    <w:p w14:paraId="34D1D680" w14:textId="77777777" w:rsidR="00936D2B" w:rsidRPr="00DD0272" w:rsidRDefault="00936D2B" w:rsidP="00936D2B">
      <w:pPr>
        <w:rPr>
          <w:b/>
          <w:bCs/>
          <w:lang w:eastAsia="en-AU"/>
        </w:rPr>
      </w:pPr>
    </w:p>
    <w:p w14:paraId="711EB34E" w14:textId="77777777" w:rsidR="00936D2B" w:rsidRPr="00DD0272" w:rsidRDefault="00936D2B" w:rsidP="00936D2B">
      <w:pPr>
        <w:rPr>
          <w:lang w:eastAsia="en-AU"/>
        </w:rPr>
      </w:pPr>
      <w:r w:rsidRPr="00DD0272">
        <w:rPr>
          <w:b/>
          <w:bCs/>
          <w:lang w:eastAsia="en-AU"/>
        </w:rPr>
        <w:t>Coram:</w:t>
      </w:r>
      <w:r w:rsidRPr="00DD0272">
        <w:t xml:space="preserve"> </w:t>
      </w:r>
      <w:r w:rsidRPr="00DD0272">
        <w:rPr>
          <w:lang w:eastAsia="en-AU"/>
        </w:rPr>
        <w:t xml:space="preserve">Wagner CJ, </w:t>
      </w:r>
      <w:proofErr w:type="spellStart"/>
      <w:r w:rsidRPr="00DD0272">
        <w:rPr>
          <w:lang w:eastAsia="en-AU"/>
        </w:rPr>
        <w:t>Moldaver</w:t>
      </w:r>
      <w:proofErr w:type="spellEnd"/>
      <w:r w:rsidRPr="00DD0272">
        <w:rPr>
          <w:lang w:eastAsia="en-AU"/>
        </w:rPr>
        <w:t xml:space="preserve">, Karakatsanis, </w:t>
      </w:r>
      <w:proofErr w:type="spellStart"/>
      <w:r w:rsidRPr="00DD0272">
        <w:rPr>
          <w:lang w:eastAsia="en-AU"/>
        </w:rPr>
        <w:t>Côté</w:t>
      </w:r>
      <w:proofErr w:type="spellEnd"/>
      <w:r w:rsidRPr="00DD0272">
        <w:rPr>
          <w:lang w:eastAsia="en-AU"/>
        </w:rPr>
        <w:t xml:space="preserve">, Brown, Rowe, Martin, </w:t>
      </w:r>
      <w:proofErr w:type="spellStart"/>
      <w:r w:rsidRPr="00DD0272">
        <w:rPr>
          <w:lang w:eastAsia="en-AU"/>
        </w:rPr>
        <w:t>Kasirer</w:t>
      </w:r>
      <w:proofErr w:type="spellEnd"/>
      <w:r w:rsidRPr="00DD0272">
        <w:rPr>
          <w:lang w:eastAsia="en-AU"/>
        </w:rPr>
        <w:t xml:space="preserve"> and Jamal JJ</w:t>
      </w:r>
    </w:p>
    <w:p w14:paraId="41D1AA20" w14:textId="77777777" w:rsidR="00936D2B" w:rsidRPr="00DD0272" w:rsidRDefault="00936D2B" w:rsidP="00936D2B">
      <w:pPr>
        <w:rPr>
          <w:b/>
          <w:bCs/>
          <w:lang w:eastAsia="en-AU"/>
        </w:rPr>
      </w:pPr>
    </w:p>
    <w:p w14:paraId="237871F5" w14:textId="77777777" w:rsidR="00936D2B" w:rsidRPr="00DD0272" w:rsidRDefault="00936D2B" w:rsidP="00936D2B">
      <w:pPr>
        <w:rPr>
          <w:b/>
          <w:bCs/>
          <w:lang w:eastAsia="en-AU"/>
        </w:rPr>
      </w:pPr>
      <w:r w:rsidRPr="00DD0272">
        <w:rPr>
          <w:b/>
          <w:bCs/>
          <w:lang w:eastAsia="en-AU"/>
        </w:rPr>
        <w:t>Catchwords:</w:t>
      </w:r>
    </w:p>
    <w:p w14:paraId="5EB87FCC" w14:textId="77777777" w:rsidR="00936D2B" w:rsidRPr="00DD0272" w:rsidRDefault="00936D2B" w:rsidP="00936D2B">
      <w:pPr>
        <w:rPr>
          <w:b/>
          <w:bCs/>
          <w:lang w:eastAsia="en-AU"/>
        </w:rPr>
      </w:pPr>
    </w:p>
    <w:p w14:paraId="412D1550" w14:textId="13A69F2A" w:rsidR="00936D2B" w:rsidRDefault="00936D2B" w:rsidP="00936D2B">
      <w:pPr>
        <w:ind w:left="720"/>
        <w:rPr>
          <w:lang w:eastAsia="en-AU"/>
        </w:rPr>
      </w:pPr>
      <w:r w:rsidRPr="00A2764D">
        <w:rPr>
          <w:lang w:eastAsia="en-AU"/>
        </w:rPr>
        <w:t xml:space="preserve">Constitutional law </w:t>
      </w:r>
      <w:r w:rsidR="00983C4D">
        <w:rPr>
          <w:lang w:eastAsia="en-AU"/>
        </w:rPr>
        <w:t>–</w:t>
      </w:r>
      <w:r w:rsidRPr="00A2764D">
        <w:rPr>
          <w:lang w:eastAsia="en-AU"/>
        </w:rPr>
        <w:t xml:space="preserve"> </w:t>
      </w:r>
      <w:r w:rsidRPr="003E59CA">
        <w:rPr>
          <w:i/>
          <w:iCs/>
          <w:lang w:eastAsia="en-AU"/>
        </w:rPr>
        <w:t>Charter of Rights</w:t>
      </w:r>
      <w:r w:rsidRPr="00936D2B">
        <w:rPr>
          <w:lang w:eastAsia="en-AU"/>
        </w:rPr>
        <w:t xml:space="preserve"> </w:t>
      </w:r>
      <w:r w:rsidR="00983C4D">
        <w:rPr>
          <w:lang w:eastAsia="en-AU"/>
        </w:rPr>
        <w:t>–</w:t>
      </w:r>
      <w:r w:rsidRPr="00936D2B">
        <w:rPr>
          <w:lang w:eastAsia="en-AU"/>
        </w:rPr>
        <w:t xml:space="preserve"> Right to counsel </w:t>
      </w:r>
      <w:r w:rsidR="00983C4D">
        <w:rPr>
          <w:lang w:eastAsia="en-AU"/>
        </w:rPr>
        <w:t>–</w:t>
      </w:r>
      <w:r w:rsidRPr="00936D2B">
        <w:rPr>
          <w:lang w:eastAsia="en-AU"/>
        </w:rPr>
        <w:t xml:space="preserve"> </w:t>
      </w:r>
      <w:r>
        <w:rPr>
          <w:lang w:eastAsia="en-AU"/>
        </w:rPr>
        <w:t>Where a</w:t>
      </w:r>
      <w:r w:rsidRPr="00936D2B">
        <w:rPr>
          <w:lang w:eastAsia="en-AU"/>
        </w:rPr>
        <w:t xml:space="preserve">ccused </w:t>
      </w:r>
      <w:r>
        <w:rPr>
          <w:lang w:eastAsia="en-AU"/>
        </w:rPr>
        <w:t>spoke</w:t>
      </w:r>
      <w:r w:rsidRPr="00936D2B">
        <w:rPr>
          <w:lang w:eastAsia="en-AU"/>
        </w:rPr>
        <w:t xml:space="preserve"> with lawyer on telephone from police station </w:t>
      </w:r>
      <w:r w:rsidR="00983C4D">
        <w:rPr>
          <w:lang w:eastAsia="en-AU"/>
        </w:rPr>
        <w:t>–</w:t>
      </w:r>
      <w:r w:rsidRPr="00936D2B">
        <w:rPr>
          <w:lang w:eastAsia="en-AU"/>
        </w:rPr>
        <w:t xml:space="preserve"> </w:t>
      </w:r>
      <w:r>
        <w:rPr>
          <w:lang w:eastAsia="en-AU"/>
        </w:rPr>
        <w:t>Where c</w:t>
      </w:r>
      <w:r w:rsidRPr="00936D2B">
        <w:rPr>
          <w:lang w:eastAsia="en-AU"/>
        </w:rPr>
        <w:t xml:space="preserve">all </w:t>
      </w:r>
      <w:r>
        <w:rPr>
          <w:lang w:eastAsia="en-AU"/>
        </w:rPr>
        <w:t>ended</w:t>
      </w:r>
      <w:r w:rsidRPr="00936D2B">
        <w:rPr>
          <w:lang w:eastAsia="en-AU"/>
        </w:rPr>
        <w:t xml:space="preserve"> in </w:t>
      </w:r>
      <w:r w:rsidRPr="00936D2B">
        <w:rPr>
          <w:lang w:eastAsia="en-AU"/>
        </w:rPr>
        <w:lastRenderedPageBreak/>
        <w:t xml:space="preserve">belief that police had agreed to allow them to continue conversation at station </w:t>
      </w:r>
      <w:r w:rsidR="00983C4D">
        <w:rPr>
          <w:lang w:eastAsia="en-AU"/>
        </w:rPr>
        <w:t>–</w:t>
      </w:r>
      <w:r w:rsidRPr="00936D2B">
        <w:rPr>
          <w:lang w:eastAsia="en-AU"/>
        </w:rPr>
        <w:t xml:space="preserve"> </w:t>
      </w:r>
      <w:r>
        <w:rPr>
          <w:lang w:eastAsia="en-AU"/>
        </w:rPr>
        <w:t>Where p</w:t>
      </w:r>
      <w:r w:rsidRPr="00936D2B">
        <w:rPr>
          <w:lang w:eastAsia="en-AU"/>
        </w:rPr>
        <w:t xml:space="preserve">olice </w:t>
      </w:r>
      <w:r>
        <w:rPr>
          <w:lang w:eastAsia="en-AU"/>
        </w:rPr>
        <w:t>refused</w:t>
      </w:r>
      <w:r w:rsidRPr="00936D2B">
        <w:rPr>
          <w:lang w:eastAsia="en-AU"/>
        </w:rPr>
        <w:t xml:space="preserve"> to let accused meet with lawyer when he arrived at station </w:t>
      </w:r>
      <w:r w:rsidR="00983C4D">
        <w:rPr>
          <w:lang w:eastAsia="en-AU"/>
        </w:rPr>
        <w:t>–</w:t>
      </w:r>
      <w:r w:rsidRPr="00936D2B">
        <w:rPr>
          <w:lang w:eastAsia="en-AU"/>
        </w:rPr>
        <w:t xml:space="preserve"> </w:t>
      </w:r>
      <w:r>
        <w:rPr>
          <w:lang w:eastAsia="en-AU"/>
        </w:rPr>
        <w:t>Where p</w:t>
      </w:r>
      <w:r w:rsidRPr="00936D2B">
        <w:rPr>
          <w:lang w:eastAsia="en-AU"/>
        </w:rPr>
        <w:t>olice subsequently conduct</w:t>
      </w:r>
      <w:r>
        <w:rPr>
          <w:lang w:eastAsia="en-AU"/>
        </w:rPr>
        <w:t>ed</w:t>
      </w:r>
      <w:r w:rsidRPr="00936D2B">
        <w:rPr>
          <w:lang w:eastAsia="en-AU"/>
        </w:rPr>
        <w:t xml:space="preserve"> interrogation resulting in accused making incriminating statement </w:t>
      </w:r>
      <w:r w:rsidR="00983C4D">
        <w:rPr>
          <w:lang w:eastAsia="en-AU"/>
        </w:rPr>
        <w:t>–</w:t>
      </w:r>
      <w:r w:rsidRPr="00936D2B">
        <w:rPr>
          <w:lang w:eastAsia="en-AU"/>
        </w:rPr>
        <w:t xml:space="preserve"> Whether police required to provide accused with further opportunity to consult counsel before interrogation </w:t>
      </w:r>
      <w:r w:rsidR="00983C4D">
        <w:rPr>
          <w:lang w:eastAsia="en-AU"/>
        </w:rPr>
        <w:t>–</w:t>
      </w:r>
      <w:r w:rsidRPr="00936D2B">
        <w:rPr>
          <w:lang w:eastAsia="en-AU"/>
        </w:rPr>
        <w:t xml:space="preserve"> </w:t>
      </w:r>
      <w:r w:rsidRPr="00936D2B">
        <w:rPr>
          <w:i/>
          <w:iCs/>
          <w:lang w:eastAsia="en-AU"/>
        </w:rPr>
        <w:t>Canadian Charter of Rights and Freedoms</w:t>
      </w:r>
      <w:r w:rsidRPr="00936D2B">
        <w:rPr>
          <w:lang w:eastAsia="en-AU"/>
        </w:rPr>
        <w:t>, s 10(b).</w:t>
      </w:r>
    </w:p>
    <w:p w14:paraId="162FFAAD" w14:textId="77777777" w:rsidR="00936D2B" w:rsidRPr="00DD0272" w:rsidRDefault="00936D2B" w:rsidP="00936D2B">
      <w:pPr>
        <w:ind w:left="720"/>
        <w:rPr>
          <w:b/>
          <w:bCs/>
          <w:lang w:eastAsia="en-AU"/>
        </w:rPr>
      </w:pPr>
    </w:p>
    <w:p w14:paraId="79976F82" w14:textId="6E999F43" w:rsidR="00936D2B" w:rsidRPr="00DD0272" w:rsidRDefault="00936D2B" w:rsidP="00936D2B">
      <w:pPr>
        <w:rPr>
          <w:lang w:eastAsia="en-AU"/>
        </w:rPr>
      </w:pPr>
      <w:r w:rsidRPr="00DD0272">
        <w:rPr>
          <w:b/>
          <w:bCs/>
          <w:lang w:eastAsia="en-AU"/>
        </w:rPr>
        <w:t>Held (</w:t>
      </w:r>
      <w:r>
        <w:rPr>
          <w:b/>
          <w:bCs/>
          <w:lang w:eastAsia="en-AU"/>
        </w:rPr>
        <w:t>9</w:t>
      </w:r>
      <w:r w:rsidRPr="00DD0272">
        <w:rPr>
          <w:b/>
          <w:bCs/>
          <w:lang w:eastAsia="en-AU"/>
        </w:rPr>
        <w:t>:</w:t>
      </w:r>
      <w:r>
        <w:rPr>
          <w:b/>
          <w:bCs/>
          <w:lang w:eastAsia="en-AU"/>
        </w:rPr>
        <w:t>0</w:t>
      </w:r>
      <w:r w:rsidRPr="00DD0272">
        <w:rPr>
          <w:b/>
          <w:bCs/>
          <w:lang w:eastAsia="en-AU"/>
        </w:rPr>
        <w:t>):</w:t>
      </w:r>
      <w:r w:rsidRPr="00DD0272">
        <w:rPr>
          <w:lang w:eastAsia="en-AU"/>
        </w:rPr>
        <w:t xml:space="preserve"> Appeal </w:t>
      </w:r>
      <w:r>
        <w:rPr>
          <w:lang w:eastAsia="en-AU"/>
        </w:rPr>
        <w:t>dismissed</w:t>
      </w:r>
      <w:r w:rsidRPr="00DD0272">
        <w:rPr>
          <w:lang w:eastAsia="en-AU"/>
        </w:rPr>
        <w:t xml:space="preserve">. </w:t>
      </w:r>
    </w:p>
    <w:bookmarkEnd w:id="2"/>
    <w:p w14:paraId="44D11C17" w14:textId="77777777" w:rsidR="00936D2B" w:rsidRDefault="00936D2B" w:rsidP="00936D2B">
      <w:pPr>
        <w:pStyle w:val="BullDivider1"/>
      </w:pPr>
    </w:p>
    <w:p w14:paraId="252F7D24" w14:textId="77777777" w:rsidR="00936D2B" w:rsidRPr="00936D2B" w:rsidRDefault="00936D2B" w:rsidP="00936D2B">
      <w:pPr>
        <w:rPr>
          <w:lang w:eastAsia="en-AU"/>
        </w:rPr>
      </w:pPr>
    </w:p>
    <w:p w14:paraId="29E09F4D" w14:textId="659C0A69" w:rsidR="00936D2B" w:rsidRPr="00DD0272" w:rsidRDefault="00936D2B" w:rsidP="00936D2B">
      <w:pPr>
        <w:keepNext/>
        <w:outlineLvl w:val="1"/>
        <w:rPr>
          <w:rFonts w:ascii="Arial" w:hAnsi="Arial" w:cs="Arial"/>
          <w:bCs/>
          <w:i/>
          <w:iCs/>
          <w:sz w:val="28"/>
          <w:szCs w:val="28"/>
          <w:lang w:eastAsia="en-AU"/>
        </w:rPr>
      </w:pPr>
      <w:r>
        <w:rPr>
          <w:rFonts w:ascii="Arial" w:hAnsi="Arial" w:cs="Arial"/>
          <w:bCs/>
          <w:i/>
          <w:iCs/>
          <w:sz w:val="28"/>
          <w:szCs w:val="28"/>
          <w:lang w:eastAsia="en-AU"/>
        </w:rPr>
        <w:t xml:space="preserve">R v JF </w:t>
      </w:r>
    </w:p>
    <w:p w14:paraId="294C22EB" w14:textId="42B2C532" w:rsidR="00936D2B" w:rsidRPr="00DD0272" w:rsidRDefault="00936D2B" w:rsidP="00936D2B">
      <w:pPr>
        <w:rPr>
          <w:lang w:eastAsia="en-AU"/>
        </w:rPr>
      </w:pPr>
      <w:r w:rsidRPr="00DD0272">
        <w:rPr>
          <w:b/>
          <w:bCs/>
          <w:lang w:eastAsia="en-AU"/>
        </w:rPr>
        <w:t>Supreme Court of Canada:</w:t>
      </w:r>
      <w:r w:rsidRPr="00DD0272">
        <w:rPr>
          <w:lang w:eastAsia="en-AU"/>
        </w:rPr>
        <w:t xml:space="preserve"> </w:t>
      </w:r>
      <w:hyperlink r:id="rId17" w:history="1">
        <w:r>
          <w:rPr>
            <w:rStyle w:val="Hyperlink"/>
            <w:lang w:eastAsia="en-AU"/>
          </w:rPr>
          <w:t>[2022] SCC 17</w:t>
        </w:r>
      </w:hyperlink>
    </w:p>
    <w:p w14:paraId="68E451F5" w14:textId="77777777" w:rsidR="00936D2B" w:rsidRPr="00DD0272" w:rsidRDefault="00936D2B" w:rsidP="00936D2B">
      <w:pPr>
        <w:rPr>
          <w:lang w:eastAsia="en-AU"/>
        </w:rPr>
      </w:pPr>
    </w:p>
    <w:p w14:paraId="1A2913E0" w14:textId="188967B7" w:rsidR="00936D2B" w:rsidRPr="00DD0272" w:rsidRDefault="00936D2B" w:rsidP="00936D2B">
      <w:pPr>
        <w:rPr>
          <w:lang w:eastAsia="en-AU"/>
        </w:rPr>
      </w:pPr>
      <w:r w:rsidRPr="00DD0272">
        <w:rPr>
          <w:b/>
          <w:bCs/>
          <w:lang w:eastAsia="en-AU"/>
        </w:rPr>
        <w:t xml:space="preserve">Judgment delivered: </w:t>
      </w:r>
      <w:r>
        <w:rPr>
          <w:lang w:eastAsia="en-AU"/>
        </w:rPr>
        <w:t>6 May</w:t>
      </w:r>
      <w:r w:rsidRPr="00DD0272">
        <w:rPr>
          <w:lang w:eastAsia="en-AU"/>
        </w:rPr>
        <w:t xml:space="preserve"> 2022 </w:t>
      </w:r>
    </w:p>
    <w:p w14:paraId="34EC331F" w14:textId="77777777" w:rsidR="00936D2B" w:rsidRPr="00DD0272" w:rsidRDefault="00936D2B" w:rsidP="00936D2B">
      <w:pPr>
        <w:rPr>
          <w:b/>
          <w:bCs/>
          <w:lang w:eastAsia="en-AU"/>
        </w:rPr>
      </w:pPr>
    </w:p>
    <w:p w14:paraId="6471EF52" w14:textId="77777777" w:rsidR="00936D2B" w:rsidRPr="00DD0272" w:rsidRDefault="00936D2B" w:rsidP="00936D2B">
      <w:pPr>
        <w:rPr>
          <w:lang w:eastAsia="en-AU"/>
        </w:rPr>
      </w:pPr>
      <w:r w:rsidRPr="00DD0272">
        <w:rPr>
          <w:b/>
          <w:bCs/>
          <w:lang w:eastAsia="en-AU"/>
        </w:rPr>
        <w:t>Coram:</w:t>
      </w:r>
      <w:r w:rsidRPr="00DD0272">
        <w:t xml:space="preserve"> </w:t>
      </w:r>
      <w:r w:rsidRPr="00DD0272">
        <w:rPr>
          <w:lang w:eastAsia="en-AU"/>
        </w:rPr>
        <w:t xml:space="preserve">Wagner CJ, </w:t>
      </w:r>
      <w:proofErr w:type="spellStart"/>
      <w:r w:rsidRPr="00DD0272">
        <w:rPr>
          <w:lang w:eastAsia="en-AU"/>
        </w:rPr>
        <w:t>Moldaver</w:t>
      </w:r>
      <w:proofErr w:type="spellEnd"/>
      <w:r w:rsidRPr="00DD0272">
        <w:rPr>
          <w:lang w:eastAsia="en-AU"/>
        </w:rPr>
        <w:t xml:space="preserve">, Karakatsanis, </w:t>
      </w:r>
      <w:proofErr w:type="spellStart"/>
      <w:r w:rsidRPr="00DD0272">
        <w:rPr>
          <w:lang w:eastAsia="en-AU"/>
        </w:rPr>
        <w:t>Côté</w:t>
      </w:r>
      <w:proofErr w:type="spellEnd"/>
      <w:r w:rsidRPr="00DD0272">
        <w:rPr>
          <w:lang w:eastAsia="en-AU"/>
        </w:rPr>
        <w:t xml:space="preserve">, Brown, Rowe, Martin, </w:t>
      </w:r>
      <w:proofErr w:type="spellStart"/>
      <w:r w:rsidRPr="00DD0272">
        <w:rPr>
          <w:lang w:eastAsia="en-AU"/>
        </w:rPr>
        <w:t>Kasirer</w:t>
      </w:r>
      <w:proofErr w:type="spellEnd"/>
      <w:r w:rsidRPr="00DD0272">
        <w:rPr>
          <w:lang w:eastAsia="en-AU"/>
        </w:rPr>
        <w:t xml:space="preserve"> and Jamal JJ</w:t>
      </w:r>
    </w:p>
    <w:p w14:paraId="01F70C70" w14:textId="77777777" w:rsidR="00936D2B" w:rsidRPr="00DD0272" w:rsidRDefault="00936D2B" w:rsidP="00936D2B">
      <w:pPr>
        <w:rPr>
          <w:b/>
          <w:bCs/>
          <w:lang w:eastAsia="en-AU"/>
        </w:rPr>
      </w:pPr>
    </w:p>
    <w:p w14:paraId="7DA4CA86" w14:textId="77777777" w:rsidR="00936D2B" w:rsidRPr="00DD0272" w:rsidRDefault="00936D2B" w:rsidP="00936D2B">
      <w:pPr>
        <w:rPr>
          <w:b/>
          <w:bCs/>
          <w:lang w:eastAsia="en-AU"/>
        </w:rPr>
      </w:pPr>
      <w:r w:rsidRPr="00DD0272">
        <w:rPr>
          <w:b/>
          <w:bCs/>
          <w:lang w:eastAsia="en-AU"/>
        </w:rPr>
        <w:t>Catchwords:</w:t>
      </w:r>
    </w:p>
    <w:p w14:paraId="35FA6C78" w14:textId="77777777" w:rsidR="00936D2B" w:rsidRPr="00DD0272" w:rsidRDefault="00936D2B" w:rsidP="00936D2B">
      <w:pPr>
        <w:rPr>
          <w:b/>
          <w:bCs/>
          <w:lang w:eastAsia="en-AU"/>
        </w:rPr>
      </w:pPr>
    </w:p>
    <w:p w14:paraId="632016D3" w14:textId="700D51E9" w:rsidR="00936D2B" w:rsidRDefault="00936D2B" w:rsidP="00936D2B">
      <w:pPr>
        <w:ind w:left="720"/>
        <w:rPr>
          <w:lang w:eastAsia="en-AU"/>
        </w:rPr>
      </w:pPr>
      <w:r w:rsidRPr="00A2764D">
        <w:rPr>
          <w:lang w:eastAsia="en-AU"/>
        </w:rPr>
        <w:t xml:space="preserve">Constitutional law </w:t>
      </w:r>
      <w:r w:rsidR="00983C4D">
        <w:rPr>
          <w:lang w:eastAsia="en-AU"/>
        </w:rPr>
        <w:t>–</w:t>
      </w:r>
      <w:r w:rsidRPr="00A2764D">
        <w:rPr>
          <w:lang w:eastAsia="en-AU"/>
        </w:rPr>
        <w:t xml:space="preserve"> </w:t>
      </w:r>
      <w:r w:rsidR="000A3D26" w:rsidRPr="003E59CA">
        <w:rPr>
          <w:i/>
          <w:iCs/>
          <w:lang w:eastAsia="en-AU"/>
        </w:rPr>
        <w:t>Charter of Rights</w:t>
      </w:r>
      <w:r w:rsidR="000A3D26" w:rsidRPr="000A3D26">
        <w:rPr>
          <w:lang w:eastAsia="en-AU"/>
        </w:rPr>
        <w:t xml:space="preserve"> </w:t>
      </w:r>
      <w:r w:rsidR="00983C4D">
        <w:rPr>
          <w:lang w:eastAsia="en-AU"/>
        </w:rPr>
        <w:t>–</w:t>
      </w:r>
      <w:r w:rsidR="000A3D26" w:rsidRPr="000A3D26">
        <w:rPr>
          <w:lang w:eastAsia="en-AU"/>
        </w:rPr>
        <w:t xml:space="preserve"> Right to be tried within reasonable time </w:t>
      </w:r>
      <w:r w:rsidR="00983C4D">
        <w:rPr>
          <w:lang w:eastAsia="en-AU"/>
        </w:rPr>
        <w:t>–</w:t>
      </w:r>
      <w:r w:rsidR="000A3D26" w:rsidRPr="000A3D26">
        <w:rPr>
          <w:lang w:eastAsia="en-AU"/>
        </w:rPr>
        <w:t xml:space="preserve"> Order for new trial </w:t>
      </w:r>
      <w:r w:rsidR="00983C4D">
        <w:rPr>
          <w:lang w:eastAsia="en-AU"/>
        </w:rPr>
        <w:t>–</w:t>
      </w:r>
      <w:r w:rsidR="000A3D26" w:rsidRPr="000A3D26">
        <w:rPr>
          <w:lang w:eastAsia="en-AU"/>
        </w:rPr>
        <w:t xml:space="preserve"> Whether, after new trial is ordered, accused can file motion under s 11(b) of </w:t>
      </w:r>
      <w:r w:rsidR="000A3D26" w:rsidRPr="000A3D26">
        <w:rPr>
          <w:i/>
          <w:iCs/>
          <w:lang w:eastAsia="en-AU"/>
        </w:rPr>
        <w:t>Canadian Charter of Rights and Freedoms</w:t>
      </w:r>
      <w:r w:rsidR="000A3D26" w:rsidRPr="000A3D26">
        <w:rPr>
          <w:lang w:eastAsia="en-AU"/>
        </w:rPr>
        <w:t xml:space="preserve"> for stay of proceedings based on delay in accused</w:t>
      </w:r>
      <w:r w:rsidR="00A74661">
        <w:rPr>
          <w:lang w:eastAsia="en-AU"/>
        </w:rPr>
        <w:t>'</w:t>
      </w:r>
      <w:r w:rsidR="000A3D26" w:rsidRPr="000A3D26">
        <w:rPr>
          <w:lang w:eastAsia="en-AU"/>
        </w:rPr>
        <w:t xml:space="preserve">s first trial </w:t>
      </w:r>
      <w:r w:rsidR="00983C4D">
        <w:rPr>
          <w:lang w:eastAsia="en-AU"/>
        </w:rPr>
        <w:t>–</w:t>
      </w:r>
      <w:r w:rsidR="000A3D26" w:rsidRPr="000A3D26">
        <w:rPr>
          <w:lang w:eastAsia="en-AU"/>
        </w:rPr>
        <w:t xml:space="preserve"> Whether presumptive ceilings established in </w:t>
      </w:r>
      <w:r w:rsidR="00ED59BD" w:rsidRPr="00ED59BD">
        <w:rPr>
          <w:i/>
          <w:iCs/>
          <w:lang w:eastAsia="en-AU"/>
        </w:rPr>
        <w:t>R v Jordan</w:t>
      </w:r>
      <w:r w:rsidR="00ED59BD" w:rsidRPr="00ED59BD">
        <w:rPr>
          <w:lang w:eastAsia="en-AU"/>
        </w:rPr>
        <w:t xml:space="preserve"> </w:t>
      </w:r>
      <w:r w:rsidR="00ED59BD">
        <w:rPr>
          <w:lang w:eastAsia="en-AU"/>
        </w:rPr>
        <w:t>[</w:t>
      </w:r>
      <w:r w:rsidR="00ED59BD" w:rsidRPr="00ED59BD">
        <w:rPr>
          <w:lang w:eastAsia="en-AU"/>
        </w:rPr>
        <w:t>2016</w:t>
      </w:r>
      <w:r w:rsidR="00ED59BD">
        <w:rPr>
          <w:lang w:eastAsia="en-AU"/>
        </w:rPr>
        <w:t>]</w:t>
      </w:r>
      <w:r w:rsidR="00ED59BD" w:rsidRPr="00ED59BD">
        <w:rPr>
          <w:lang w:eastAsia="en-AU"/>
        </w:rPr>
        <w:t xml:space="preserve"> SCC 27</w:t>
      </w:r>
      <w:r w:rsidR="00ED59BD">
        <w:rPr>
          <w:lang w:eastAsia="en-AU"/>
        </w:rPr>
        <w:t xml:space="preserve"> </w:t>
      </w:r>
      <w:r w:rsidR="000A3D26" w:rsidRPr="000A3D26">
        <w:rPr>
          <w:lang w:eastAsia="en-AU"/>
        </w:rPr>
        <w:t>apply to retrial delay.</w:t>
      </w:r>
    </w:p>
    <w:p w14:paraId="611897AF" w14:textId="77777777" w:rsidR="00936D2B" w:rsidRPr="00DD0272" w:rsidRDefault="00936D2B" w:rsidP="00936D2B">
      <w:pPr>
        <w:ind w:left="720"/>
        <w:rPr>
          <w:b/>
          <w:bCs/>
          <w:lang w:eastAsia="en-AU"/>
        </w:rPr>
      </w:pPr>
    </w:p>
    <w:p w14:paraId="077FF828" w14:textId="18E9D9DD" w:rsidR="00936D2B" w:rsidRPr="00DD0272" w:rsidRDefault="00936D2B" w:rsidP="00936D2B">
      <w:pPr>
        <w:rPr>
          <w:lang w:eastAsia="en-AU"/>
        </w:rPr>
      </w:pPr>
      <w:r w:rsidRPr="00DD0272">
        <w:rPr>
          <w:b/>
          <w:bCs/>
          <w:lang w:eastAsia="en-AU"/>
        </w:rPr>
        <w:t>Held (</w:t>
      </w:r>
      <w:r w:rsidR="000A3D26">
        <w:rPr>
          <w:b/>
          <w:bCs/>
          <w:lang w:eastAsia="en-AU"/>
        </w:rPr>
        <w:t>8</w:t>
      </w:r>
      <w:r w:rsidRPr="00DD0272">
        <w:rPr>
          <w:b/>
          <w:bCs/>
          <w:lang w:eastAsia="en-AU"/>
        </w:rPr>
        <w:t>:</w:t>
      </w:r>
      <w:r w:rsidR="000A3D26">
        <w:rPr>
          <w:b/>
          <w:bCs/>
          <w:lang w:eastAsia="en-AU"/>
        </w:rPr>
        <w:t>1</w:t>
      </w:r>
      <w:r w:rsidRPr="00DD0272">
        <w:rPr>
          <w:b/>
          <w:bCs/>
          <w:lang w:eastAsia="en-AU"/>
        </w:rPr>
        <w:t>):</w:t>
      </w:r>
      <w:r w:rsidRPr="00DD0272">
        <w:rPr>
          <w:lang w:eastAsia="en-AU"/>
        </w:rPr>
        <w:t xml:space="preserve"> Appeal </w:t>
      </w:r>
      <w:r w:rsidR="000A3D26">
        <w:rPr>
          <w:lang w:eastAsia="en-AU"/>
        </w:rPr>
        <w:t xml:space="preserve">allowed, stay of proceedings set aside and case </w:t>
      </w:r>
      <w:r w:rsidR="000A3D26" w:rsidRPr="000A3D26">
        <w:rPr>
          <w:lang w:eastAsia="en-AU"/>
        </w:rPr>
        <w:t xml:space="preserve">remanded to </w:t>
      </w:r>
      <w:r w:rsidR="000A3D26">
        <w:rPr>
          <w:lang w:eastAsia="en-AU"/>
        </w:rPr>
        <w:t xml:space="preserve">the </w:t>
      </w:r>
      <w:r w:rsidR="000A3D26" w:rsidRPr="000A3D26">
        <w:rPr>
          <w:lang w:eastAsia="en-AU"/>
        </w:rPr>
        <w:t>Court of Québec for continuation of the trial.</w:t>
      </w:r>
    </w:p>
    <w:p w14:paraId="5E618737" w14:textId="53B0BA38" w:rsidR="00A2764D" w:rsidRDefault="00A2764D" w:rsidP="000A3D26">
      <w:pPr>
        <w:pStyle w:val="BullDivider1"/>
      </w:pPr>
    </w:p>
    <w:p w14:paraId="3DE4C88A" w14:textId="77777777" w:rsidR="000A3D26" w:rsidRPr="000A3D26" w:rsidRDefault="000A3D26" w:rsidP="000A3D26">
      <w:pPr>
        <w:rPr>
          <w:lang w:eastAsia="en-AU"/>
        </w:rPr>
      </w:pPr>
    </w:p>
    <w:p w14:paraId="148EB714" w14:textId="7C4EDE5F" w:rsidR="00A2764D" w:rsidRPr="00DD0272" w:rsidRDefault="00A2764D" w:rsidP="00A2764D">
      <w:pPr>
        <w:keepNext/>
        <w:outlineLvl w:val="1"/>
        <w:rPr>
          <w:rFonts w:ascii="Arial" w:hAnsi="Arial" w:cs="Arial"/>
          <w:bCs/>
          <w:i/>
          <w:iCs/>
          <w:sz w:val="28"/>
          <w:szCs w:val="28"/>
          <w:lang w:eastAsia="en-AU"/>
        </w:rPr>
      </w:pPr>
      <w:bookmarkStart w:id="3" w:name="_Hlk100230546"/>
      <w:bookmarkStart w:id="4" w:name="_Hlk104277598"/>
      <w:r>
        <w:rPr>
          <w:rFonts w:ascii="Arial" w:hAnsi="Arial" w:cs="Arial"/>
          <w:bCs/>
          <w:i/>
          <w:iCs/>
          <w:sz w:val="28"/>
          <w:szCs w:val="28"/>
          <w:lang w:eastAsia="en-AU"/>
        </w:rPr>
        <w:t xml:space="preserve">R v Stairs </w:t>
      </w:r>
    </w:p>
    <w:p w14:paraId="421239CE" w14:textId="355FD776" w:rsidR="00A2764D" w:rsidRPr="00DD0272" w:rsidRDefault="00A2764D" w:rsidP="00A2764D">
      <w:pPr>
        <w:rPr>
          <w:lang w:eastAsia="en-AU"/>
        </w:rPr>
      </w:pPr>
      <w:r w:rsidRPr="00DD0272">
        <w:rPr>
          <w:b/>
          <w:bCs/>
          <w:lang w:eastAsia="en-AU"/>
        </w:rPr>
        <w:t>Supreme Court of Canada:</w:t>
      </w:r>
      <w:r w:rsidRPr="00DD0272">
        <w:rPr>
          <w:lang w:eastAsia="en-AU"/>
        </w:rPr>
        <w:t xml:space="preserve"> </w:t>
      </w:r>
      <w:hyperlink r:id="rId18" w:history="1">
        <w:r w:rsidRPr="00A2764D">
          <w:rPr>
            <w:rStyle w:val="Hyperlink"/>
            <w:lang w:eastAsia="en-AU"/>
          </w:rPr>
          <w:t>[2022] SCC 11</w:t>
        </w:r>
      </w:hyperlink>
    </w:p>
    <w:p w14:paraId="50406EE0" w14:textId="77777777" w:rsidR="00A2764D" w:rsidRPr="00DD0272" w:rsidRDefault="00A2764D" w:rsidP="00A2764D">
      <w:pPr>
        <w:rPr>
          <w:lang w:eastAsia="en-AU"/>
        </w:rPr>
      </w:pPr>
    </w:p>
    <w:p w14:paraId="52EA5573" w14:textId="2E086153" w:rsidR="00A2764D" w:rsidRPr="00DD0272" w:rsidRDefault="00A2764D" w:rsidP="00A2764D">
      <w:pPr>
        <w:rPr>
          <w:lang w:eastAsia="en-AU"/>
        </w:rPr>
      </w:pPr>
      <w:r w:rsidRPr="00DD0272">
        <w:rPr>
          <w:b/>
          <w:bCs/>
          <w:lang w:eastAsia="en-AU"/>
        </w:rPr>
        <w:t xml:space="preserve">Judgment delivered: </w:t>
      </w:r>
      <w:r>
        <w:rPr>
          <w:lang w:eastAsia="en-AU"/>
        </w:rPr>
        <w:t>8 April</w:t>
      </w:r>
      <w:r w:rsidRPr="00DD0272">
        <w:rPr>
          <w:lang w:eastAsia="en-AU"/>
        </w:rPr>
        <w:t xml:space="preserve"> 2022 </w:t>
      </w:r>
    </w:p>
    <w:p w14:paraId="02DD00F6" w14:textId="77777777" w:rsidR="00A2764D" w:rsidRPr="00DD0272" w:rsidRDefault="00A2764D" w:rsidP="00A2764D">
      <w:pPr>
        <w:rPr>
          <w:b/>
          <w:bCs/>
          <w:lang w:eastAsia="en-AU"/>
        </w:rPr>
      </w:pPr>
    </w:p>
    <w:p w14:paraId="737A8B38" w14:textId="77777777" w:rsidR="00A2764D" w:rsidRPr="00DD0272" w:rsidRDefault="00A2764D" w:rsidP="00A2764D">
      <w:pPr>
        <w:rPr>
          <w:lang w:eastAsia="en-AU"/>
        </w:rPr>
      </w:pPr>
      <w:r w:rsidRPr="00DD0272">
        <w:rPr>
          <w:b/>
          <w:bCs/>
          <w:lang w:eastAsia="en-AU"/>
        </w:rPr>
        <w:t>Coram:</w:t>
      </w:r>
      <w:r w:rsidRPr="00DD0272">
        <w:t xml:space="preserve"> </w:t>
      </w:r>
      <w:r w:rsidRPr="00DD0272">
        <w:rPr>
          <w:lang w:eastAsia="en-AU"/>
        </w:rPr>
        <w:t xml:space="preserve">Wagner CJ, </w:t>
      </w:r>
      <w:proofErr w:type="spellStart"/>
      <w:r w:rsidRPr="00DD0272">
        <w:rPr>
          <w:lang w:eastAsia="en-AU"/>
        </w:rPr>
        <w:t>Moldaver</w:t>
      </w:r>
      <w:proofErr w:type="spellEnd"/>
      <w:r w:rsidRPr="00DD0272">
        <w:rPr>
          <w:lang w:eastAsia="en-AU"/>
        </w:rPr>
        <w:t xml:space="preserve">, Karakatsanis, </w:t>
      </w:r>
      <w:proofErr w:type="spellStart"/>
      <w:r w:rsidRPr="00DD0272">
        <w:rPr>
          <w:lang w:eastAsia="en-AU"/>
        </w:rPr>
        <w:t>Côté</w:t>
      </w:r>
      <w:proofErr w:type="spellEnd"/>
      <w:r w:rsidRPr="00DD0272">
        <w:rPr>
          <w:lang w:eastAsia="en-AU"/>
        </w:rPr>
        <w:t xml:space="preserve">, Brown, Rowe, Martin, </w:t>
      </w:r>
      <w:proofErr w:type="spellStart"/>
      <w:r w:rsidRPr="00DD0272">
        <w:rPr>
          <w:lang w:eastAsia="en-AU"/>
        </w:rPr>
        <w:t>Kasirer</w:t>
      </w:r>
      <w:proofErr w:type="spellEnd"/>
      <w:r w:rsidRPr="00DD0272">
        <w:rPr>
          <w:lang w:eastAsia="en-AU"/>
        </w:rPr>
        <w:t xml:space="preserve"> and Jamal JJ</w:t>
      </w:r>
    </w:p>
    <w:p w14:paraId="3F3BE9D8" w14:textId="77777777" w:rsidR="00A2764D" w:rsidRPr="00DD0272" w:rsidRDefault="00A2764D" w:rsidP="00A2764D">
      <w:pPr>
        <w:rPr>
          <w:b/>
          <w:bCs/>
          <w:lang w:eastAsia="en-AU"/>
        </w:rPr>
      </w:pPr>
    </w:p>
    <w:p w14:paraId="7886CFAB" w14:textId="77777777" w:rsidR="00A2764D" w:rsidRPr="00DD0272" w:rsidRDefault="00A2764D" w:rsidP="00A2764D">
      <w:pPr>
        <w:rPr>
          <w:b/>
          <w:bCs/>
          <w:lang w:eastAsia="en-AU"/>
        </w:rPr>
      </w:pPr>
      <w:r w:rsidRPr="00DD0272">
        <w:rPr>
          <w:b/>
          <w:bCs/>
          <w:lang w:eastAsia="en-AU"/>
        </w:rPr>
        <w:t>Catchwords:</w:t>
      </w:r>
    </w:p>
    <w:p w14:paraId="66D9C8E8" w14:textId="77777777" w:rsidR="00A2764D" w:rsidRPr="00DD0272" w:rsidRDefault="00A2764D" w:rsidP="00A2764D">
      <w:pPr>
        <w:rPr>
          <w:b/>
          <w:bCs/>
          <w:lang w:eastAsia="en-AU"/>
        </w:rPr>
      </w:pPr>
    </w:p>
    <w:p w14:paraId="5191413D" w14:textId="16ECA9EB" w:rsidR="00A2764D" w:rsidRDefault="00A2764D" w:rsidP="00A2764D">
      <w:pPr>
        <w:ind w:left="720"/>
        <w:rPr>
          <w:lang w:eastAsia="en-AU"/>
        </w:rPr>
      </w:pPr>
      <w:r w:rsidRPr="00A2764D">
        <w:rPr>
          <w:lang w:eastAsia="en-AU"/>
        </w:rPr>
        <w:t xml:space="preserve">Constitutional law </w:t>
      </w:r>
      <w:r w:rsidR="00983C4D">
        <w:rPr>
          <w:lang w:eastAsia="en-AU"/>
        </w:rPr>
        <w:t>–</w:t>
      </w:r>
      <w:r w:rsidRPr="00A2764D">
        <w:rPr>
          <w:lang w:eastAsia="en-AU"/>
        </w:rPr>
        <w:t xml:space="preserve"> </w:t>
      </w:r>
      <w:r w:rsidRPr="005E61F7">
        <w:rPr>
          <w:i/>
          <w:iCs/>
          <w:lang w:eastAsia="en-AU"/>
        </w:rPr>
        <w:t>Charter of Rights</w:t>
      </w:r>
      <w:r w:rsidRPr="00A2764D">
        <w:rPr>
          <w:lang w:eastAsia="en-AU"/>
        </w:rPr>
        <w:t xml:space="preserve"> </w:t>
      </w:r>
      <w:r w:rsidR="00983C4D">
        <w:rPr>
          <w:lang w:eastAsia="en-AU"/>
        </w:rPr>
        <w:t>–</w:t>
      </w:r>
      <w:r w:rsidRPr="00A2764D">
        <w:rPr>
          <w:lang w:eastAsia="en-AU"/>
        </w:rPr>
        <w:t xml:space="preserve"> Search and seizure </w:t>
      </w:r>
      <w:r w:rsidR="00983C4D">
        <w:rPr>
          <w:lang w:eastAsia="en-AU"/>
        </w:rPr>
        <w:t>–</w:t>
      </w:r>
      <w:r w:rsidRPr="00A2764D">
        <w:rPr>
          <w:lang w:eastAsia="en-AU"/>
        </w:rPr>
        <w:t xml:space="preserve"> Search incident to arrest </w:t>
      </w:r>
      <w:r w:rsidR="00983C4D">
        <w:rPr>
          <w:lang w:eastAsia="en-AU"/>
        </w:rPr>
        <w:t>–</w:t>
      </w:r>
      <w:r w:rsidRPr="00A2764D">
        <w:rPr>
          <w:lang w:eastAsia="en-AU"/>
        </w:rPr>
        <w:t xml:space="preserve"> </w:t>
      </w:r>
      <w:r>
        <w:rPr>
          <w:lang w:eastAsia="en-AU"/>
        </w:rPr>
        <w:t>Where p</w:t>
      </w:r>
      <w:r w:rsidRPr="00A2764D">
        <w:rPr>
          <w:lang w:eastAsia="en-AU"/>
        </w:rPr>
        <w:t>olice arrest</w:t>
      </w:r>
      <w:r>
        <w:rPr>
          <w:lang w:eastAsia="en-AU"/>
        </w:rPr>
        <w:t>ed</w:t>
      </w:r>
      <w:r w:rsidRPr="00A2764D">
        <w:rPr>
          <w:lang w:eastAsia="en-AU"/>
        </w:rPr>
        <w:t xml:space="preserve"> accused in basement of home following report of domestic violence </w:t>
      </w:r>
      <w:r w:rsidR="00983C4D">
        <w:rPr>
          <w:lang w:eastAsia="en-AU"/>
        </w:rPr>
        <w:t>–</w:t>
      </w:r>
      <w:r w:rsidRPr="00A2764D">
        <w:rPr>
          <w:lang w:eastAsia="en-AU"/>
        </w:rPr>
        <w:t xml:space="preserve"> </w:t>
      </w:r>
      <w:r>
        <w:rPr>
          <w:lang w:eastAsia="en-AU"/>
        </w:rPr>
        <w:t>Where p</w:t>
      </w:r>
      <w:r w:rsidRPr="00A2764D">
        <w:rPr>
          <w:lang w:eastAsia="en-AU"/>
        </w:rPr>
        <w:t>olice conduct</w:t>
      </w:r>
      <w:r>
        <w:rPr>
          <w:lang w:eastAsia="en-AU"/>
        </w:rPr>
        <w:t>ed</w:t>
      </w:r>
      <w:r w:rsidRPr="00A2764D">
        <w:rPr>
          <w:lang w:eastAsia="en-AU"/>
        </w:rPr>
        <w:t xml:space="preserve"> clearing search of basement living room after arrest and </w:t>
      </w:r>
      <w:r w:rsidR="005E61F7">
        <w:rPr>
          <w:lang w:eastAsia="en-AU"/>
        </w:rPr>
        <w:t>found</w:t>
      </w:r>
      <w:r w:rsidRPr="00A2764D">
        <w:rPr>
          <w:lang w:eastAsia="en-AU"/>
        </w:rPr>
        <w:t xml:space="preserve"> methamphetamine </w:t>
      </w:r>
      <w:r w:rsidR="00983C4D">
        <w:rPr>
          <w:lang w:eastAsia="en-AU"/>
        </w:rPr>
        <w:t>–</w:t>
      </w:r>
      <w:r w:rsidRPr="00A2764D">
        <w:rPr>
          <w:lang w:eastAsia="en-AU"/>
        </w:rPr>
        <w:t xml:space="preserve"> </w:t>
      </w:r>
      <w:r>
        <w:rPr>
          <w:lang w:eastAsia="en-AU"/>
        </w:rPr>
        <w:t>Where a</w:t>
      </w:r>
      <w:r w:rsidRPr="00A2764D">
        <w:rPr>
          <w:lang w:eastAsia="en-AU"/>
        </w:rPr>
        <w:t xml:space="preserve">ccused convicted of possession of controlled substance for purpose of trafficking </w:t>
      </w:r>
      <w:r w:rsidR="00983C4D">
        <w:rPr>
          <w:lang w:eastAsia="en-AU"/>
        </w:rPr>
        <w:t>–</w:t>
      </w:r>
      <w:r w:rsidRPr="00A2764D">
        <w:rPr>
          <w:lang w:eastAsia="en-AU"/>
        </w:rPr>
        <w:t xml:space="preserve"> Whether common law standard for search incident to arrest should be modified when search conducted in home </w:t>
      </w:r>
      <w:r w:rsidR="00983C4D">
        <w:rPr>
          <w:lang w:eastAsia="en-AU"/>
        </w:rPr>
        <w:t>–</w:t>
      </w:r>
      <w:r w:rsidRPr="00A2764D">
        <w:rPr>
          <w:lang w:eastAsia="en-AU"/>
        </w:rPr>
        <w:t xml:space="preserve"> Whether clearing search of basement living room lawful search incident to arrest </w:t>
      </w:r>
      <w:r w:rsidR="00983C4D">
        <w:rPr>
          <w:lang w:eastAsia="en-AU"/>
        </w:rPr>
        <w:t>–</w:t>
      </w:r>
      <w:r w:rsidRPr="00A2764D">
        <w:rPr>
          <w:lang w:eastAsia="en-AU"/>
        </w:rPr>
        <w:t xml:space="preserve"> </w:t>
      </w:r>
      <w:r w:rsidRPr="00A2764D">
        <w:rPr>
          <w:i/>
          <w:iCs/>
          <w:lang w:eastAsia="en-AU"/>
        </w:rPr>
        <w:t>Canadian Charter of Rights and Freedoms</w:t>
      </w:r>
      <w:r w:rsidRPr="00A2764D">
        <w:rPr>
          <w:lang w:eastAsia="en-AU"/>
        </w:rPr>
        <w:t>, s 8.</w:t>
      </w:r>
    </w:p>
    <w:p w14:paraId="4655F16E" w14:textId="77777777" w:rsidR="00A2764D" w:rsidRPr="00DD0272" w:rsidRDefault="00A2764D" w:rsidP="00A2764D">
      <w:pPr>
        <w:ind w:left="720"/>
        <w:rPr>
          <w:b/>
          <w:bCs/>
          <w:lang w:eastAsia="en-AU"/>
        </w:rPr>
      </w:pPr>
    </w:p>
    <w:p w14:paraId="4C80A809" w14:textId="0C6DCFE0" w:rsidR="00A2764D" w:rsidRPr="00DD0272" w:rsidRDefault="00A2764D" w:rsidP="00A2764D">
      <w:pPr>
        <w:rPr>
          <w:lang w:eastAsia="en-AU"/>
        </w:rPr>
      </w:pPr>
      <w:r w:rsidRPr="00DD0272">
        <w:rPr>
          <w:b/>
          <w:bCs/>
          <w:lang w:eastAsia="en-AU"/>
        </w:rPr>
        <w:lastRenderedPageBreak/>
        <w:t>Held (</w:t>
      </w:r>
      <w:r>
        <w:rPr>
          <w:b/>
          <w:bCs/>
          <w:lang w:eastAsia="en-AU"/>
        </w:rPr>
        <w:t>6</w:t>
      </w:r>
      <w:r w:rsidRPr="00DD0272">
        <w:rPr>
          <w:b/>
          <w:bCs/>
          <w:lang w:eastAsia="en-AU"/>
        </w:rPr>
        <w:t>:</w:t>
      </w:r>
      <w:r>
        <w:rPr>
          <w:b/>
          <w:bCs/>
          <w:lang w:eastAsia="en-AU"/>
        </w:rPr>
        <w:t>3</w:t>
      </w:r>
      <w:r w:rsidRPr="00DD0272">
        <w:rPr>
          <w:b/>
          <w:bCs/>
          <w:lang w:eastAsia="en-AU"/>
        </w:rPr>
        <w:t>):</w:t>
      </w:r>
      <w:r w:rsidRPr="00DD0272">
        <w:rPr>
          <w:lang w:eastAsia="en-AU"/>
        </w:rPr>
        <w:t xml:space="preserve"> Appeal </w:t>
      </w:r>
      <w:r>
        <w:rPr>
          <w:lang w:eastAsia="en-AU"/>
        </w:rPr>
        <w:t>dismissed</w:t>
      </w:r>
      <w:r w:rsidRPr="00DD0272">
        <w:rPr>
          <w:lang w:eastAsia="en-AU"/>
        </w:rPr>
        <w:t xml:space="preserve">. </w:t>
      </w:r>
    </w:p>
    <w:bookmarkEnd w:id="3"/>
    <w:p w14:paraId="23054D4F" w14:textId="11E33277" w:rsidR="00A2764D" w:rsidRDefault="00A2764D" w:rsidP="00A2764D">
      <w:pPr>
        <w:pStyle w:val="BullDivider1"/>
      </w:pPr>
    </w:p>
    <w:p w14:paraId="647B2CB2" w14:textId="77777777" w:rsidR="000A3D26" w:rsidRPr="000A3D26" w:rsidRDefault="000A3D26" w:rsidP="000A3D26">
      <w:pPr>
        <w:rPr>
          <w:lang w:eastAsia="en-AU"/>
        </w:rPr>
      </w:pPr>
    </w:p>
    <w:p w14:paraId="646E97EE" w14:textId="54FA8652" w:rsidR="000A3D26" w:rsidRPr="00DD0272" w:rsidRDefault="000A3D26" w:rsidP="000A3D26">
      <w:pPr>
        <w:keepNext/>
        <w:outlineLvl w:val="1"/>
        <w:rPr>
          <w:rFonts w:ascii="Arial" w:hAnsi="Arial" w:cs="Arial"/>
          <w:bCs/>
          <w:i/>
          <w:iCs/>
          <w:sz w:val="28"/>
          <w:szCs w:val="28"/>
          <w:lang w:eastAsia="en-AU"/>
        </w:rPr>
      </w:pPr>
      <w:r>
        <w:rPr>
          <w:rFonts w:ascii="Arial" w:hAnsi="Arial" w:cs="Arial"/>
          <w:bCs/>
          <w:i/>
          <w:iCs/>
          <w:sz w:val="28"/>
          <w:szCs w:val="28"/>
          <w:lang w:eastAsia="en-AU"/>
        </w:rPr>
        <w:t xml:space="preserve">R v Sullivan </w:t>
      </w:r>
    </w:p>
    <w:p w14:paraId="01C77B8D" w14:textId="0F7B25DF" w:rsidR="000A3D26" w:rsidRPr="00DD0272" w:rsidRDefault="000A3D26" w:rsidP="000A3D26">
      <w:pPr>
        <w:rPr>
          <w:lang w:eastAsia="en-AU"/>
        </w:rPr>
      </w:pPr>
      <w:r w:rsidRPr="00DD0272">
        <w:rPr>
          <w:b/>
          <w:bCs/>
          <w:lang w:eastAsia="en-AU"/>
        </w:rPr>
        <w:t>Supreme Court of Canada:</w:t>
      </w:r>
      <w:r w:rsidRPr="00DD0272">
        <w:rPr>
          <w:lang w:eastAsia="en-AU"/>
        </w:rPr>
        <w:t xml:space="preserve"> </w:t>
      </w:r>
      <w:bookmarkStart w:id="5" w:name="_Hlk105146785"/>
      <w:r w:rsidR="001A061F">
        <w:fldChar w:fldCharType="begin"/>
      </w:r>
      <w:r w:rsidR="001A061F">
        <w:instrText xml:space="preserve"> HYPERLINK "https://decisions.scc-csc.ca/scc-csc/scc-csc/en/item/19390/index.do" </w:instrText>
      </w:r>
      <w:r w:rsidR="001A061F">
        <w:fldChar w:fldCharType="separate"/>
      </w:r>
      <w:r>
        <w:rPr>
          <w:rStyle w:val="Hyperlink"/>
          <w:lang w:eastAsia="en-AU"/>
        </w:rPr>
        <w:t>[2022] SCC 19</w:t>
      </w:r>
      <w:r w:rsidR="001A061F">
        <w:rPr>
          <w:rStyle w:val="Hyperlink"/>
          <w:lang w:eastAsia="en-AU"/>
        </w:rPr>
        <w:fldChar w:fldCharType="end"/>
      </w:r>
      <w:bookmarkEnd w:id="5"/>
    </w:p>
    <w:p w14:paraId="5CDB8DE3" w14:textId="77777777" w:rsidR="000A3D26" w:rsidRPr="00DD0272" w:rsidRDefault="000A3D26" w:rsidP="000A3D26">
      <w:pPr>
        <w:rPr>
          <w:lang w:eastAsia="en-AU"/>
        </w:rPr>
      </w:pPr>
    </w:p>
    <w:p w14:paraId="6DDF2A1C" w14:textId="01A00F05" w:rsidR="000A3D26" w:rsidRPr="00DD0272" w:rsidRDefault="000A3D26" w:rsidP="000A3D26">
      <w:pPr>
        <w:rPr>
          <w:lang w:eastAsia="en-AU"/>
        </w:rPr>
      </w:pPr>
      <w:r w:rsidRPr="00DD0272">
        <w:rPr>
          <w:b/>
          <w:bCs/>
          <w:lang w:eastAsia="en-AU"/>
        </w:rPr>
        <w:t xml:space="preserve">Judgment delivered: </w:t>
      </w:r>
      <w:r>
        <w:rPr>
          <w:lang w:eastAsia="en-AU"/>
        </w:rPr>
        <w:t>13 May</w:t>
      </w:r>
      <w:r w:rsidRPr="00DD0272">
        <w:rPr>
          <w:lang w:eastAsia="en-AU"/>
        </w:rPr>
        <w:t xml:space="preserve"> 2022 </w:t>
      </w:r>
    </w:p>
    <w:p w14:paraId="255F738D" w14:textId="77777777" w:rsidR="000A3D26" w:rsidRPr="00DD0272" w:rsidRDefault="000A3D26" w:rsidP="000A3D26">
      <w:pPr>
        <w:rPr>
          <w:b/>
          <w:bCs/>
          <w:lang w:eastAsia="en-AU"/>
        </w:rPr>
      </w:pPr>
    </w:p>
    <w:p w14:paraId="59E0B9F8" w14:textId="77777777" w:rsidR="000A3D26" w:rsidRPr="00DD0272" w:rsidRDefault="000A3D26" w:rsidP="000A3D26">
      <w:pPr>
        <w:rPr>
          <w:lang w:eastAsia="en-AU"/>
        </w:rPr>
      </w:pPr>
      <w:r w:rsidRPr="00DD0272">
        <w:rPr>
          <w:b/>
          <w:bCs/>
          <w:lang w:eastAsia="en-AU"/>
        </w:rPr>
        <w:t>Coram:</w:t>
      </w:r>
      <w:r w:rsidRPr="00DD0272">
        <w:t xml:space="preserve"> </w:t>
      </w:r>
      <w:r w:rsidRPr="00DD0272">
        <w:rPr>
          <w:lang w:eastAsia="en-AU"/>
        </w:rPr>
        <w:t xml:space="preserve">Wagner CJ, </w:t>
      </w:r>
      <w:proofErr w:type="spellStart"/>
      <w:r w:rsidRPr="00DD0272">
        <w:rPr>
          <w:lang w:eastAsia="en-AU"/>
        </w:rPr>
        <w:t>Moldaver</w:t>
      </w:r>
      <w:proofErr w:type="spellEnd"/>
      <w:r w:rsidRPr="00DD0272">
        <w:rPr>
          <w:lang w:eastAsia="en-AU"/>
        </w:rPr>
        <w:t xml:space="preserve">, Karakatsanis, </w:t>
      </w:r>
      <w:proofErr w:type="spellStart"/>
      <w:r w:rsidRPr="00DD0272">
        <w:rPr>
          <w:lang w:eastAsia="en-AU"/>
        </w:rPr>
        <w:t>Côté</w:t>
      </w:r>
      <w:proofErr w:type="spellEnd"/>
      <w:r w:rsidRPr="00DD0272">
        <w:rPr>
          <w:lang w:eastAsia="en-AU"/>
        </w:rPr>
        <w:t xml:space="preserve">, Brown, Rowe, Martin, </w:t>
      </w:r>
      <w:proofErr w:type="spellStart"/>
      <w:r w:rsidRPr="00DD0272">
        <w:rPr>
          <w:lang w:eastAsia="en-AU"/>
        </w:rPr>
        <w:t>Kasirer</w:t>
      </w:r>
      <w:proofErr w:type="spellEnd"/>
      <w:r w:rsidRPr="00DD0272">
        <w:rPr>
          <w:lang w:eastAsia="en-AU"/>
        </w:rPr>
        <w:t xml:space="preserve"> and Jamal JJ</w:t>
      </w:r>
    </w:p>
    <w:p w14:paraId="1D4B3F74" w14:textId="77777777" w:rsidR="000A3D26" w:rsidRPr="00DD0272" w:rsidRDefault="000A3D26" w:rsidP="000A3D26">
      <w:pPr>
        <w:rPr>
          <w:b/>
          <w:bCs/>
          <w:lang w:eastAsia="en-AU"/>
        </w:rPr>
      </w:pPr>
    </w:p>
    <w:p w14:paraId="6ACE0F3E" w14:textId="77777777" w:rsidR="000A3D26" w:rsidRPr="00DD0272" w:rsidRDefault="000A3D26" w:rsidP="000A3D26">
      <w:pPr>
        <w:rPr>
          <w:b/>
          <w:bCs/>
          <w:lang w:eastAsia="en-AU"/>
        </w:rPr>
      </w:pPr>
      <w:r w:rsidRPr="00DD0272">
        <w:rPr>
          <w:b/>
          <w:bCs/>
          <w:lang w:eastAsia="en-AU"/>
        </w:rPr>
        <w:t>Catchwords:</w:t>
      </w:r>
    </w:p>
    <w:p w14:paraId="7E2BB003" w14:textId="77777777" w:rsidR="000A3D26" w:rsidRPr="00DD0272" w:rsidRDefault="000A3D26" w:rsidP="000A3D26">
      <w:pPr>
        <w:rPr>
          <w:b/>
          <w:bCs/>
          <w:lang w:eastAsia="en-AU"/>
        </w:rPr>
      </w:pPr>
    </w:p>
    <w:p w14:paraId="2C5F7B7D" w14:textId="065033AA" w:rsidR="000A3D26" w:rsidRDefault="000A3D26" w:rsidP="000A3D26">
      <w:pPr>
        <w:ind w:left="720"/>
        <w:rPr>
          <w:lang w:eastAsia="en-AU"/>
        </w:rPr>
      </w:pPr>
      <w:r w:rsidRPr="00A2764D">
        <w:rPr>
          <w:lang w:eastAsia="en-AU"/>
        </w:rPr>
        <w:t xml:space="preserve">Constitutional law </w:t>
      </w:r>
      <w:r w:rsidR="00983C4D">
        <w:rPr>
          <w:lang w:eastAsia="en-AU"/>
        </w:rPr>
        <w:t>–</w:t>
      </w:r>
      <w:r w:rsidRPr="00A2764D">
        <w:rPr>
          <w:lang w:eastAsia="en-AU"/>
        </w:rPr>
        <w:t xml:space="preserve"> </w:t>
      </w:r>
      <w:r w:rsidRPr="005E61F7">
        <w:rPr>
          <w:i/>
          <w:iCs/>
          <w:lang w:eastAsia="en-AU"/>
        </w:rPr>
        <w:t>Charter of Rights</w:t>
      </w:r>
      <w:r>
        <w:rPr>
          <w:lang w:eastAsia="en-AU"/>
        </w:rPr>
        <w:t xml:space="preserve"> </w:t>
      </w:r>
      <w:r w:rsidR="00983C4D">
        <w:rPr>
          <w:lang w:eastAsia="en-AU"/>
        </w:rPr>
        <w:t>–</w:t>
      </w:r>
      <w:r>
        <w:rPr>
          <w:lang w:eastAsia="en-AU"/>
        </w:rPr>
        <w:t xml:space="preserve"> Fundamental justice </w:t>
      </w:r>
      <w:r w:rsidR="00983C4D">
        <w:rPr>
          <w:lang w:eastAsia="en-AU"/>
        </w:rPr>
        <w:t>–</w:t>
      </w:r>
      <w:r>
        <w:rPr>
          <w:lang w:eastAsia="en-AU"/>
        </w:rPr>
        <w:t xml:space="preserve"> Presumption of innocence </w:t>
      </w:r>
      <w:r w:rsidR="00983C4D">
        <w:rPr>
          <w:lang w:eastAsia="en-AU"/>
        </w:rPr>
        <w:t>–</w:t>
      </w:r>
      <w:r>
        <w:rPr>
          <w:lang w:eastAsia="en-AU"/>
        </w:rPr>
        <w:t xml:space="preserve"> Reasonable limits </w:t>
      </w:r>
      <w:r w:rsidR="00983C4D">
        <w:rPr>
          <w:lang w:eastAsia="en-AU"/>
        </w:rPr>
        <w:t>–</w:t>
      </w:r>
      <w:r>
        <w:rPr>
          <w:lang w:eastAsia="en-AU"/>
        </w:rPr>
        <w:t xml:space="preserve"> Where s 33.1 of </w:t>
      </w:r>
      <w:r w:rsidRPr="003E59CA">
        <w:rPr>
          <w:i/>
          <w:iCs/>
          <w:lang w:eastAsia="en-AU"/>
        </w:rPr>
        <w:t>Criminal Code</w:t>
      </w:r>
      <w:r>
        <w:rPr>
          <w:lang w:eastAsia="en-AU"/>
        </w:rPr>
        <w:t xml:space="preserve"> prevented accused from raising common law defence of self</w:t>
      </w:r>
      <w:r>
        <w:rPr>
          <w:rFonts w:ascii="Cambria Math" w:hAnsi="Cambria Math" w:cs="Cambria Math"/>
          <w:lang w:eastAsia="en-AU"/>
        </w:rPr>
        <w:t>‑</w:t>
      </w:r>
      <w:r>
        <w:rPr>
          <w:lang w:eastAsia="en-AU"/>
        </w:rPr>
        <w:t xml:space="preserve">induced intoxication akin to automatism </w:t>
      </w:r>
      <w:r w:rsidR="00983C4D">
        <w:rPr>
          <w:lang w:eastAsia="en-AU"/>
        </w:rPr>
        <w:t>–</w:t>
      </w:r>
      <w:r>
        <w:rPr>
          <w:lang w:eastAsia="en-AU"/>
        </w:rPr>
        <w:t xml:space="preserve"> Whether s 33.1 violates principles of fundamental justice or presumption of innocence and, if so, whether infringement justified </w:t>
      </w:r>
      <w:r w:rsidR="00983C4D">
        <w:rPr>
          <w:lang w:eastAsia="en-AU"/>
        </w:rPr>
        <w:t>–</w:t>
      </w:r>
      <w:r>
        <w:rPr>
          <w:lang w:eastAsia="en-AU"/>
        </w:rPr>
        <w:t xml:space="preserve"> </w:t>
      </w:r>
      <w:r w:rsidRPr="000A3D26">
        <w:rPr>
          <w:i/>
          <w:iCs/>
          <w:lang w:eastAsia="en-AU"/>
        </w:rPr>
        <w:t>Canadian Charter of Rights and Freedoms</w:t>
      </w:r>
      <w:r>
        <w:rPr>
          <w:lang w:eastAsia="en-AU"/>
        </w:rPr>
        <w:t xml:space="preserve">, ss 1, 7, 11(d) </w:t>
      </w:r>
      <w:r w:rsidR="00983C4D">
        <w:rPr>
          <w:lang w:eastAsia="en-AU"/>
        </w:rPr>
        <w:t>–</w:t>
      </w:r>
      <w:r>
        <w:rPr>
          <w:lang w:eastAsia="en-AU"/>
        </w:rPr>
        <w:t xml:space="preserve"> </w:t>
      </w:r>
      <w:r w:rsidRPr="000A3D26">
        <w:rPr>
          <w:i/>
          <w:iCs/>
          <w:lang w:eastAsia="en-AU"/>
        </w:rPr>
        <w:t>Criminal Code</w:t>
      </w:r>
      <w:r>
        <w:rPr>
          <w:lang w:eastAsia="en-AU"/>
        </w:rPr>
        <w:t>, RSC 1985, c C</w:t>
      </w:r>
      <w:r>
        <w:rPr>
          <w:rFonts w:ascii="Cambria Math" w:hAnsi="Cambria Math" w:cs="Cambria Math"/>
          <w:lang w:eastAsia="en-AU"/>
        </w:rPr>
        <w:t>‑</w:t>
      </w:r>
      <w:r>
        <w:rPr>
          <w:lang w:eastAsia="en-AU"/>
        </w:rPr>
        <w:t>46, s 33.1.</w:t>
      </w:r>
    </w:p>
    <w:p w14:paraId="66113C9B" w14:textId="77777777" w:rsidR="000A3D26" w:rsidRDefault="000A3D26" w:rsidP="000A3D26">
      <w:pPr>
        <w:ind w:left="720"/>
        <w:rPr>
          <w:lang w:eastAsia="en-AU"/>
        </w:rPr>
      </w:pPr>
    </w:p>
    <w:p w14:paraId="3E4EEA1D" w14:textId="31A7F56E" w:rsidR="000A3D26" w:rsidRDefault="000A3D26" w:rsidP="000A3D26">
      <w:pPr>
        <w:ind w:left="720"/>
        <w:rPr>
          <w:lang w:eastAsia="en-AU"/>
        </w:rPr>
      </w:pPr>
      <w:r>
        <w:rPr>
          <w:lang w:eastAsia="en-AU"/>
        </w:rPr>
        <w:t xml:space="preserve">Constitutional law </w:t>
      </w:r>
      <w:r w:rsidR="00983C4D">
        <w:rPr>
          <w:lang w:eastAsia="en-AU"/>
        </w:rPr>
        <w:t>–</w:t>
      </w:r>
      <w:r>
        <w:rPr>
          <w:lang w:eastAsia="en-AU"/>
        </w:rPr>
        <w:t xml:space="preserve"> Remedy </w:t>
      </w:r>
      <w:r w:rsidR="00983C4D">
        <w:rPr>
          <w:lang w:eastAsia="en-AU"/>
        </w:rPr>
        <w:t>–</w:t>
      </w:r>
      <w:r>
        <w:rPr>
          <w:lang w:eastAsia="en-AU"/>
        </w:rPr>
        <w:t xml:space="preserve"> Declaration of invalidity </w:t>
      </w:r>
      <w:r w:rsidR="00983C4D">
        <w:rPr>
          <w:lang w:eastAsia="en-AU"/>
        </w:rPr>
        <w:t>–</w:t>
      </w:r>
      <w:r>
        <w:rPr>
          <w:lang w:eastAsia="en-AU"/>
        </w:rPr>
        <w:t xml:space="preserve"> Whether declaration of unconstitutionality issued by superior court pursuant to s 52(1) of </w:t>
      </w:r>
      <w:r w:rsidRPr="000A3D26">
        <w:rPr>
          <w:i/>
          <w:iCs/>
          <w:lang w:eastAsia="en-AU"/>
        </w:rPr>
        <w:t>Constitution Act</w:t>
      </w:r>
      <w:r>
        <w:rPr>
          <w:lang w:eastAsia="en-AU"/>
        </w:rPr>
        <w:t>, 1982, can be considered binding on courts of coordinate jurisdiction.</w:t>
      </w:r>
    </w:p>
    <w:p w14:paraId="74783246" w14:textId="77777777" w:rsidR="000A3D26" w:rsidRDefault="000A3D26" w:rsidP="000A3D26">
      <w:pPr>
        <w:ind w:left="720"/>
        <w:rPr>
          <w:lang w:eastAsia="en-AU"/>
        </w:rPr>
      </w:pPr>
    </w:p>
    <w:p w14:paraId="6D0C51E8" w14:textId="4A265496" w:rsidR="000A3D26" w:rsidRDefault="000A3D26" w:rsidP="000A3D26">
      <w:pPr>
        <w:ind w:left="720"/>
        <w:rPr>
          <w:lang w:eastAsia="en-AU"/>
        </w:rPr>
      </w:pPr>
      <w:r>
        <w:rPr>
          <w:lang w:eastAsia="en-AU"/>
        </w:rPr>
        <w:t xml:space="preserve">Criminal law </w:t>
      </w:r>
      <w:r w:rsidR="00983C4D">
        <w:rPr>
          <w:lang w:eastAsia="en-AU"/>
        </w:rPr>
        <w:t>–</w:t>
      </w:r>
      <w:r>
        <w:rPr>
          <w:lang w:eastAsia="en-AU"/>
        </w:rPr>
        <w:t xml:space="preserve"> Appeals </w:t>
      </w:r>
      <w:r w:rsidR="00983C4D">
        <w:rPr>
          <w:lang w:eastAsia="en-AU"/>
        </w:rPr>
        <w:t>–</w:t>
      </w:r>
      <w:r>
        <w:rPr>
          <w:lang w:eastAsia="en-AU"/>
        </w:rPr>
        <w:t xml:space="preserve"> Appeals to Supreme Court of Canada </w:t>
      </w:r>
      <w:r w:rsidR="00983C4D">
        <w:rPr>
          <w:lang w:eastAsia="en-AU"/>
        </w:rPr>
        <w:t>–</w:t>
      </w:r>
      <w:r>
        <w:rPr>
          <w:lang w:eastAsia="en-AU"/>
        </w:rPr>
        <w:t xml:space="preserve"> Jurisdiction </w:t>
      </w:r>
      <w:r w:rsidR="00983C4D">
        <w:rPr>
          <w:lang w:eastAsia="en-AU"/>
        </w:rPr>
        <w:t>–</w:t>
      </w:r>
      <w:r>
        <w:rPr>
          <w:lang w:eastAsia="en-AU"/>
        </w:rPr>
        <w:t xml:space="preserve"> Where accused convicted of indictable offence at trial </w:t>
      </w:r>
      <w:r w:rsidR="00983C4D">
        <w:rPr>
          <w:lang w:eastAsia="en-AU"/>
        </w:rPr>
        <w:t>–</w:t>
      </w:r>
      <w:r>
        <w:rPr>
          <w:lang w:eastAsia="en-AU"/>
        </w:rPr>
        <w:t xml:space="preserve"> Where Court of Appeal set aside conviction and ordered new trial </w:t>
      </w:r>
      <w:r w:rsidR="00983C4D">
        <w:rPr>
          <w:lang w:eastAsia="en-AU"/>
        </w:rPr>
        <w:t>–</w:t>
      </w:r>
      <w:r>
        <w:rPr>
          <w:lang w:eastAsia="en-AU"/>
        </w:rPr>
        <w:t xml:space="preserve"> Where Crown brought appeal to Supreme Court of Canada </w:t>
      </w:r>
      <w:r w:rsidR="00983C4D">
        <w:rPr>
          <w:lang w:eastAsia="en-AU"/>
        </w:rPr>
        <w:t>–</w:t>
      </w:r>
      <w:r>
        <w:rPr>
          <w:lang w:eastAsia="en-AU"/>
        </w:rPr>
        <w:t xml:space="preserve"> Where accused applied for leave to cross</w:t>
      </w:r>
      <w:r>
        <w:rPr>
          <w:rFonts w:ascii="Cambria Math" w:hAnsi="Cambria Math" w:cs="Cambria Math"/>
          <w:lang w:eastAsia="en-AU"/>
        </w:rPr>
        <w:t>‑</w:t>
      </w:r>
      <w:r>
        <w:rPr>
          <w:lang w:eastAsia="en-AU"/>
        </w:rPr>
        <w:t xml:space="preserve">appeal order of new trial and requested stay </w:t>
      </w:r>
      <w:r w:rsidR="00983C4D">
        <w:rPr>
          <w:rFonts w:cs="Verdana"/>
          <w:lang w:eastAsia="en-AU"/>
        </w:rPr>
        <w:t>–</w:t>
      </w:r>
      <w:r>
        <w:rPr>
          <w:lang w:eastAsia="en-AU"/>
        </w:rPr>
        <w:t xml:space="preserve"> Whether Court has jurisdiction to hear accused</w:t>
      </w:r>
      <w:r w:rsidR="00A74661">
        <w:rPr>
          <w:rFonts w:cs="Verdana"/>
          <w:lang w:eastAsia="en-AU"/>
        </w:rPr>
        <w:t>'</w:t>
      </w:r>
      <w:r>
        <w:rPr>
          <w:lang w:eastAsia="en-AU"/>
        </w:rPr>
        <w:t xml:space="preserve">s appeal </w:t>
      </w:r>
      <w:r w:rsidR="00983C4D">
        <w:rPr>
          <w:rFonts w:cs="Verdana"/>
          <w:lang w:eastAsia="en-AU"/>
        </w:rPr>
        <w:t>–</w:t>
      </w:r>
      <w:r>
        <w:rPr>
          <w:lang w:eastAsia="en-AU"/>
        </w:rPr>
        <w:t xml:space="preserve"> </w:t>
      </w:r>
      <w:r w:rsidRPr="003E59CA">
        <w:rPr>
          <w:i/>
          <w:iCs/>
          <w:lang w:eastAsia="en-AU"/>
        </w:rPr>
        <w:t>Criminal Code</w:t>
      </w:r>
      <w:r>
        <w:rPr>
          <w:lang w:eastAsia="en-AU"/>
        </w:rPr>
        <w:t>, RSC 1985, c C</w:t>
      </w:r>
      <w:r>
        <w:rPr>
          <w:rFonts w:ascii="Cambria Math" w:hAnsi="Cambria Math" w:cs="Cambria Math"/>
          <w:lang w:eastAsia="en-AU"/>
        </w:rPr>
        <w:t>‑</w:t>
      </w:r>
      <w:r>
        <w:rPr>
          <w:lang w:eastAsia="en-AU"/>
        </w:rPr>
        <w:t>46, s 691.</w:t>
      </w:r>
    </w:p>
    <w:p w14:paraId="0CAF2400" w14:textId="77777777" w:rsidR="000A3D26" w:rsidRPr="00DD0272" w:rsidRDefault="000A3D26" w:rsidP="000A3D26">
      <w:pPr>
        <w:ind w:left="720"/>
        <w:rPr>
          <w:b/>
          <w:bCs/>
          <w:lang w:eastAsia="en-AU"/>
        </w:rPr>
      </w:pPr>
    </w:p>
    <w:p w14:paraId="3604CB13" w14:textId="61543420" w:rsidR="000A3D26" w:rsidRPr="00DD0272" w:rsidRDefault="000A3D26" w:rsidP="000A3D26">
      <w:pPr>
        <w:rPr>
          <w:lang w:eastAsia="en-AU"/>
        </w:rPr>
      </w:pPr>
      <w:r w:rsidRPr="00DD0272">
        <w:rPr>
          <w:b/>
          <w:bCs/>
          <w:lang w:eastAsia="en-AU"/>
        </w:rPr>
        <w:t>Held (</w:t>
      </w:r>
      <w:r>
        <w:rPr>
          <w:b/>
          <w:bCs/>
          <w:lang w:eastAsia="en-AU"/>
        </w:rPr>
        <w:t>9:0</w:t>
      </w:r>
      <w:r w:rsidRPr="00DD0272">
        <w:rPr>
          <w:b/>
          <w:bCs/>
          <w:lang w:eastAsia="en-AU"/>
        </w:rPr>
        <w:t>):</w:t>
      </w:r>
      <w:r w:rsidRPr="00DD0272">
        <w:rPr>
          <w:lang w:eastAsia="en-AU"/>
        </w:rPr>
        <w:t xml:space="preserve"> Appeal </w:t>
      </w:r>
      <w:r>
        <w:rPr>
          <w:lang w:eastAsia="en-AU"/>
        </w:rPr>
        <w:t>dismissed</w:t>
      </w:r>
      <w:r w:rsidRPr="00DD0272">
        <w:rPr>
          <w:lang w:eastAsia="en-AU"/>
        </w:rPr>
        <w:t xml:space="preserve">. </w:t>
      </w:r>
    </w:p>
    <w:p w14:paraId="70EF5EC8" w14:textId="77777777" w:rsidR="000A3D26" w:rsidRDefault="000A3D26" w:rsidP="000A3D26">
      <w:pPr>
        <w:pStyle w:val="BullDivider1"/>
      </w:pPr>
    </w:p>
    <w:p w14:paraId="5413C30A" w14:textId="77777777" w:rsidR="00A2764D" w:rsidRPr="00A2764D" w:rsidRDefault="00A2764D" w:rsidP="00A2764D">
      <w:pPr>
        <w:rPr>
          <w:lang w:eastAsia="en-AU"/>
        </w:rPr>
      </w:pPr>
    </w:p>
    <w:bookmarkEnd w:id="4"/>
    <w:p w14:paraId="238AEE00" w14:textId="46AA0D8A" w:rsidR="00A2764D" w:rsidRPr="00DD0272" w:rsidRDefault="00A2764D" w:rsidP="00A2764D">
      <w:pPr>
        <w:keepNext/>
        <w:outlineLvl w:val="1"/>
        <w:rPr>
          <w:rFonts w:ascii="Arial" w:hAnsi="Arial" w:cs="Arial"/>
          <w:bCs/>
          <w:i/>
          <w:iCs/>
          <w:sz w:val="28"/>
          <w:szCs w:val="28"/>
          <w:lang w:eastAsia="en-AU"/>
        </w:rPr>
      </w:pPr>
      <w:r>
        <w:rPr>
          <w:rFonts w:ascii="Arial" w:hAnsi="Arial" w:cs="Arial"/>
          <w:bCs/>
          <w:i/>
          <w:iCs/>
          <w:sz w:val="28"/>
          <w:szCs w:val="28"/>
          <w:lang w:eastAsia="en-AU"/>
        </w:rPr>
        <w:t xml:space="preserve">R v Tim </w:t>
      </w:r>
    </w:p>
    <w:p w14:paraId="23D92D4D" w14:textId="64AB944E" w:rsidR="00A2764D" w:rsidRPr="00DD0272" w:rsidRDefault="00A2764D" w:rsidP="00A2764D">
      <w:pPr>
        <w:rPr>
          <w:lang w:eastAsia="en-AU"/>
        </w:rPr>
      </w:pPr>
      <w:r w:rsidRPr="00DD0272">
        <w:rPr>
          <w:b/>
          <w:bCs/>
          <w:lang w:eastAsia="en-AU"/>
        </w:rPr>
        <w:t>Supreme Court of Canada:</w:t>
      </w:r>
      <w:r w:rsidRPr="00DD0272">
        <w:rPr>
          <w:lang w:eastAsia="en-AU"/>
        </w:rPr>
        <w:t xml:space="preserve"> </w:t>
      </w:r>
      <w:hyperlink r:id="rId19" w:history="1">
        <w:r>
          <w:rPr>
            <w:rStyle w:val="Hyperlink"/>
            <w:lang w:eastAsia="en-AU"/>
          </w:rPr>
          <w:t>[2022] SCC 12</w:t>
        </w:r>
      </w:hyperlink>
    </w:p>
    <w:p w14:paraId="5DAB9865" w14:textId="77777777" w:rsidR="00A2764D" w:rsidRPr="00DD0272" w:rsidRDefault="00A2764D" w:rsidP="00A2764D">
      <w:pPr>
        <w:rPr>
          <w:lang w:eastAsia="en-AU"/>
        </w:rPr>
      </w:pPr>
    </w:p>
    <w:p w14:paraId="1B024817" w14:textId="6C2D3E67" w:rsidR="00A2764D" w:rsidRPr="00DD0272" w:rsidRDefault="00A2764D" w:rsidP="00A2764D">
      <w:pPr>
        <w:rPr>
          <w:lang w:eastAsia="en-AU"/>
        </w:rPr>
      </w:pPr>
      <w:r w:rsidRPr="00DD0272">
        <w:rPr>
          <w:b/>
          <w:bCs/>
          <w:lang w:eastAsia="en-AU"/>
        </w:rPr>
        <w:t xml:space="preserve">Judgment delivered: </w:t>
      </w:r>
      <w:r>
        <w:rPr>
          <w:lang w:eastAsia="en-AU"/>
        </w:rPr>
        <w:t>14 April</w:t>
      </w:r>
      <w:r w:rsidRPr="00DD0272">
        <w:rPr>
          <w:lang w:eastAsia="en-AU"/>
        </w:rPr>
        <w:t xml:space="preserve"> 2022 </w:t>
      </w:r>
    </w:p>
    <w:p w14:paraId="41945553" w14:textId="77777777" w:rsidR="00A2764D" w:rsidRPr="00DD0272" w:rsidRDefault="00A2764D" w:rsidP="00A2764D">
      <w:pPr>
        <w:rPr>
          <w:b/>
          <w:bCs/>
          <w:lang w:eastAsia="en-AU"/>
        </w:rPr>
      </w:pPr>
    </w:p>
    <w:p w14:paraId="729A291E" w14:textId="1A393214" w:rsidR="00A2764D" w:rsidRPr="00DD0272" w:rsidRDefault="00A2764D" w:rsidP="00A2764D">
      <w:pPr>
        <w:rPr>
          <w:lang w:eastAsia="en-AU"/>
        </w:rPr>
      </w:pPr>
      <w:r w:rsidRPr="00DD0272">
        <w:rPr>
          <w:b/>
          <w:bCs/>
          <w:lang w:eastAsia="en-AU"/>
        </w:rPr>
        <w:t>Coram:</w:t>
      </w:r>
      <w:r w:rsidRPr="00DD0272">
        <w:t xml:space="preserve"> </w:t>
      </w:r>
      <w:r w:rsidRPr="00DD0272">
        <w:rPr>
          <w:lang w:eastAsia="en-AU"/>
        </w:rPr>
        <w:t xml:space="preserve">Wagner CJ, </w:t>
      </w:r>
      <w:proofErr w:type="spellStart"/>
      <w:r w:rsidRPr="00DD0272">
        <w:rPr>
          <w:lang w:eastAsia="en-AU"/>
        </w:rPr>
        <w:t>Moldaver</w:t>
      </w:r>
      <w:proofErr w:type="spellEnd"/>
      <w:r w:rsidRPr="00DD0272">
        <w:rPr>
          <w:lang w:eastAsia="en-AU"/>
        </w:rPr>
        <w:t xml:space="preserve">, </w:t>
      </w:r>
      <w:proofErr w:type="spellStart"/>
      <w:r w:rsidRPr="00DD0272">
        <w:rPr>
          <w:lang w:eastAsia="en-AU"/>
        </w:rPr>
        <w:t>Côté</w:t>
      </w:r>
      <w:proofErr w:type="spellEnd"/>
      <w:r w:rsidRPr="00DD0272">
        <w:rPr>
          <w:lang w:eastAsia="en-AU"/>
        </w:rPr>
        <w:t xml:space="preserve">, Brown, Rowe, </w:t>
      </w:r>
      <w:proofErr w:type="spellStart"/>
      <w:r w:rsidRPr="00DD0272">
        <w:rPr>
          <w:lang w:eastAsia="en-AU"/>
        </w:rPr>
        <w:t>Kasirer</w:t>
      </w:r>
      <w:proofErr w:type="spellEnd"/>
      <w:r w:rsidRPr="00DD0272">
        <w:rPr>
          <w:lang w:eastAsia="en-AU"/>
        </w:rPr>
        <w:t xml:space="preserve"> and Jamal JJ</w:t>
      </w:r>
    </w:p>
    <w:p w14:paraId="1F28472E" w14:textId="77777777" w:rsidR="00A2764D" w:rsidRPr="00DD0272" w:rsidRDefault="00A2764D" w:rsidP="00A2764D">
      <w:pPr>
        <w:rPr>
          <w:b/>
          <w:bCs/>
          <w:lang w:eastAsia="en-AU"/>
        </w:rPr>
      </w:pPr>
    </w:p>
    <w:p w14:paraId="673F7D1C" w14:textId="77777777" w:rsidR="00A2764D" w:rsidRPr="00DD0272" w:rsidRDefault="00A2764D" w:rsidP="00A2764D">
      <w:pPr>
        <w:rPr>
          <w:b/>
          <w:bCs/>
          <w:lang w:eastAsia="en-AU"/>
        </w:rPr>
      </w:pPr>
      <w:r w:rsidRPr="00DD0272">
        <w:rPr>
          <w:b/>
          <w:bCs/>
          <w:lang w:eastAsia="en-AU"/>
        </w:rPr>
        <w:t>Catchwords:</w:t>
      </w:r>
    </w:p>
    <w:p w14:paraId="09AF8D5E" w14:textId="77777777" w:rsidR="00A2764D" w:rsidRPr="00DD0272" w:rsidRDefault="00A2764D" w:rsidP="00A2764D">
      <w:pPr>
        <w:rPr>
          <w:b/>
          <w:bCs/>
          <w:lang w:eastAsia="en-AU"/>
        </w:rPr>
      </w:pPr>
    </w:p>
    <w:p w14:paraId="2ECEFBBB" w14:textId="469E6B08" w:rsidR="00A2764D" w:rsidRDefault="00A2764D" w:rsidP="00A2764D">
      <w:pPr>
        <w:ind w:left="720"/>
        <w:rPr>
          <w:lang w:eastAsia="en-AU"/>
        </w:rPr>
      </w:pPr>
      <w:r w:rsidRPr="00A2764D">
        <w:rPr>
          <w:lang w:eastAsia="en-AU"/>
        </w:rPr>
        <w:t xml:space="preserve">Constitutional law </w:t>
      </w:r>
      <w:r w:rsidR="00983C4D">
        <w:rPr>
          <w:lang w:eastAsia="en-AU"/>
        </w:rPr>
        <w:t>–</w:t>
      </w:r>
      <w:r>
        <w:rPr>
          <w:lang w:eastAsia="en-AU"/>
        </w:rPr>
        <w:t xml:space="preserve"> </w:t>
      </w:r>
      <w:r w:rsidRPr="005E61F7">
        <w:rPr>
          <w:i/>
          <w:iCs/>
          <w:lang w:eastAsia="en-AU"/>
        </w:rPr>
        <w:t>Charter of Rights</w:t>
      </w:r>
      <w:r w:rsidRPr="00A2764D">
        <w:rPr>
          <w:lang w:eastAsia="en-AU"/>
        </w:rPr>
        <w:t xml:space="preserve"> </w:t>
      </w:r>
      <w:r w:rsidR="00983C4D">
        <w:rPr>
          <w:lang w:eastAsia="en-AU"/>
        </w:rPr>
        <w:t>–</w:t>
      </w:r>
      <w:r w:rsidRPr="00A2764D">
        <w:rPr>
          <w:lang w:eastAsia="en-AU"/>
        </w:rPr>
        <w:t xml:space="preserve"> Arbitrary detention </w:t>
      </w:r>
      <w:r w:rsidR="00983C4D">
        <w:rPr>
          <w:lang w:eastAsia="en-AU"/>
        </w:rPr>
        <w:t>–</w:t>
      </w:r>
      <w:r w:rsidRPr="00A2764D">
        <w:rPr>
          <w:lang w:eastAsia="en-AU"/>
        </w:rPr>
        <w:t xml:space="preserve"> Search and seizure </w:t>
      </w:r>
      <w:r w:rsidR="00983C4D">
        <w:rPr>
          <w:lang w:eastAsia="en-AU"/>
        </w:rPr>
        <w:t>–</w:t>
      </w:r>
      <w:r w:rsidRPr="00A2764D">
        <w:rPr>
          <w:lang w:eastAsia="en-AU"/>
        </w:rPr>
        <w:t xml:space="preserve"> Remedy </w:t>
      </w:r>
      <w:r w:rsidR="00983C4D">
        <w:rPr>
          <w:lang w:eastAsia="en-AU"/>
        </w:rPr>
        <w:t>–</w:t>
      </w:r>
      <w:r w:rsidRPr="00A2764D">
        <w:rPr>
          <w:lang w:eastAsia="en-AU"/>
        </w:rPr>
        <w:t xml:space="preserve"> Exclusion of evidence </w:t>
      </w:r>
      <w:r w:rsidR="00983C4D">
        <w:rPr>
          <w:lang w:eastAsia="en-AU"/>
        </w:rPr>
        <w:t>–</w:t>
      </w:r>
      <w:r w:rsidRPr="00A2764D">
        <w:rPr>
          <w:lang w:eastAsia="en-AU"/>
        </w:rPr>
        <w:t xml:space="preserve"> </w:t>
      </w:r>
      <w:r>
        <w:rPr>
          <w:lang w:eastAsia="en-AU"/>
        </w:rPr>
        <w:t xml:space="preserve">Where </w:t>
      </w:r>
      <w:r w:rsidRPr="00A2764D">
        <w:rPr>
          <w:lang w:eastAsia="en-AU"/>
        </w:rPr>
        <w:t>Police arrest</w:t>
      </w:r>
      <w:r>
        <w:rPr>
          <w:lang w:eastAsia="en-AU"/>
        </w:rPr>
        <w:t xml:space="preserve">ed </w:t>
      </w:r>
      <w:r w:rsidRPr="00A2764D">
        <w:rPr>
          <w:lang w:eastAsia="en-AU"/>
        </w:rPr>
        <w:t>accused for possession of controlled substance based on mistake of law about pill in accused</w:t>
      </w:r>
      <w:r w:rsidR="00A74661">
        <w:rPr>
          <w:lang w:eastAsia="en-AU"/>
        </w:rPr>
        <w:t>'</w:t>
      </w:r>
      <w:r w:rsidRPr="00A2764D">
        <w:rPr>
          <w:lang w:eastAsia="en-AU"/>
        </w:rPr>
        <w:t xml:space="preserve">s possession being controlled substance </w:t>
      </w:r>
      <w:r w:rsidR="00983C4D">
        <w:rPr>
          <w:lang w:eastAsia="en-AU"/>
        </w:rPr>
        <w:t>–</w:t>
      </w:r>
      <w:r w:rsidRPr="00A2764D">
        <w:rPr>
          <w:lang w:eastAsia="en-AU"/>
        </w:rPr>
        <w:t xml:space="preserve"> </w:t>
      </w:r>
      <w:r>
        <w:rPr>
          <w:lang w:eastAsia="en-AU"/>
        </w:rPr>
        <w:t>Where p</w:t>
      </w:r>
      <w:r w:rsidRPr="00A2764D">
        <w:rPr>
          <w:lang w:eastAsia="en-AU"/>
        </w:rPr>
        <w:t>olice subsequently conduct</w:t>
      </w:r>
      <w:r>
        <w:rPr>
          <w:lang w:eastAsia="en-AU"/>
        </w:rPr>
        <w:t>ed</w:t>
      </w:r>
      <w:r w:rsidRPr="00A2764D">
        <w:rPr>
          <w:lang w:eastAsia="en-AU"/>
        </w:rPr>
        <w:t xml:space="preserve"> searches of accused and his car and </w:t>
      </w:r>
      <w:r>
        <w:rPr>
          <w:lang w:eastAsia="en-AU"/>
        </w:rPr>
        <w:t xml:space="preserve">found </w:t>
      </w:r>
      <w:r w:rsidRPr="00A2764D">
        <w:rPr>
          <w:lang w:eastAsia="en-AU"/>
        </w:rPr>
        <w:t xml:space="preserve">drugs, </w:t>
      </w:r>
      <w:r w:rsidRPr="00A2764D">
        <w:rPr>
          <w:lang w:eastAsia="en-AU"/>
        </w:rPr>
        <w:lastRenderedPageBreak/>
        <w:t xml:space="preserve">ammunition and handgun </w:t>
      </w:r>
      <w:r w:rsidR="00983C4D">
        <w:rPr>
          <w:lang w:eastAsia="en-AU"/>
        </w:rPr>
        <w:t>–</w:t>
      </w:r>
      <w:r w:rsidRPr="00A2764D">
        <w:rPr>
          <w:lang w:eastAsia="en-AU"/>
        </w:rPr>
        <w:t xml:space="preserve"> Whether arrest and subsequent searches infringed accused</w:t>
      </w:r>
      <w:r w:rsidR="00A74661">
        <w:rPr>
          <w:lang w:eastAsia="en-AU"/>
        </w:rPr>
        <w:t>'</w:t>
      </w:r>
      <w:r w:rsidRPr="00A2764D">
        <w:rPr>
          <w:lang w:eastAsia="en-AU"/>
        </w:rPr>
        <w:t xml:space="preserve">s rights against arbitrary detention and unreasonable search and seizure </w:t>
      </w:r>
      <w:r w:rsidR="00983C4D">
        <w:rPr>
          <w:lang w:eastAsia="en-AU"/>
        </w:rPr>
        <w:t>–</w:t>
      </w:r>
      <w:r w:rsidRPr="00A2764D">
        <w:rPr>
          <w:lang w:eastAsia="en-AU"/>
        </w:rPr>
        <w:t xml:space="preserve"> If so, whether admission of evidence would bring administration of justice into disrepute warranting its exclusion </w:t>
      </w:r>
      <w:r w:rsidR="00983C4D">
        <w:rPr>
          <w:lang w:eastAsia="en-AU"/>
        </w:rPr>
        <w:t>–</w:t>
      </w:r>
      <w:r w:rsidRPr="00A2764D">
        <w:rPr>
          <w:lang w:eastAsia="en-AU"/>
        </w:rPr>
        <w:t xml:space="preserve"> </w:t>
      </w:r>
      <w:r w:rsidRPr="00A2764D">
        <w:rPr>
          <w:i/>
          <w:iCs/>
          <w:lang w:eastAsia="en-AU"/>
        </w:rPr>
        <w:t>Canadian Charter of Rights and Freedoms</w:t>
      </w:r>
      <w:r w:rsidRPr="00A2764D">
        <w:rPr>
          <w:lang w:eastAsia="en-AU"/>
        </w:rPr>
        <w:t>, ss 8, 9, 24(2).</w:t>
      </w:r>
    </w:p>
    <w:p w14:paraId="559C11B2" w14:textId="77777777" w:rsidR="00A2764D" w:rsidRPr="00DD0272" w:rsidRDefault="00A2764D" w:rsidP="00A2764D">
      <w:pPr>
        <w:ind w:left="720"/>
        <w:rPr>
          <w:b/>
          <w:bCs/>
          <w:lang w:eastAsia="en-AU"/>
        </w:rPr>
      </w:pPr>
    </w:p>
    <w:p w14:paraId="5F5FAE8E" w14:textId="624C4001" w:rsidR="00A2764D" w:rsidRPr="00DD0272" w:rsidRDefault="00A2764D" w:rsidP="00A2764D">
      <w:pPr>
        <w:rPr>
          <w:lang w:eastAsia="en-AU"/>
        </w:rPr>
      </w:pPr>
      <w:r w:rsidRPr="00DD0272">
        <w:rPr>
          <w:b/>
          <w:bCs/>
          <w:lang w:eastAsia="en-AU"/>
        </w:rPr>
        <w:t>Held (</w:t>
      </w:r>
      <w:r>
        <w:rPr>
          <w:b/>
          <w:bCs/>
          <w:lang w:eastAsia="en-AU"/>
        </w:rPr>
        <w:t>6</w:t>
      </w:r>
      <w:r w:rsidRPr="00DD0272">
        <w:rPr>
          <w:b/>
          <w:bCs/>
          <w:lang w:eastAsia="en-AU"/>
        </w:rPr>
        <w:t>:</w:t>
      </w:r>
      <w:r>
        <w:rPr>
          <w:b/>
          <w:bCs/>
          <w:lang w:eastAsia="en-AU"/>
        </w:rPr>
        <w:t>1</w:t>
      </w:r>
      <w:r w:rsidRPr="00DD0272">
        <w:rPr>
          <w:b/>
          <w:bCs/>
          <w:lang w:eastAsia="en-AU"/>
        </w:rPr>
        <w:t>):</w:t>
      </w:r>
      <w:r w:rsidRPr="00DD0272">
        <w:rPr>
          <w:lang w:eastAsia="en-AU"/>
        </w:rPr>
        <w:t xml:space="preserve"> Appeal </w:t>
      </w:r>
      <w:r>
        <w:rPr>
          <w:lang w:eastAsia="en-AU"/>
        </w:rPr>
        <w:t>dismissed</w:t>
      </w:r>
      <w:r w:rsidRPr="00DD0272">
        <w:rPr>
          <w:lang w:eastAsia="en-AU"/>
        </w:rPr>
        <w:t xml:space="preserve">. </w:t>
      </w:r>
    </w:p>
    <w:p w14:paraId="788E68C1" w14:textId="77777777" w:rsidR="00FB29ED" w:rsidRPr="00A2764D" w:rsidRDefault="00FB29ED" w:rsidP="00FB29ED">
      <w:pPr>
        <w:pStyle w:val="BullDivider1"/>
      </w:pPr>
    </w:p>
    <w:p w14:paraId="0A55A7BB" w14:textId="77777777" w:rsidR="00FB29ED" w:rsidRDefault="00FB29ED" w:rsidP="00FB29ED">
      <w:pPr>
        <w:rPr>
          <w:lang w:eastAsia="en-AU"/>
        </w:rPr>
      </w:pPr>
    </w:p>
    <w:p w14:paraId="13106EE7" w14:textId="26CFD3AB" w:rsidR="00FB29ED" w:rsidRDefault="00FB29ED" w:rsidP="00FB29ED">
      <w:pPr>
        <w:pStyle w:val="Heading2"/>
      </w:pPr>
      <w:r w:rsidRPr="00FB29ED">
        <w:t>Shurtleff v Boston</w:t>
      </w:r>
    </w:p>
    <w:p w14:paraId="787B4FB5" w14:textId="10DF03BE" w:rsidR="00FB29ED" w:rsidRDefault="00FB29ED" w:rsidP="00FB29ED">
      <w:pPr>
        <w:rPr>
          <w:lang w:eastAsia="en-AU"/>
        </w:rPr>
      </w:pPr>
      <w:r>
        <w:rPr>
          <w:b/>
          <w:bCs/>
          <w:lang w:eastAsia="en-AU"/>
        </w:rPr>
        <w:t>Supreme Court of the United States</w:t>
      </w:r>
      <w:r w:rsidRPr="006B0D58">
        <w:rPr>
          <w:b/>
          <w:bCs/>
          <w:lang w:eastAsia="en-AU"/>
        </w:rPr>
        <w:t>:</w:t>
      </w:r>
      <w:r>
        <w:rPr>
          <w:lang w:eastAsia="en-AU"/>
        </w:rPr>
        <w:t xml:space="preserve"> </w:t>
      </w:r>
      <w:hyperlink r:id="rId20" w:history="1">
        <w:r w:rsidRPr="00CE512F">
          <w:rPr>
            <w:rStyle w:val="Hyperlink"/>
          </w:rPr>
          <w:t xml:space="preserve">Docket No. </w:t>
        </w:r>
        <w:r>
          <w:rPr>
            <w:rStyle w:val="Hyperlink"/>
          </w:rPr>
          <w:t>20</w:t>
        </w:r>
        <w:r w:rsidR="00515F52" w:rsidRPr="00515F52">
          <w:rPr>
            <w:rStyle w:val="Hyperlink"/>
          </w:rPr>
          <w:t>–</w:t>
        </w:r>
        <w:r>
          <w:rPr>
            <w:rStyle w:val="Hyperlink"/>
          </w:rPr>
          <w:t>1800</w:t>
        </w:r>
      </w:hyperlink>
    </w:p>
    <w:p w14:paraId="2DADD102" w14:textId="77777777" w:rsidR="00FB29ED" w:rsidRDefault="00FB29ED" w:rsidP="00FB29ED">
      <w:pPr>
        <w:rPr>
          <w:lang w:eastAsia="en-AU"/>
        </w:rPr>
      </w:pPr>
    </w:p>
    <w:p w14:paraId="0038161E" w14:textId="14EB016A" w:rsidR="00FB29ED" w:rsidRPr="00DB68FF" w:rsidRDefault="00FB29ED" w:rsidP="00FB29ED">
      <w:pPr>
        <w:rPr>
          <w:lang w:eastAsia="en-AU"/>
        </w:rPr>
      </w:pPr>
      <w:r>
        <w:rPr>
          <w:b/>
          <w:bCs/>
          <w:lang w:eastAsia="en-AU"/>
        </w:rPr>
        <w:t xml:space="preserve">Judgment delivered: </w:t>
      </w:r>
      <w:r>
        <w:rPr>
          <w:lang w:eastAsia="en-AU"/>
        </w:rPr>
        <w:t xml:space="preserve">2 May 2022 </w:t>
      </w:r>
    </w:p>
    <w:p w14:paraId="02B52EF4" w14:textId="77777777" w:rsidR="00FB29ED" w:rsidRDefault="00FB29ED" w:rsidP="00FB29ED">
      <w:pPr>
        <w:rPr>
          <w:b/>
          <w:bCs/>
          <w:lang w:eastAsia="en-AU"/>
        </w:rPr>
      </w:pPr>
    </w:p>
    <w:p w14:paraId="7BD70701" w14:textId="77777777" w:rsidR="00FB29ED" w:rsidRDefault="00FB29ED" w:rsidP="00FB29ED">
      <w:pPr>
        <w:rPr>
          <w:lang w:eastAsia="en-AU"/>
        </w:rPr>
      </w:pPr>
      <w:r>
        <w:rPr>
          <w:b/>
          <w:bCs/>
          <w:lang w:eastAsia="en-AU"/>
        </w:rPr>
        <w:t>Coram:</w:t>
      </w:r>
      <w:r w:rsidRPr="00DB68FF">
        <w:t xml:space="preserve"> </w:t>
      </w:r>
      <w:r>
        <w:rPr>
          <w:lang w:eastAsia="en-AU"/>
        </w:rPr>
        <w:t xml:space="preserve">Roberts CJ, Thomas, </w:t>
      </w:r>
      <w:proofErr w:type="spellStart"/>
      <w:r>
        <w:rPr>
          <w:lang w:eastAsia="en-AU"/>
        </w:rPr>
        <w:t>Breyer</w:t>
      </w:r>
      <w:proofErr w:type="spellEnd"/>
      <w:r>
        <w:rPr>
          <w:lang w:eastAsia="en-AU"/>
        </w:rPr>
        <w:t>, Alito, Sotomayor, Kagan, Gorsuch,</w:t>
      </w:r>
    </w:p>
    <w:p w14:paraId="03349AB4" w14:textId="77777777" w:rsidR="00FB29ED" w:rsidRPr="00DB68FF" w:rsidRDefault="00FB29ED" w:rsidP="00FB29ED">
      <w:pPr>
        <w:rPr>
          <w:lang w:eastAsia="en-AU"/>
        </w:rPr>
      </w:pPr>
      <w:r>
        <w:rPr>
          <w:lang w:eastAsia="en-AU"/>
        </w:rPr>
        <w:t>Kavanaugh and Barrett JJ</w:t>
      </w:r>
    </w:p>
    <w:p w14:paraId="141FADDB" w14:textId="77777777" w:rsidR="00FB29ED" w:rsidRDefault="00FB29ED" w:rsidP="00FB29ED">
      <w:pPr>
        <w:rPr>
          <w:b/>
          <w:bCs/>
          <w:lang w:eastAsia="en-AU"/>
        </w:rPr>
      </w:pPr>
    </w:p>
    <w:p w14:paraId="1E5D6276" w14:textId="77777777" w:rsidR="00FB29ED" w:rsidRDefault="00FB29ED" w:rsidP="00FB29ED">
      <w:pPr>
        <w:rPr>
          <w:b/>
          <w:bCs/>
          <w:lang w:eastAsia="en-AU"/>
        </w:rPr>
      </w:pPr>
      <w:r>
        <w:rPr>
          <w:b/>
          <w:bCs/>
          <w:lang w:eastAsia="en-AU"/>
        </w:rPr>
        <w:t>Catchwords:</w:t>
      </w:r>
    </w:p>
    <w:p w14:paraId="7F970050" w14:textId="77777777" w:rsidR="00FB29ED" w:rsidRDefault="00FB29ED" w:rsidP="00FB29ED">
      <w:pPr>
        <w:rPr>
          <w:b/>
          <w:bCs/>
          <w:lang w:eastAsia="en-AU"/>
        </w:rPr>
      </w:pPr>
    </w:p>
    <w:p w14:paraId="3EDE075B" w14:textId="2AE904B0" w:rsidR="00CC6992" w:rsidRDefault="00FB29ED" w:rsidP="00CC6992">
      <w:pPr>
        <w:pStyle w:val="Catchwords"/>
      </w:pPr>
      <w:r>
        <w:t>Constitutional law – First Amendment –</w:t>
      </w:r>
      <w:r w:rsidR="00CC0F82">
        <w:t xml:space="preserve"> Free speech – Where outside Boston City Hall stood three flagpoles – Where Boston flew American flag on first pole, flag of Commonwealth of Massachusetts on second pole and, usually, </w:t>
      </w:r>
      <w:r w:rsidR="005E61F7">
        <w:t>C</w:t>
      </w:r>
      <w:r w:rsidR="00CC0F82">
        <w:t>ity</w:t>
      </w:r>
      <w:r w:rsidR="00A74661">
        <w:t>'</w:t>
      </w:r>
      <w:r w:rsidR="00CC0F82">
        <w:t xml:space="preserve">s flag on third pole – Where Boston allowed </w:t>
      </w:r>
      <w:r w:rsidR="00CC6992">
        <w:t xml:space="preserve">groups to hold ceremonies on plaza and hoist flag of their choosing on third pole in place of </w:t>
      </w:r>
      <w:r w:rsidR="005E61F7">
        <w:t>C</w:t>
      </w:r>
      <w:r w:rsidR="00CC6992">
        <w:t>ity</w:t>
      </w:r>
      <w:r w:rsidR="00A74661">
        <w:t>'</w:t>
      </w:r>
      <w:r w:rsidR="00CC6992">
        <w:t>s flag</w:t>
      </w:r>
      <w:r w:rsidR="00CC0F82">
        <w:t xml:space="preserve"> </w:t>
      </w:r>
      <w:r w:rsidR="00CC6992">
        <w:t xml:space="preserve">– Where, between 2005 and 2017, Boston approved raising of </w:t>
      </w:r>
      <w:r w:rsidR="00876683">
        <w:t>approximately</w:t>
      </w:r>
      <w:r w:rsidR="00CC6992">
        <w:t xml:space="preserve"> 50 unique flags for 284 such ceremonies</w:t>
      </w:r>
      <w:r w:rsidR="00876683">
        <w:t xml:space="preserve"> – Where m</w:t>
      </w:r>
      <w:r w:rsidR="00CC6992">
        <w:t>ost of</w:t>
      </w:r>
    </w:p>
    <w:p w14:paraId="4D1FF401" w14:textId="08477B64" w:rsidR="00876683" w:rsidRDefault="00CC6992" w:rsidP="00876683">
      <w:pPr>
        <w:pStyle w:val="Catchwords"/>
      </w:pPr>
      <w:r>
        <w:t>flags other countries</w:t>
      </w:r>
      <w:r w:rsidR="00A74661">
        <w:t>'</w:t>
      </w:r>
      <w:r>
        <w:t>, but some associated with</w:t>
      </w:r>
      <w:r w:rsidR="00876683">
        <w:t xml:space="preserve"> </w:t>
      </w:r>
      <w:r>
        <w:t>groups or causes, such as Pride Flag</w:t>
      </w:r>
      <w:r w:rsidR="00876683">
        <w:t xml:space="preserve"> and</w:t>
      </w:r>
      <w:r>
        <w:t xml:space="preserve"> banner </w:t>
      </w:r>
      <w:r w:rsidR="00876683">
        <w:t>honouring</w:t>
      </w:r>
      <w:r>
        <w:t xml:space="preserve"> emergency</w:t>
      </w:r>
      <w:r w:rsidR="00876683">
        <w:t xml:space="preserve"> </w:t>
      </w:r>
      <w:r>
        <w:t>medical service workers</w:t>
      </w:r>
      <w:r w:rsidR="00876683">
        <w:t xml:space="preserve"> – Where </w:t>
      </w:r>
      <w:r w:rsidR="005E61F7" w:rsidRPr="005E61F7">
        <w:t>Shurtleff</w:t>
      </w:r>
      <w:r w:rsidR="00876683">
        <w:t xml:space="preserve">, director of organization called Camp Constitution, sought to hold event on plaza to celebrate contributions of Christian community – Where, part of ceremony, </w:t>
      </w:r>
      <w:r w:rsidR="005E61F7" w:rsidRPr="005E61F7">
        <w:t xml:space="preserve">Shurtleff </w:t>
      </w:r>
      <w:r w:rsidR="00876683">
        <w:t xml:space="preserve">wished to raise </w:t>
      </w:r>
      <w:r w:rsidR="00A74661">
        <w:t>"</w:t>
      </w:r>
      <w:r w:rsidR="00876683">
        <w:t>Christian flag</w:t>
      </w:r>
      <w:r w:rsidR="00A74661">
        <w:t>"</w:t>
      </w:r>
      <w:r w:rsidR="00876683">
        <w:t xml:space="preserve"> – Where commissioner of Boston</w:t>
      </w:r>
      <w:r w:rsidR="00A74661">
        <w:t>'</w:t>
      </w:r>
      <w:r w:rsidR="00876683">
        <w:t xml:space="preserve">s Property Management Department worried flying religious flag at City Hall could violate Establishment Clause and told </w:t>
      </w:r>
      <w:r w:rsidR="002E6437" w:rsidRPr="002E6437">
        <w:t xml:space="preserve">Shurtleff </w:t>
      </w:r>
      <w:r w:rsidR="00876683">
        <w:t xml:space="preserve">could hold event but could not raise </w:t>
      </w:r>
      <w:r w:rsidR="005E61F7">
        <w:t xml:space="preserve">flag </w:t>
      </w:r>
      <w:r w:rsidR="00876683">
        <w:t>– Where Shurtleff and Camp Constitution sued, claiming Boston</w:t>
      </w:r>
      <w:r w:rsidR="00A74661">
        <w:t>'</w:t>
      </w:r>
      <w:r w:rsidR="00876683">
        <w:t xml:space="preserve">s refusal to </w:t>
      </w:r>
      <w:r w:rsidR="00652B7B">
        <w:t>allow</w:t>
      </w:r>
      <w:r w:rsidR="00876683">
        <w:t xml:space="preserve"> their</w:t>
      </w:r>
      <w:r w:rsidR="00652B7B">
        <w:t xml:space="preserve"> </w:t>
      </w:r>
      <w:r w:rsidR="00876683">
        <w:t>flag violated</w:t>
      </w:r>
      <w:r w:rsidR="00652B7B">
        <w:t xml:space="preserve"> </w:t>
      </w:r>
      <w:r w:rsidR="00876683">
        <w:t xml:space="preserve">First </w:t>
      </w:r>
      <w:r w:rsidR="00652B7B">
        <w:t xml:space="preserve">Amendment – Where </w:t>
      </w:r>
      <w:r w:rsidR="00876683">
        <w:t>District Court held flying private groups</w:t>
      </w:r>
      <w:r w:rsidR="00A74661">
        <w:t>'</w:t>
      </w:r>
      <w:r w:rsidR="00876683">
        <w:t xml:space="preserve"> flags from</w:t>
      </w:r>
      <w:r w:rsidR="00652B7B">
        <w:t xml:space="preserve"> </w:t>
      </w:r>
      <w:r w:rsidR="00876683">
        <w:t>City Hall</w:t>
      </w:r>
      <w:r w:rsidR="00A74661">
        <w:t>'</w:t>
      </w:r>
      <w:r w:rsidR="00876683">
        <w:t>s third flagpole amounted to government speech, so Boston</w:t>
      </w:r>
      <w:r w:rsidR="00A74661">
        <w:t>'</w:t>
      </w:r>
      <w:r w:rsidR="00652B7B">
        <w:t xml:space="preserve">s refusal did not run </w:t>
      </w:r>
      <w:r w:rsidR="00876683">
        <w:t>afoul of First</w:t>
      </w:r>
      <w:r w:rsidR="00652B7B">
        <w:t xml:space="preserve"> </w:t>
      </w:r>
      <w:r w:rsidR="00876683">
        <w:t>Amendment</w:t>
      </w:r>
      <w:r w:rsidR="00652B7B">
        <w:t xml:space="preserve"> – Where </w:t>
      </w:r>
      <w:r w:rsidR="00876683">
        <w:t>First Circuit affirmed</w:t>
      </w:r>
      <w:r w:rsidR="00652B7B">
        <w:t xml:space="preserve"> – Whether </w:t>
      </w:r>
      <w:r w:rsidR="00876683">
        <w:t>flags Boston allows others to fly express government speech</w:t>
      </w:r>
      <w:r w:rsidR="00652B7B">
        <w:t xml:space="preserve"> – Whether</w:t>
      </w:r>
      <w:r w:rsidR="00876683">
        <w:t xml:space="preserve"> </w:t>
      </w:r>
      <w:r w:rsidR="00652B7B">
        <w:t>denial of</w:t>
      </w:r>
      <w:r w:rsidR="00652B7B" w:rsidRPr="00652B7B">
        <w:t xml:space="preserve"> petitioners</w:t>
      </w:r>
      <w:r w:rsidR="00A74661">
        <w:t>'</w:t>
      </w:r>
      <w:r w:rsidR="00652B7B" w:rsidRPr="00652B7B">
        <w:t xml:space="preserve"> flag-raising request</w:t>
      </w:r>
      <w:r w:rsidR="00652B7B">
        <w:t xml:space="preserve"> consistent with First Amendment. </w:t>
      </w:r>
    </w:p>
    <w:p w14:paraId="4DE9923F" w14:textId="77777777" w:rsidR="00FB29ED" w:rsidRDefault="00FB29ED" w:rsidP="00FB29ED">
      <w:pPr>
        <w:rPr>
          <w:b/>
          <w:bCs/>
          <w:lang w:eastAsia="en-AU"/>
        </w:rPr>
      </w:pPr>
    </w:p>
    <w:p w14:paraId="149C63F0" w14:textId="65D8DFAF" w:rsidR="00FB29ED" w:rsidRDefault="00FB29ED" w:rsidP="00FB29ED">
      <w:pPr>
        <w:rPr>
          <w:lang w:eastAsia="en-AU"/>
        </w:rPr>
      </w:pPr>
      <w:r>
        <w:rPr>
          <w:b/>
          <w:bCs/>
          <w:lang w:eastAsia="en-AU"/>
        </w:rPr>
        <w:t>Held (</w:t>
      </w:r>
      <w:r w:rsidR="00CC0F82">
        <w:rPr>
          <w:b/>
          <w:bCs/>
          <w:lang w:eastAsia="en-AU"/>
        </w:rPr>
        <w:t>9:0</w:t>
      </w:r>
      <w:r>
        <w:rPr>
          <w:b/>
          <w:bCs/>
          <w:lang w:eastAsia="en-AU"/>
        </w:rPr>
        <w:t>):</w:t>
      </w:r>
      <w:r>
        <w:rPr>
          <w:lang w:eastAsia="en-AU"/>
        </w:rPr>
        <w:t xml:space="preserve"> </w:t>
      </w:r>
      <w:r w:rsidRPr="006C3EC7">
        <w:rPr>
          <w:lang w:eastAsia="en-AU"/>
        </w:rPr>
        <w:t xml:space="preserve">Judgment of </w:t>
      </w:r>
      <w:r>
        <w:rPr>
          <w:lang w:eastAsia="en-AU"/>
        </w:rPr>
        <w:t xml:space="preserve">Court of Appeals for the First Circuit </w:t>
      </w:r>
      <w:proofErr w:type="gramStart"/>
      <w:r>
        <w:rPr>
          <w:lang w:eastAsia="en-AU"/>
        </w:rPr>
        <w:t>reversed</w:t>
      </w:r>
      <w:proofErr w:type="gramEnd"/>
      <w:r>
        <w:rPr>
          <w:lang w:eastAsia="en-AU"/>
        </w:rPr>
        <w:t xml:space="preserve"> and case remanded. </w:t>
      </w:r>
    </w:p>
    <w:p w14:paraId="4EB2BAFD" w14:textId="77777777" w:rsidR="00FB29ED" w:rsidRDefault="00FB29ED" w:rsidP="00FB29ED">
      <w:pPr>
        <w:pStyle w:val="BullDivider1"/>
      </w:pPr>
    </w:p>
    <w:p w14:paraId="7D16F906" w14:textId="77777777" w:rsidR="004E51ED" w:rsidRDefault="004E51ED" w:rsidP="00CE512F">
      <w:pPr>
        <w:rPr>
          <w:lang w:eastAsia="en-AU"/>
        </w:rPr>
      </w:pPr>
    </w:p>
    <w:p w14:paraId="47D7F86E" w14:textId="166399FF" w:rsidR="00CE512F" w:rsidRDefault="00CE512F" w:rsidP="00CE512F">
      <w:pPr>
        <w:pStyle w:val="Heading2"/>
      </w:pPr>
      <w:r>
        <w:t xml:space="preserve">Thompson v Clark </w:t>
      </w:r>
    </w:p>
    <w:p w14:paraId="43626BA1" w14:textId="032E6BA2" w:rsidR="00CE512F" w:rsidRDefault="00CE512F" w:rsidP="00CE512F">
      <w:pPr>
        <w:rPr>
          <w:lang w:eastAsia="en-AU"/>
        </w:rPr>
      </w:pPr>
      <w:r>
        <w:rPr>
          <w:b/>
          <w:bCs/>
          <w:lang w:eastAsia="en-AU"/>
        </w:rPr>
        <w:t>Supreme Court of the United States</w:t>
      </w:r>
      <w:r w:rsidRPr="006B0D58">
        <w:rPr>
          <w:b/>
          <w:bCs/>
          <w:lang w:eastAsia="en-AU"/>
        </w:rPr>
        <w:t>:</w:t>
      </w:r>
      <w:r>
        <w:rPr>
          <w:lang w:eastAsia="en-AU"/>
        </w:rPr>
        <w:t xml:space="preserve"> </w:t>
      </w:r>
      <w:hyperlink r:id="rId21" w:history="1">
        <w:r w:rsidRPr="00CE512F">
          <w:rPr>
            <w:rStyle w:val="Hyperlink"/>
          </w:rPr>
          <w:t>Docket No. 20</w:t>
        </w:r>
        <w:r w:rsidR="00515F52" w:rsidRPr="00515F52">
          <w:rPr>
            <w:rStyle w:val="Hyperlink"/>
          </w:rPr>
          <w:t>–</w:t>
        </w:r>
        <w:r w:rsidRPr="00CE512F">
          <w:rPr>
            <w:rStyle w:val="Hyperlink"/>
          </w:rPr>
          <w:t>659</w:t>
        </w:r>
      </w:hyperlink>
    </w:p>
    <w:p w14:paraId="31C7C6E5" w14:textId="77777777" w:rsidR="00CE512F" w:rsidRDefault="00CE512F" w:rsidP="00CE512F">
      <w:pPr>
        <w:rPr>
          <w:lang w:eastAsia="en-AU"/>
        </w:rPr>
      </w:pPr>
    </w:p>
    <w:p w14:paraId="58261D00" w14:textId="71EB5F53" w:rsidR="00CE512F" w:rsidRPr="00DB68FF" w:rsidRDefault="00CE512F" w:rsidP="00CE512F">
      <w:pPr>
        <w:rPr>
          <w:lang w:eastAsia="en-AU"/>
        </w:rPr>
      </w:pPr>
      <w:r>
        <w:rPr>
          <w:b/>
          <w:bCs/>
          <w:lang w:eastAsia="en-AU"/>
        </w:rPr>
        <w:t xml:space="preserve">Judgment delivered: </w:t>
      </w:r>
      <w:r>
        <w:rPr>
          <w:lang w:eastAsia="en-AU"/>
        </w:rPr>
        <w:t xml:space="preserve">4 April 2022 </w:t>
      </w:r>
    </w:p>
    <w:p w14:paraId="493372B9" w14:textId="77777777" w:rsidR="00CE512F" w:rsidRDefault="00CE512F" w:rsidP="00CE512F">
      <w:pPr>
        <w:rPr>
          <w:b/>
          <w:bCs/>
          <w:lang w:eastAsia="en-AU"/>
        </w:rPr>
      </w:pPr>
    </w:p>
    <w:p w14:paraId="55C5085C" w14:textId="77777777" w:rsidR="00CE512F" w:rsidRDefault="00CE512F" w:rsidP="00CE512F">
      <w:pPr>
        <w:rPr>
          <w:lang w:eastAsia="en-AU"/>
        </w:rPr>
      </w:pPr>
      <w:r>
        <w:rPr>
          <w:b/>
          <w:bCs/>
          <w:lang w:eastAsia="en-AU"/>
        </w:rPr>
        <w:lastRenderedPageBreak/>
        <w:t>Coram:</w:t>
      </w:r>
      <w:r w:rsidRPr="00DB68FF">
        <w:t xml:space="preserve"> </w:t>
      </w:r>
      <w:r>
        <w:rPr>
          <w:lang w:eastAsia="en-AU"/>
        </w:rPr>
        <w:t xml:space="preserve">Roberts CJ, Thomas, </w:t>
      </w:r>
      <w:proofErr w:type="spellStart"/>
      <w:r>
        <w:rPr>
          <w:lang w:eastAsia="en-AU"/>
        </w:rPr>
        <w:t>Breyer</w:t>
      </w:r>
      <w:proofErr w:type="spellEnd"/>
      <w:r>
        <w:rPr>
          <w:lang w:eastAsia="en-AU"/>
        </w:rPr>
        <w:t>, Alito, Sotomayor, Kagan, Gorsuch,</w:t>
      </w:r>
    </w:p>
    <w:p w14:paraId="02DE9382" w14:textId="77777777" w:rsidR="00CE512F" w:rsidRPr="00DB68FF" w:rsidRDefault="00CE512F" w:rsidP="00CE512F">
      <w:pPr>
        <w:rPr>
          <w:lang w:eastAsia="en-AU"/>
        </w:rPr>
      </w:pPr>
      <w:r>
        <w:rPr>
          <w:lang w:eastAsia="en-AU"/>
        </w:rPr>
        <w:t>Kavanaugh and Barrett JJ</w:t>
      </w:r>
    </w:p>
    <w:p w14:paraId="2FCD8CCA" w14:textId="77777777" w:rsidR="00CE512F" w:rsidRDefault="00CE512F" w:rsidP="00CE512F">
      <w:pPr>
        <w:rPr>
          <w:b/>
          <w:bCs/>
          <w:lang w:eastAsia="en-AU"/>
        </w:rPr>
      </w:pPr>
    </w:p>
    <w:p w14:paraId="7B9EDB74" w14:textId="77777777" w:rsidR="00CE512F" w:rsidRDefault="00CE512F" w:rsidP="00CE512F">
      <w:pPr>
        <w:rPr>
          <w:b/>
          <w:bCs/>
          <w:lang w:eastAsia="en-AU"/>
        </w:rPr>
      </w:pPr>
      <w:r>
        <w:rPr>
          <w:b/>
          <w:bCs/>
          <w:lang w:eastAsia="en-AU"/>
        </w:rPr>
        <w:t>Catchwords:</w:t>
      </w:r>
    </w:p>
    <w:p w14:paraId="1855D938" w14:textId="77777777" w:rsidR="00CE512F" w:rsidRDefault="00CE512F" w:rsidP="00CE512F">
      <w:pPr>
        <w:rPr>
          <w:b/>
          <w:bCs/>
          <w:lang w:eastAsia="en-AU"/>
        </w:rPr>
      </w:pPr>
    </w:p>
    <w:p w14:paraId="307AF85C" w14:textId="54962570" w:rsidR="00CE512F" w:rsidRPr="008650AA" w:rsidRDefault="00CE512F" w:rsidP="00CE512F">
      <w:pPr>
        <w:pStyle w:val="Catchwords"/>
      </w:pPr>
      <w:r>
        <w:t xml:space="preserve">Constitutional law – Fourth Amendment – Malicious prosecution – Favourable termination requirement – Where Thompson arrested, charged and detained for obstructing governmental administration, but subsequently released – Where charges dismissed before trial without explanation by prosecutor or judge – Where, after dismissal, Thompson filed suit </w:t>
      </w:r>
      <w:r w:rsidRPr="00241E11">
        <w:t>under 42 U</w:t>
      </w:r>
      <w:r>
        <w:t>SC</w:t>
      </w:r>
      <w:r w:rsidRPr="00241E11">
        <w:t xml:space="preserve"> §1983</w:t>
      </w:r>
      <w:r>
        <w:t xml:space="preserve"> alleging several constitutional violations, including Fourth Amendment claim for malicious prosecution – Where, to maintain claim under </w:t>
      </w:r>
      <w:r w:rsidRPr="00241E11">
        <w:t>§1983</w:t>
      </w:r>
      <w:r>
        <w:t xml:space="preserve">, plaintiff to demonstrate </w:t>
      </w:r>
      <w:r w:rsidR="0049133B">
        <w:t>favourable</w:t>
      </w:r>
      <w:r>
        <w:t xml:space="preserve"> termination of underlying criminal prosecution – Where Second Circuit precedent in</w:t>
      </w:r>
      <w:r w:rsidRPr="00241E11">
        <w:t xml:space="preserve"> </w:t>
      </w:r>
      <w:r w:rsidRPr="00241E11">
        <w:rPr>
          <w:i/>
          <w:iCs/>
        </w:rPr>
        <w:t>Lanning v Glens Falls</w:t>
      </w:r>
      <w:r w:rsidRPr="00241E11">
        <w:t>, 908 F. 3d 19</w:t>
      </w:r>
      <w:r>
        <w:t xml:space="preserve"> required Thompson to show criminal prosecution ended </w:t>
      </w:r>
      <w:r w:rsidRPr="00241E11">
        <w:t>not merely without conviction, but also with affirmative indication of innocence</w:t>
      </w:r>
      <w:r>
        <w:t xml:space="preserve"> – Where District Court, bound by </w:t>
      </w:r>
      <w:r>
        <w:rPr>
          <w:i/>
          <w:iCs/>
        </w:rPr>
        <w:t>Lanning</w:t>
      </w:r>
      <w:r>
        <w:t>, held Thompson</w:t>
      </w:r>
      <w:r w:rsidR="00A74661">
        <w:t>'</w:t>
      </w:r>
      <w:r>
        <w:t>s criminal case not ended in way to affirmatively indicate innocence because Thompson could not offer substantial evidence to explain why case dismissed – Where Second Circuit affirmed dismissal of Thompson</w:t>
      </w:r>
      <w:r w:rsidR="00A74661">
        <w:t>'</w:t>
      </w:r>
      <w:r>
        <w:t xml:space="preserve">s claim – Whether, to demonstrate </w:t>
      </w:r>
      <w:r w:rsidR="0049133B">
        <w:t>favourable</w:t>
      </w:r>
      <w:r>
        <w:t xml:space="preserve"> termination of criminal prosecution for purposes of Fourth Amendment claim under §1983 for malicious prosecution, plaintiff needs to show criminal prosecution ended with affirmative indication of innocence. </w:t>
      </w:r>
    </w:p>
    <w:p w14:paraId="7896B20B" w14:textId="77777777" w:rsidR="00CE512F" w:rsidRDefault="00CE512F" w:rsidP="00CE512F">
      <w:pPr>
        <w:rPr>
          <w:b/>
          <w:bCs/>
          <w:lang w:eastAsia="en-AU"/>
        </w:rPr>
      </w:pPr>
    </w:p>
    <w:p w14:paraId="48393AEB" w14:textId="62533C70" w:rsidR="00CE512F" w:rsidRDefault="00CE512F" w:rsidP="00CE512F">
      <w:pPr>
        <w:rPr>
          <w:lang w:eastAsia="en-AU"/>
        </w:rPr>
      </w:pPr>
      <w:r>
        <w:rPr>
          <w:b/>
          <w:bCs/>
          <w:lang w:eastAsia="en-AU"/>
        </w:rPr>
        <w:t>Held (6:3):</w:t>
      </w:r>
      <w:r>
        <w:rPr>
          <w:lang w:eastAsia="en-AU"/>
        </w:rPr>
        <w:t xml:space="preserve"> </w:t>
      </w:r>
      <w:r w:rsidRPr="006C3EC7">
        <w:rPr>
          <w:lang w:eastAsia="en-AU"/>
        </w:rPr>
        <w:t xml:space="preserve">Judgment of </w:t>
      </w:r>
      <w:r>
        <w:rPr>
          <w:lang w:eastAsia="en-AU"/>
        </w:rPr>
        <w:t xml:space="preserve">Court of Appeals for the Second Circuit </w:t>
      </w:r>
      <w:proofErr w:type="gramStart"/>
      <w:r>
        <w:rPr>
          <w:lang w:eastAsia="en-AU"/>
        </w:rPr>
        <w:t>reversed</w:t>
      </w:r>
      <w:proofErr w:type="gramEnd"/>
      <w:r>
        <w:rPr>
          <w:lang w:eastAsia="en-AU"/>
        </w:rPr>
        <w:t xml:space="preserve"> and case remanded. </w:t>
      </w:r>
    </w:p>
    <w:p w14:paraId="3E0A3351" w14:textId="77777777" w:rsidR="00D71919" w:rsidRDefault="00D71919" w:rsidP="00D71919">
      <w:pPr>
        <w:pStyle w:val="BullDivider1"/>
      </w:pPr>
    </w:p>
    <w:p w14:paraId="285F85EA" w14:textId="77777777" w:rsidR="00D71919" w:rsidRPr="00287D30" w:rsidRDefault="00D71919" w:rsidP="00D71919">
      <w:pPr>
        <w:rPr>
          <w:lang w:eastAsia="en-AU"/>
        </w:rPr>
      </w:pPr>
    </w:p>
    <w:p w14:paraId="73A13387" w14:textId="77777777" w:rsidR="00D71919" w:rsidRDefault="00D71919" w:rsidP="00D71919">
      <w:pPr>
        <w:pStyle w:val="Heading2"/>
      </w:pPr>
      <w:bookmarkStart w:id="6" w:name="_Hlk104902120"/>
      <w:r>
        <w:t xml:space="preserve">United States v </w:t>
      </w:r>
      <w:proofErr w:type="spellStart"/>
      <w:r>
        <w:t>Vaello</w:t>
      </w:r>
      <w:proofErr w:type="spellEnd"/>
      <w:r>
        <w:t xml:space="preserve"> Madero </w:t>
      </w:r>
    </w:p>
    <w:p w14:paraId="0A42B3DD" w14:textId="5DF8B5B3" w:rsidR="00D71919" w:rsidRDefault="00D71919" w:rsidP="00D71919">
      <w:pPr>
        <w:rPr>
          <w:lang w:eastAsia="en-AU"/>
        </w:rPr>
      </w:pPr>
      <w:r>
        <w:rPr>
          <w:b/>
          <w:bCs/>
          <w:lang w:eastAsia="en-AU"/>
        </w:rPr>
        <w:t>Supreme Court of the United States</w:t>
      </w:r>
      <w:r w:rsidRPr="006B0D58">
        <w:rPr>
          <w:b/>
          <w:bCs/>
          <w:lang w:eastAsia="en-AU"/>
        </w:rPr>
        <w:t>:</w:t>
      </w:r>
      <w:r>
        <w:rPr>
          <w:lang w:eastAsia="en-AU"/>
        </w:rPr>
        <w:t xml:space="preserve"> </w:t>
      </w:r>
      <w:hyperlink r:id="rId22" w:history="1">
        <w:r w:rsidRPr="00287D30">
          <w:rPr>
            <w:rStyle w:val="Hyperlink"/>
          </w:rPr>
          <w:t>Docket No. 20</w:t>
        </w:r>
        <w:r w:rsidR="00515F52" w:rsidRPr="00515F52">
          <w:rPr>
            <w:rStyle w:val="Hyperlink"/>
          </w:rPr>
          <w:t>–</w:t>
        </w:r>
        <w:r w:rsidRPr="00287D30">
          <w:rPr>
            <w:rStyle w:val="Hyperlink"/>
          </w:rPr>
          <w:t>303</w:t>
        </w:r>
      </w:hyperlink>
    </w:p>
    <w:p w14:paraId="3BFAD577" w14:textId="77777777" w:rsidR="00D71919" w:rsidRDefault="00D71919" w:rsidP="00D71919">
      <w:pPr>
        <w:rPr>
          <w:lang w:eastAsia="en-AU"/>
        </w:rPr>
      </w:pPr>
    </w:p>
    <w:p w14:paraId="20DC0834" w14:textId="77777777" w:rsidR="00D71919" w:rsidRPr="00DB68FF" w:rsidRDefault="00D71919" w:rsidP="00D71919">
      <w:pPr>
        <w:rPr>
          <w:lang w:eastAsia="en-AU"/>
        </w:rPr>
      </w:pPr>
      <w:r>
        <w:rPr>
          <w:b/>
          <w:bCs/>
          <w:lang w:eastAsia="en-AU"/>
        </w:rPr>
        <w:t xml:space="preserve">Judgment delivered: </w:t>
      </w:r>
      <w:r>
        <w:rPr>
          <w:lang w:eastAsia="en-AU"/>
        </w:rPr>
        <w:t xml:space="preserve">21 April 2022 </w:t>
      </w:r>
    </w:p>
    <w:p w14:paraId="343381CB" w14:textId="77777777" w:rsidR="00D71919" w:rsidRDefault="00D71919" w:rsidP="00D71919">
      <w:pPr>
        <w:rPr>
          <w:b/>
          <w:bCs/>
          <w:lang w:eastAsia="en-AU"/>
        </w:rPr>
      </w:pPr>
    </w:p>
    <w:p w14:paraId="3707067D" w14:textId="77777777" w:rsidR="00D71919" w:rsidRDefault="00D71919" w:rsidP="00D71919">
      <w:pPr>
        <w:rPr>
          <w:lang w:eastAsia="en-AU"/>
        </w:rPr>
      </w:pPr>
      <w:r>
        <w:rPr>
          <w:b/>
          <w:bCs/>
          <w:lang w:eastAsia="en-AU"/>
        </w:rPr>
        <w:t>Coram:</w:t>
      </w:r>
      <w:r w:rsidRPr="00DB68FF">
        <w:t xml:space="preserve"> </w:t>
      </w:r>
      <w:r>
        <w:rPr>
          <w:lang w:eastAsia="en-AU"/>
        </w:rPr>
        <w:t xml:space="preserve">Roberts CJ, Thomas, </w:t>
      </w:r>
      <w:proofErr w:type="spellStart"/>
      <w:r>
        <w:rPr>
          <w:lang w:eastAsia="en-AU"/>
        </w:rPr>
        <w:t>Breyer</w:t>
      </w:r>
      <w:proofErr w:type="spellEnd"/>
      <w:r>
        <w:rPr>
          <w:lang w:eastAsia="en-AU"/>
        </w:rPr>
        <w:t>, Alito, Sotomayor, Kagan, Gorsuch,</w:t>
      </w:r>
    </w:p>
    <w:p w14:paraId="2390B6AA" w14:textId="77777777" w:rsidR="00D71919" w:rsidRPr="00DB68FF" w:rsidRDefault="00D71919" w:rsidP="00D71919">
      <w:pPr>
        <w:rPr>
          <w:lang w:eastAsia="en-AU"/>
        </w:rPr>
      </w:pPr>
      <w:r>
        <w:rPr>
          <w:lang w:eastAsia="en-AU"/>
        </w:rPr>
        <w:t>Kavanaugh and Barrett JJ</w:t>
      </w:r>
    </w:p>
    <w:p w14:paraId="01BC55A7" w14:textId="77777777" w:rsidR="00D71919" w:rsidRDefault="00D71919" w:rsidP="00D71919">
      <w:pPr>
        <w:rPr>
          <w:b/>
          <w:bCs/>
          <w:lang w:eastAsia="en-AU"/>
        </w:rPr>
      </w:pPr>
    </w:p>
    <w:p w14:paraId="312E9C7E" w14:textId="77777777" w:rsidR="00D71919" w:rsidRDefault="00D71919" w:rsidP="00D71919">
      <w:pPr>
        <w:rPr>
          <w:b/>
          <w:bCs/>
          <w:lang w:eastAsia="en-AU"/>
        </w:rPr>
      </w:pPr>
      <w:r>
        <w:rPr>
          <w:b/>
          <w:bCs/>
          <w:lang w:eastAsia="en-AU"/>
        </w:rPr>
        <w:t>Catchwords:</w:t>
      </w:r>
    </w:p>
    <w:p w14:paraId="643669C9" w14:textId="77777777" w:rsidR="00D71919" w:rsidRDefault="00D71919" w:rsidP="00D71919">
      <w:pPr>
        <w:rPr>
          <w:b/>
          <w:bCs/>
          <w:lang w:eastAsia="en-AU"/>
        </w:rPr>
      </w:pPr>
    </w:p>
    <w:p w14:paraId="168536F6" w14:textId="4821F274" w:rsidR="00D71919" w:rsidRPr="00287D30" w:rsidRDefault="00D71919" w:rsidP="00D71919">
      <w:pPr>
        <w:pStyle w:val="Catchwords"/>
      </w:pPr>
      <w:r>
        <w:t xml:space="preserve">Constitutional law – Territory Clause – Security income benefits – Where </w:t>
      </w:r>
      <w:r w:rsidRPr="00D71919">
        <w:t>Art IV, §3, cl 2</w:t>
      </w:r>
      <w:r>
        <w:t xml:space="preserve"> of </w:t>
      </w:r>
      <w:r w:rsidRPr="00D71919">
        <w:rPr>
          <w:i/>
          <w:iCs/>
        </w:rPr>
        <w:t>Constitution</w:t>
      </w:r>
      <w:r>
        <w:t xml:space="preserve">, which states Congress may make all needful Rules and Regulations respecting Territory belonging to United States, affords Congress broad authority to legislate with respect to US Territories – Where, in exercise of authority, Congress long maintained different federal tax and benefits programs for residents of Territories than for residents of 50 States – Where Supplemental Security Income (SSI), </w:t>
      </w:r>
      <w:r w:rsidR="001C2589">
        <w:t xml:space="preserve">federal benefits program, applied under </w:t>
      </w:r>
      <w:r w:rsidR="001C2589" w:rsidRPr="001C2589">
        <w:t>42 USC §1382c(a)(1)(B)(</w:t>
      </w:r>
      <w:proofErr w:type="spellStart"/>
      <w:r w:rsidR="001C2589" w:rsidRPr="001C2589">
        <w:t>i</w:t>
      </w:r>
      <w:proofErr w:type="spellEnd"/>
      <w:r w:rsidR="001C2589" w:rsidRPr="001C2589">
        <w:t xml:space="preserve">) </w:t>
      </w:r>
      <w:r w:rsidR="006B124F">
        <w:t xml:space="preserve">only </w:t>
      </w:r>
      <w:r>
        <w:t xml:space="preserve">to residents of </w:t>
      </w:r>
      <w:r w:rsidR="001C2589">
        <w:t xml:space="preserve">United States, being </w:t>
      </w:r>
      <w:r>
        <w:t>50 States and District of Columbia</w:t>
      </w:r>
      <w:r w:rsidR="001C2589">
        <w:t xml:space="preserve"> – Where residents of Puerto Rico not eligible for Supplemental Security Income – Where Madero received </w:t>
      </w:r>
      <w:r w:rsidR="001C2589" w:rsidRPr="001C2589">
        <w:t>Supplemental Security Income benefits</w:t>
      </w:r>
      <w:r w:rsidR="001C2589">
        <w:t xml:space="preserve"> while residing in New York and continued to received benefits after moving to </w:t>
      </w:r>
      <w:r w:rsidR="001C2589">
        <w:lastRenderedPageBreak/>
        <w:t>Puerto Rico – Where US Government subsequently sought to recover payments and sued for restitution – Where Madero argued Congress</w:t>
      </w:r>
      <w:r w:rsidR="00A74661">
        <w:t>'</w:t>
      </w:r>
      <w:r w:rsidR="001C2589">
        <w:t>s exclusion of residents of Puerto Rico from Supplemental Security Income program violated equal-protection component of Fifth Amendment</w:t>
      </w:r>
      <w:r w:rsidR="00A74661">
        <w:t>'</w:t>
      </w:r>
      <w:r w:rsidR="001C2589">
        <w:t xml:space="preserve">s Due Process Clause </w:t>
      </w:r>
      <w:r w:rsidR="008448DC">
        <w:t xml:space="preserve">– </w:t>
      </w:r>
      <w:r>
        <w:t>Whether equal-protection component of Fifth Amendment</w:t>
      </w:r>
      <w:r w:rsidR="00A74661">
        <w:t>'</w:t>
      </w:r>
      <w:r>
        <w:t>s Due Process Clause requires Congress to make Supplemental Security Income benefits available to residents of Puerto Rico to same extent benefits available to residents of States.</w:t>
      </w:r>
    </w:p>
    <w:p w14:paraId="0F9A4746" w14:textId="77777777" w:rsidR="00D71919" w:rsidRDefault="00D71919" w:rsidP="00D71919">
      <w:pPr>
        <w:rPr>
          <w:b/>
          <w:bCs/>
          <w:lang w:eastAsia="en-AU"/>
        </w:rPr>
      </w:pPr>
    </w:p>
    <w:p w14:paraId="2CACFBFB" w14:textId="77777777" w:rsidR="00D71919" w:rsidRDefault="00D71919" w:rsidP="00D71919">
      <w:pPr>
        <w:rPr>
          <w:lang w:eastAsia="en-AU"/>
        </w:rPr>
      </w:pPr>
      <w:r>
        <w:rPr>
          <w:b/>
          <w:bCs/>
          <w:lang w:eastAsia="en-AU"/>
        </w:rPr>
        <w:t>Held (8:1):</w:t>
      </w:r>
      <w:r>
        <w:rPr>
          <w:lang w:eastAsia="en-AU"/>
        </w:rPr>
        <w:t xml:space="preserve"> </w:t>
      </w:r>
      <w:r w:rsidRPr="006C3EC7">
        <w:rPr>
          <w:lang w:eastAsia="en-AU"/>
        </w:rPr>
        <w:t xml:space="preserve">Judgment of </w:t>
      </w:r>
      <w:r>
        <w:rPr>
          <w:lang w:eastAsia="en-AU"/>
        </w:rPr>
        <w:t xml:space="preserve">Court of Appeals for the First Circuit reversed. </w:t>
      </w:r>
    </w:p>
    <w:p w14:paraId="5A305E4F" w14:textId="56962B00" w:rsidR="00CE512F" w:rsidRDefault="00CE512F" w:rsidP="00CE512F">
      <w:pPr>
        <w:pStyle w:val="BullDivider2"/>
      </w:pPr>
    </w:p>
    <w:bookmarkEnd w:id="6"/>
    <w:p w14:paraId="149C4EB3" w14:textId="77777777" w:rsidR="00870743" w:rsidRPr="00CF2169" w:rsidRDefault="00870743" w:rsidP="00870743">
      <w:pPr>
        <w:rPr>
          <w:lang w:eastAsia="en-AU"/>
        </w:rPr>
      </w:pPr>
    </w:p>
    <w:p w14:paraId="4B83F647" w14:textId="63F76D27" w:rsidR="00870743" w:rsidRDefault="00870743" w:rsidP="00870743">
      <w:pPr>
        <w:pStyle w:val="Heading1"/>
      </w:pPr>
      <w:r>
        <w:t>Costs</w:t>
      </w:r>
    </w:p>
    <w:p w14:paraId="208BE60D" w14:textId="77777777" w:rsidR="00870743" w:rsidRPr="00EB6080" w:rsidRDefault="00870743" w:rsidP="00870743">
      <w:pPr>
        <w:rPr>
          <w:lang w:eastAsia="en-AU"/>
        </w:rPr>
      </w:pPr>
    </w:p>
    <w:p w14:paraId="3205358C" w14:textId="25583D3F" w:rsidR="00870743" w:rsidRDefault="00870743" w:rsidP="00870743">
      <w:pPr>
        <w:pStyle w:val="Heading2"/>
      </w:pPr>
      <w:r w:rsidRPr="0035094B">
        <w:t>Competition and Markets Authority v Flynn Pharma Ltd</w:t>
      </w:r>
      <w:r>
        <w:t xml:space="preserve"> &amp; Anor</w:t>
      </w:r>
      <w:r w:rsidR="00926E48">
        <w:t xml:space="preserve">; </w:t>
      </w:r>
      <w:r w:rsidR="00926E48" w:rsidRPr="00926E48">
        <w:t>Competition and Markets Authority v Pfizer Inc</w:t>
      </w:r>
      <w:r w:rsidR="00926E48">
        <w:t xml:space="preserve"> &amp; Anor</w:t>
      </w:r>
    </w:p>
    <w:p w14:paraId="0CE417E0" w14:textId="77777777" w:rsidR="00870743" w:rsidRDefault="00870743" w:rsidP="00870743">
      <w:pPr>
        <w:rPr>
          <w:lang w:eastAsia="en-AU"/>
        </w:rPr>
      </w:pPr>
      <w:r>
        <w:rPr>
          <w:b/>
          <w:bCs/>
          <w:lang w:eastAsia="en-AU"/>
        </w:rPr>
        <w:t>Supreme Court of the United Kingdom</w:t>
      </w:r>
      <w:r w:rsidRPr="006B0D58">
        <w:rPr>
          <w:b/>
          <w:bCs/>
          <w:lang w:eastAsia="en-AU"/>
        </w:rPr>
        <w:t>:</w:t>
      </w:r>
      <w:r>
        <w:rPr>
          <w:lang w:eastAsia="en-AU"/>
        </w:rPr>
        <w:t xml:space="preserve"> </w:t>
      </w:r>
      <w:hyperlink r:id="rId23" w:history="1">
        <w:r w:rsidRPr="00870743">
          <w:rPr>
            <w:rStyle w:val="Hyperlink"/>
          </w:rPr>
          <w:t>[2022] UKSC 14</w:t>
        </w:r>
      </w:hyperlink>
      <w:r>
        <w:t xml:space="preserve"> </w:t>
      </w:r>
    </w:p>
    <w:p w14:paraId="2574A1F3" w14:textId="77777777" w:rsidR="00870743" w:rsidRDefault="00870743" w:rsidP="00870743">
      <w:pPr>
        <w:rPr>
          <w:lang w:eastAsia="en-AU"/>
        </w:rPr>
      </w:pPr>
    </w:p>
    <w:p w14:paraId="0675BC40" w14:textId="77777777" w:rsidR="00870743" w:rsidRPr="00DB68FF" w:rsidRDefault="00870743" w:rsidP="00870743">
      <w:pPr>
        <w:rPr>
          <w:lang w:eastAsia="en-AU"/>
        </w:rPr>
      </w:pPr>
      <w:r>
        <w:rPr>
          <w:b/>
          <w:bCs/>
          <w:lang w:eastAsia="en-AU"/>
        </w:rPr>
        <w:t xml:space="preserve">Judgment delivered: </w:t>
      </w:r>
      <w:r>
        <w:rPr>
          <w:lang w:eastAsia="en-AU"/>
        </w:rPr>
        <w:t>25 May 2022</w:t>
      </w:r>
    </w:p>
    <w:p w14:paraId="6DC395F9" w14:textId="77777777" w:rsidR="00870743" w:rsidRDefault="00870743" w:rsidP="00870743">
      <w:pPr>
        <w:rPr>
          <w:b/>
          <w:bCs/>
          <w:lang w:eastAsia="en-AU"/>
        </w:rPr>
      </w:pPr>
    </w:p>
    <w:p w14:paraId="035D708A" w14:textId="77777777" w:rsidR="00870743" w:rsidRDefault="00870743" w:rsidP="00870743">
      <w:pPr>
        <w:rPr>
          <w:lang w:eastAsia="en-AU"/>
        </w:rPr>
      </w:pPr>
      <w:r>
        <w:rPr>
          <w:b/>
          <w:bCs/>
          <w:lang w:eastAsia="en-AU"/>
        </w:rPr>
        <w:t>Coram:</w:t>
      </w:r>
      <w:r w:rsidRPr="00DB68FF">
        <w:t xml:space="preserve"> </w:t>
      </w:r>
      <w:r w:rsidRPr="002717B0">
        <w:rPr>
          <w:lang w:eastAsia="en-AU"/>
        </w:rPr>
        <w:t xml:space="preserve">Lord </w:t>
      </w:r>
      <w:r>
        <w:rPr>
          <w:lang w:eastAsia="en-AU"/>
        </w:rPr>
        <w:t>Hodge</w:t>
      </w:r>
      <w:r w:rsidRPr="002717B0">
        <w:rPr>
          <w:lang w:eastAsia="en-AU"/>
        </w:rPr>
        <w:t xml:space="preserve">, </w:t>
      </w:r>
      <w:r>
        <w:rPr>
          <w:lang w:eastAsia="en-AU"/>
        </w:rPr>
        <w:t xml:space="preserve">Lord Sales, Lord Leggatt, Lord Stephens and Lady Rose </w:t>
      </w:r>
    </w:p>
    <w:p w14:paraId="32B31402" w14:textId="77777777" w:rsidR="00870743" w:rsidRDefault="00870743" w:rsidP="00870743">
      <w:pPr>
        <w:rPr>
          <w:b/>
          <w:bCs/>
          <w:lang w:eastAsia="en-AU"/>
        </w:rPr>
      </w:pPr>
    </w:p>
    <w:p w14:paraId="1B135B35" w14:textId="77777777" w:rsidR="00870743" w:rsidRDefault="00870743" w:rsidP="00870743">
      <w:pPr>
        <w:rPr>
          <w:b/>
          <w:bCs/>
          <w:lang w:eastAsia="en-AU"/>
        </w:rPr>
      </w:pPr>
      <w:r>
        <w:rPr>
          <w:b/>
          <w:bCs/>
          <w:lang w:eastAsia="en-AU"/>
        </w:rPr>
        <w:t>Catchwords:</w:t>
      </w:r>
    </w:p>
    <w:p w14:paraId="509EC8DC" w14:textId="77777777" w:rsidR="00870743" w:rsidRDefault="00870743" w:rsidP="00870743">
      <w:pPr>
        <w:rPr>
          <w:b/>
          <w:bCs/>
          <w:lang w:eastAsia="en-AU"/>
        </w:rPr>
      </w:pPr>
    </w:p>
    <w:p w14:paraId="06365EDE" w14:textId="191BB014" w:rsidR="00870743" w:rsidRDefault="00870743" w:rsidP="004D626C">
      <w:pPr>
        <w:pStyle w:val="Catchwords"/>
      </w:pPr>
      <w:r>
        <w:t>Costs – Tribunal</w:t>
      </w:r>
      <w:r w:rsidR="00A74661">
        <w:t>'</w:t>
      </w:r>
      <w:r>
        <w:t xml:space="preserve">s power </w:t>
      </w:r>
      <w:r w:rsidR="0018589E">
        <w:t xml:space="preserve">to make order </w:t>
      </w:r>
      <w:r>
        <w:t xml:space="preserve">– Principle from </w:t>
      </w:r>
      <w:r w:rsidRPr="00870743">
        <w:rPr>
          <w:i/>
          <w:iCs/>
        </w:rPr>
        <w:t>Bradford Metropolitan District Council v Booth</w:t>
      </w:r>
      <w:r w:rsidRPr="00870743">
        <w:t xml:space="preserve"> [2000] 164 JP 485</w:t>
      </w:r>
      <w:r w:rsidR="006B124F">
        <w:t xml:space="preserve"> </w:t>
      </w:r>
      <w:r w:rsidR="0018589E">
        <w:t>– Where appellants successful in appeal brought before Competition Appeal Tribunal (</w:t>
      </w:r>
      <w:r w:rsidR="00A74661">
        <w:t>"</w:t>
      </w:r>
      <w:r w:rsidR="0018589E">
        <w:t>CAT</w:t>
      </w:r>
      <w:r w:rsidR="00A74661">
        <w:t>"</w:t>
      </w:r>
      <w:r w:rsidR="0018589E">
        <w:t>) challenging decision adopted by respondent (</w:t>
      </w:r>
      <w:r w:rsidR="00A74661">
        <w:t>"</w:t>
      </w:r>
      <w:r w:rsidR="0018589E">
        <w:t>CMA</w:t>
      </w:r>
      <w:r w:rsidR="00A74661">
        <w:t>"</w:t>
      </w:r>
      <w:r w:rsidR="0018589E">
        <w:t>) – Where CAT allowed appellants</w:t>
      </w:r>
      <w:r w:rsidR="00A74661">
        <w:t>'</w:t>
      </w:r>
      <w:r w:rsidR="0018589E">
        <w:t xml:space="preserve"> appeal in part – Where, on appellants</w:t>
      </w:r>
      <w:r w:rsidR="00A74661">
        <w:t>'</w:t>
      </w:r>
      <w:r w:rsidR="0018589E">
        <w:t xml:space="preserve"> application for costs of appeal, CAT ordered CMA pay proportion of costs – Where Court of Appeal set aside CAT</w:t>
      </w:r>
      <w:r w:rsidR="00A74661">
        <w:t>'</w:t>
      </w:r>
      <w:r w:rsidR="0018589E">
        <w:t>s costs order and directed no order as to costs, holding CAT erred in ordering CMA to pay appellants</w:t>
      </w:r>
      <w:r w:rsidR="00A74661">
        <w:t>'</w:t>
      </w:r>
      <w:r w:rsidR="0018589E">
        <w:t xml:space="preserve"> costs because disregarded </w:t>
      </w:r>
      <w:r w:rsidR="004D626C">
        <w:t xml:space="preserve">principle derived from </w:t>
      </w:r>
      <w:r w:rsidR="004D626C">
        <w:rPr>
          <w:i/>
          <w:iCs/>
        </w:rPr>
        <w:t xml:space="preserve">Bradford </w:t>
      </w:r>
      <w:r w:rsidR="004D626C">
        <w:t xml:space="preserve">and subsequent cases – Where </w:t>
      </w:r>
      <w:r w:rsidR="004D626C">
        <w:rPr>
          <w:i/>
          <w:iCs/>
        </w:rPr>
        <w:t xml:space="preserve">Bradford </w:t>
      </w:r>
      <w:r w:rsidR="004D626C">
        <w:t>line of cases determined, where tribunal</w:t>
      </w:r>
      <w:r w:rsidR="00A74661">
        <w:t>'</w:t>
      </w:r>
      <w:r w:rsidR="004D626C">
        <w:t>s power to make costs order does not include express general rule or default position,</w:t>
      </w:r>
      <w:r w:rsidR="006B124F">
        <w:t xml:space="preserve"> </w:t>
      </w:r>
      <w:r w:rsidR="004D626C">
        <w:t>starting point no order for costs be made against public body unsuccessful in bringing or defending proceedings in exercise of statutory functions (</w:t>
      </w:r>
      <w:r w:rsidR="00A74661">
        <w:t>"</w:t>
      </w:r>
      <w:r w:rsidR="004D626C">
        <w:rPr>
          <w:i/>
          <w:iCs/>
        </w:rPr>
        <w:t xml:space="preserve">Bradford </w:t>
      </w:r>
      <w:r w:rsidR="004D626C">
        <w:t>principle</w:t>
      </w:r>
      <w:r w:rsidR="00A74661">
        <w:t>"</w:t>
      </w:r>
      <w:r w:rsidR="004D626C">
        <w:t>) – Whether CAT</w:t>
      </w:r>
      <w:r w:rsidR="00A74661">
        <w:t>'</w:t>
      </w:r>
      <w:r w:rsidR="004D626C">
        <w:t xml:space="preserve">s discretion as to costs constrained by </w:t>
      </w:r>
      <w:r w:rsidR="004D626C">
        <w:rPr>
          <w:i/>
          <w:iCs/>
        </w:rPr>
        <w:t xml:space="preserve">Bradford </w:t>
      </w:r>
      <w:r w:rsidR="004D626C">
        <w:t xml:space="preserve">principle. </w:t>
      </w:r>
    </w:p>
    <w:p w14:paraId="0E87B492" w14:textId="77777777" w:rsidR="004D626C" w:rsidRPr="004D626C" w:rsidRDefault="004D626C" w:rsidP="004D626C">
      <w:pPr>
        <w:pStyle w:val="Catchwords"/>
      </w:pPr>
    </w:p>
    <w:p w14:paraId="6EE22F81" w14:textId="006A08D0" w:rsidR="00870743" w:rsidRDefault="00870743" w:rsidP="00870743">
      <w:pPr>
        <w:rPr>
          <w:lang w:eastAsia="en-AU"/>
        </w:rPr>
      </w:pPr>
      <w:r>
        <w:rPr>
          <w:b/>
          <w:bCs/>
          <w:lang w:eastAsia="en-AU"/>
        </w:rPr>
        <w:t>Held (5:0):</w:t>
      </w:r>
      <w:r>
        <w:rPr>
          <w:lang w:eastAsia="en-AU"/>
        </w:rPr>
        <w:t xml:space="preserve"> Appeal</w:t>
      </w:r>
      <w:r w:rsidR="00926E48">
        <w:rPr>
          <w:lang w:eastAsia="en-AU"/>
        </w:rPr>
        <w:t>s</w:t>
      </w:r>
      <w:r>
        <w:rPr>
          <w:lang w:eastAsia="en-AU"/>
        </w:rPr>
        <w:t xml:space="preserve"> </w:t>
      </w:r>
      <w:r w:rsidR="004D626C">
        <w:rPr>
          <w:lang w:eastAsia="en-AU"/>
        </w:rPr>
        <w:t>allowed</w:t>
      </w:r>
      <w:r>
        <w:rPr>
          <w:lang w:eastAsia="en-AU"/>
        </w:rPr>
        <w:t xml:space="preserve">. </w:t>
      </w:r>
    </w:p>
    <w:p w14:paraId="7645654A" w14:textId="34AC6704" w:rsidR="00870743" w:rsidRDefault="00870743" w:rsidP="00870743">
      <w:pPr>
        <w:pStyle w:val="BullDivider2"/>
      </w:pPr>
    </w:p>
    <w:p w14:paraId="54F8CC75" w14:textId="77777777" w:rsidR="008035FC" w:rsidRPr="008035FC" w:rsidRDefault="008035FC" w:rsidP="008035FC">
      <w:pPr>
        <w:rPr>
          <w:lang w:eastAsia="en-AU"/>
        </w:rPr>
      </w:pPr>
    </w:p>
    <w:p w14:paraId="36AB10BB" w14:textId="6B9D3647" w:rsidR="00A22D93" w:rsidRDefault="00A22D93" w:rsidP="009556B8">
      <w:pPr>
        <w:pStyle w:val="Heading1"/>
      </w:pPr>
      <w:r>
        <w:t xml:space="preserve">Criminal Law </w:t>
      </w:r>
    </w:p>
    <w:p w14:paraId="0CCD1E86" w14:textId="77777777" w:rsidR="00A22D93" w:rsidRDefault="00A22D93" w:rsidP="00A22D93">
      <w:pPr>
        <w:rPr>
          <w:lang w:eastAsia="en-AU"/>
        </w:rPr>
      </w:pPr>
    </w:p>
    <w:p w14:paraId="3418C3A9" w14:textId="37EA5CD9" w:rsidR="00A22D93" w:rsidRDefault="00A22D93" w:rsidP="00A22D93">
      <w:pPr>
        <w:pStyle w:val="Heading2"/>
      </w:pPr>
      <w:r>
        <w:t xml:space="preserve">Brown v Davenport </w:t>
      </w:r>
    </w:p>
    <w:p w14:paraId="35170116" w14:textId="67290E07" w:rsidR="00A22D93" w:rsidRDefault="00A22D93" w:rsidP="00A22D93">
      <w:pPr>
        <w:rPr>
          <w:lang w:eastAsia="en-AU"/>
        </w:rPr>
      </w:pPr>
      <w:r>
        <w:rPr>
          <w:b/>
          <w:bCs/>
          <w:lang w:eastAsia="en-AU"/>
        </w:rPr>
        <w:t>Supreme Court of the United States</w:t>
      </w:r>
      <w:r w:rsidRPr="006B0D58">
        <w:rPr>
          <w:b/>
          <w:bCs/>
          <w:lang w:eastAsia="en-AU"/>
        </w:rPr>
        <w:t>:</w:t>
      </w:r>
      <w:r>
        <w:rPr>
          <w:lang w:eastAsia="en-AU"/>
        </w:rPr>
        <w:t xml:space="preserve"> </w:t>
      </w:r>
      <w:hyperlink r:id="rId24" w:history="1">
        <w:r w:rsidRPr="00A22D93">
          <w:rPr>
            <w:rStyle w:val="Hyperlink"/>
          </w:rPr>
          <w:t>Docket No. 20</w:t>
        </w:r>
        <w:r w:rsidR="00515F52" w:rsidRPr="00515F52">
          <w:rPr>
            <w:rStyle w:val="Hyperlink"/>
          </w:rPr>
          <w:t>–</w:t>
        </w:r>
        <w:r w:rsidRPr="00A22D93">
          <w:rPr>
            <w:rStyle w:val="Hyperlink"/>
          </w:rPr>
          <w:t>826</w:t>
        </w:r>
      </w:hyperlink>
    </w:p>
    <w:p w14:paraId="4E9188E6" w14:textId="77777777" w:rsidR="00A22D93" w:rsidRDefault="00A22D93" w:rsidP="00A22D93">
      <w:pPr>
        <w:rPr>
          <w:lang w:eastAsia="en-AU"/>
        </w:rPr>
      </w:pPr>
    </w:p>
    <w:p w14:paraId="403DCC93" w14:textId="4906151B" w:rsidR="00A22D93" w:rsidRPr="00DB68FF" w:rsidRDefault="00A22D93" w:rsidP="00A22D93">
      <w:pPr>
        <w:rPr>
          <w:lang w:eastAsia="en-AU"/>
        </w:rPr>
      </w:pPr>
      <w:r>
        <w:rPr>
          <w:b/>
          <w:bCs/>
          <w:lang w:eastAsia="en-AU"/>
        </w:rPr>
        <w:t xml:space="preserve">Judgment delivered: </w:t>
      </w:r>
      <w:r>
        <w:rPr>
          <w:lang w:eastAsia="en-AU"/>
        </w:rPr>
        <w:t xml:space="preserve">21 April 2022 </w:t>
      </w:r>
    </w:p>
    <w:p w14:paraId="1DDE0842" w14:textId="77777777" w:rsidR="00A22D93" w:rsidRDefault="00A22D93" w:rsidP="00A22D93">
      <w:pPr>
        <w:rPr>
          <w:b/>
          <w:bCs/>
          <w:lang w:eastAsia="en-AU"/>
        </w:rPr>
      </w:pPr>
    </w:p>
    <w:p w14:paraId="69EF922F" w14:textId="77777777" w:rsidR="00A22D93" w:rsidRDefault="00A22D93" w:rsidP="00A22D93">
      <w:pPr>
        <w:rPr>
          <w:lang w:eastAsia="en-AU"/>
        </w:rPr>
      </w:pPr>
      <w:r>
        <w:rPr>
          <w:b/>
          <w:bCs/>
          <w:lang w:eastAsia="en-AU"/>
        </w:rPr>
        <w:lastRenderedPageBreak/>
        <w:t>Coram:</w:t>
      </w:r>
      <w:r w:rsidRPr="00DB68FF">
        <w:t xml:space="preserve"> </w:t>
      </w:r>
      <w:r>
        <w:rPr>
          <w:lang w:eastAsia="en-AU"/>
        </w:rPr>
        <w:t xml:space="preserve">Roberts CJ, Thomas, </w:t>
      </w:r>
      <w:proofErr w:type="spellStart"/>
      <w:r>
        <w:rPr>
          <w:lang w:eastAsia="en-AU"/>
        </w:rPr>
        <w:t>Breyer</w:t>
      </w:r>
      <w:proofErr w:type="spellEnd"/>
      <w:r>
        <w:rPr>
          <w:lang w:eastAsia="en-AU"/>
        </w:rPr>
        <w:t>, Alito, Sotomayor, Kagan, Gorsuch,</w:t>
      </w:r>
    </w:p>
    <w:p w14:paraId="26C7F67C" w14:textId="77777777" w:rsidR="00A22D93" w:rsidRPr="00DB68FF" w:rsidRDefault="00A22D93" w:rsidP="00A22D93">
      <w:pPr>
        <w:rPr>
          <w:lang w:eastAsia="en-AU"/>
        </w:rPr>
      </w:pPr>
      <w:r>
        <w:rPr>
          <w:lang w:eastAsia="en-AU"/>
        </w:rPr>
        <w:t>Kavanaugh and Barrett JJ</w:t>
      </w:r>
    </w:p>
    <w:p w14:paraId="6047AB9E" w14:textId="77777777" w:rsidR="00A22D93" w:rsidRDefault="00A22D93" w:rsidP="00A22D93">
      <w:pPr>
        <w:rPr>
          <w:b/>
          <w:bCs/>
          <w:lang w:eastAsia="en-AU"/>
        </w:rPr>
      </w:pPr>
    </w:p>
    <w:p w14:paraId="388FAB8F" w14:textId="77777777" w:rsidR="00A22D93" w:rsidRDefault="00A22D93" w:rsidP="00A22D93">
      <w:pPr>
        <w:rPr>
          <w:b/>
          <w:bCs/>
          <w:lang w:eastAsia="en-AU"/>
        </w:rPr>
      </w:pPr>
      <w:r>
        <w:rPr>
          <w:b/>
          <w:bCs/>
          <w:lang w:eastAsia="en-AU"/>
        </w:rPr>
        <w:t>Catchwords:</w:t>
      </w:r>
    </w:p>
    <w:p w14:paraId="7AB55AA6" w14:textId="77777777" w:rsidR="00A22D93" w:rsidRDefault="00A22D93" w:rsidP="00A22D93">
      <w:pPr>
        <w:rPr>
          <w:b/>
          <w:bCs/>
          <w:lang w:eastAsia="en-AU"/>
        </w:rPr>
      </w:pPr>
    </w:p>
    <w:p w14:paraId="1A637A02" w14:textId="6F8EE977" w:rsidR="00A22D93" w:rsidRPr="00287D30" w:rsidRDefault="00A22D93" w:rsidP="004402FC">
      <w:pPr>
        <w:pStyle w:val="Catchwords"/>
      </w:pPr>
      <w:r w:rsidRPr="00287D30">
        <w:t xml:space="preserve">Criminal law – Fourteenth Amendment – Due process – Shackling of criminal defendant at trial – Where Davenport convicted of first-degree murder following jury </w:t>
      </w:r>
      <w:r w:rsidR="006B124F">
        <w:t>trial</w:t>
      </w:r>
      <w:r w:rsidRPr="00287D30">
        <w:t xml:space="preserve"> where, at times, </w:t>
      </w:r>
      <w:r w:rsidR="003A7630" w:rsidRPr="00287D30">
        <w:t>shackled at table with</w:t>
      </w:r>
      <w:r w:rsidR="006B124F">
        <w:t xml:space="preserve"> </w:t>
      </w:r>
      <w:r w:rsidR="003A7630" w:rsidRPr="00287D30">
        <w:t xml:space="preserve">privacy screen – Where, on appeal, Davenport argued conviction be set aside following </w:t>
      </w:r>
      <w:r w:rsidR="003A7630" w:rsidRPr="00287D30">
        <w:rPr>
          <w:i/>
          <w:iCs/>
        </w:rPr>
        <w:t>Deck v Missouri</w:t>
      </w:r>
      <w:r w:rsidR="00E26DE6">
        <w:t>,</w:t>
      </w:r>
      <w:r w:rsidR="000B1498" w:rsidRPr="00287D30">
        <w:t xml:space="preserve"> </w:t>
      </w:r>
      <w:r w:rsidR="003A7630" w:rsidRPr="00287D30">
        <w:t>544 US 622</w:t>
      </w:r>
      <w:r w:rsidR="000B1498" w:rsidRPr="00287D30">
        <w:t xml:space="preserve"> (2005)</w:t>
      </w:r>
      <w:r w:rsidR="003A7630" w:rsidRPr="00287D30">
        <w:t>, in which US Supreme Court held Fourteenth Amendment</w:t>
      </w:r>
      <w:r w:rsidR="00A74661">
        <w:t>'</w:t>
      </w:r>
      <w:r w:rsidR="003A7630" w:rsidRPr="00287D30">
        <w:t xml:space="preserve">s Due Process Clause generally forbids shackling criminal defendants at trial absent </w:t>
      </w:r>
      <w:r w:rsidR="00A74661">
        <w:t>"</w:t>
      </w:r>
      <w:r w:rsidR="003A7630" w:rsidRPr="00287D30">
        <w:t>special need</w:t>
      </w:r>
      <w:r w:rsidR="00A74661">
        <w:t>"</w:t>
      </w:r>
      <w:r w:rsidR="003A7630" w:rsidRPr="00287D30">
        <w:t xml:space="preserve"> – Where Michigan Supreme Court agreed trial court</w:t>
      </w:r>
      <w:r w:rsidR="00A74661">
        <w:t>'</w:t>
      </w:r>
      <w:r w:rsidR="003A7630" w:rsidRPr="00287D30">
        <w:t xml:space="preserve">s actions violated </w:t>
      </w:r>
      <w:r w:rsidR="003A7630" w:rsidRPr="00287D30">
        <w:rPr>
          <w:i/>
          <w:iCs/>
        </w:rPr>
        <w:t>Deck</w:t>
      </w:r>
      <w:r w:rsidR="000B1498" w:rsidRPr="00287D30">
        <w:t xml:space="preserve"> and sought to apply </w:t>
      </w:r>
      <w:r w:rsidR="000B1498" w:rsidRPr="00287D30">
        <w:rPr>
          <w:i/>
          <w:iCs/>
        </w:rPr>
        <w:t>Chapman v California</w:t>
      </w:r>
      <w:r w:rsidR="00E26DE6">
        <w:t>,</w:t>
      </w:r>
      <w:r w:rsidR="000B1498" w:rsidRPr="00287D30">
        <w:t xml:space="preserve"> 386 US 18 (1967) where US Supreme</w:t>
      </w:r>
      <w:r w:rsidR="00983C4D">
        <w:t xml:space="preserve"> </w:t>
      </w:r>
      <w:r w:rsidR="000B1498" w:rsidRPr="00287D30">
        <w:t>Court held preserved claim of constitutional error identified on direct appeal does not require reversal of conviction if prosecution can establish error harmless beyond reasonable doubt – Where Michigan Supreme Court remanded case to trial court with instructions to determine whether jury saw Davenport</w:t>
      </w:r>
      <w:r w:rsidR="00A74661">
        <w:t>'</w:t>
      </w:r>
      <w:r w:rsidR="000B1498" w:rsidRPr="00287D30">
        <w:t xml:space="preserve">s shackles and, if so, whether prosecution could demonstrate beyond reasonable doubt shackling did not contribute to verdict against defendant – Where five of twelve jurors remembered seeing restraints, but all testified shackles did not enter into deliberations or influence unanimous verdict – Where trial court found State had </w:t>
      </w:r>
      <w:r w:rsidR="001E764B" w:rsidRPr="00287D30">
        <w:t xml:space="preserve">discharged burden to show harmlessness beyond reasonable </w:t>
      </w:r>
      <w:r w:rsidR="006B124F">
        <w:t>doubt</w:t>
      </w:r>
      <w:r w:rsidR="001E764B" w:rsidRPr="00287D30">
        <w:t xml:space="preserve"> – Where subsequent appeal dismissed and Davenport sought relief in federal district court, filing habeas petition – Where, under </w:t>
      </w:r>
      <w:r w:rsidR="001E764B" w:rsidRPr="00287D30">
        <w:rPr>
          <w:i/>
          <w:iCs/>
        </w:rPr>
        <w:t>Antiterrorism and Effective Death Penalty Act of 1996</w:t>
      </w:r>
      <w:r w:rsidR="00E26DE6">
        <w:t>,</w:t>
      </w:r>
      <w:r w:rsidR="007F589C" w:rsidRPr="00287D30">
        <w:rPr>
          <w:i/>
          <w:iCs/>
        </w:rPr>
        <w:t xml:space="preserve"> </w:t>
      </w:r>
      <w:r w:rsidR="007F589C" w:rsidRPr="00287D30">
        <w:t>28 USC § 2254 (</w:t>
      </w:r>
      <w:r w:rsidR="00A74661">
        <w:t>"</w:t>
      </w:r>
      <w:r w:rsidR="007F589C" w:rsidRPr="00287D30">
        <w:t>AEDPA</w:t>
      </w:r>
      <w:r w:rsidR="00A74661">
        <w:t>"</w:t>
      </w:r>
      <w:r w:rsidR="007F589C" w:rsidRPr="00287D30">
        <w:t>)</w:t>
      </w:r>
      <w:r w:rsidR="001E764B" w:rsidRPr="00287D30">
        <w:t xml:space="preserve">, federal court may disturb final state-court conviction in narrow circumstances, relevantly, where habeas petitioner </w:t>
      </w:r>
      <w:r w:rsidR="007F589C" w:rsidRPr="00287D30">
        <w:t xml:space="preserve">shows decision either (1) </w:t>
      </w:r>
      <w:r w:rsidR="00A74661">
        <w:t>"</w:t>
      </w:r>
      <w:r w:rsidR="007F589C" w:rsidRPr="00287D30">
        <w:t>contrary to</w:t>
      </w:r>
      <w:r w:rsidR="00A74661">
        <w:t>"</w:t>
      </w:r>
      <w:r w:rsidR="007F589C" w:rsidRPr="00287D30">
        <w:t xml:space="preserve"> or </w:t>
      </w:r>
      <w:r w:rsidR="00A74661">
        <w:t>"</w:t>
      </w:r>
      <w:r w:rsidR="007F589C" w:rsidRPr="00287D30">
        <w:t>unreasonable application of</w:t>
      </w:r>
      <w:r w:rsidR="00A74661">
        <w:t>"</w:t>
      </w:r>
      <w:r w:rsidR="007F589C" w:rsidRPr="00287D30">
        <w:t xml:space="preserve"> clearly established federal law, or (2) based on </w:t>
      </w:r>
      <w:r w:rsidR="00A74661">
        <w:t>"</w:t>
      </w:r>
      <w:r w:rsidR="007F589C" w:rsidRPr="00287D30">
        <w:t>unreasonable determination of facts</w:t>
      </w:r>
      <w:r w:rsidR="00A74661">
        <w:t>"</w:t>
      </w:r>
      <w:r w:rsidR="007F589C" w:rsidRPr="00287D30">
        <w:t xml:space="preserve"> presented in state-court proceeding</w:t>
      </w:r>
      <w:r w:rsidR="001E764B" w:rsidRPr="00287D30">
        <w:t xml:space="preserve"> </w:t>
      </w:r>
      <w:r w:rsidR="007F589C" w:rsidRPr="00287D30">
        <w:t>– Where divided Sixth Circuit declined to analyse case under AEDPA</w:t>
      </w:r>
      <w:r w:rsidR="004402FC" w:rsidRPr="00287D30">
        <w:t xml:space="preserve">, instead holding review governed by </w:t>
      </w:r>
      <w:r w:rsidR="004402FC" w:rsidRPr="00287D30">
        <w:rPr>
          <w:i/>
          <w:iCs/>
        </w:rPr>
        <w:t>Brecht v Abrahamson</w:t>
      </w:r>
      <w:r w:rsidR="004402FC" w:rsidRPr="00287D30">
        <w:t xml:space="preserve">, 507 US 619 (1993), which held that state prisoner seeking to challenge conviction on basis </w:t>
      </w:r>
      <w:r w:rsidR="004402FC" w:rsidRPr="00287D30">
        <w:rPr>
          <w:i/>
          <w:iCs/>
        </w:rPr>
        <w:t>Chapman</w:t>
      </w:r>
      <w:r w:rsidR="004402FC" w:rsidRPr="00287D30">
        <w:t xml:space="preserve"> error must show error had </w:t>
      </w:r>
      <w:r w:rsidR="00A74661">
        <w:t>"</w:t>
      </w:r>
      <w:r w:rsidR="004402FC" w:rsidRPr="00287D30">
        <w:t>substantial and injurious effect or influence</w:t>
      </w:r>
      <w:r w:rsidR="00A74661">
        <w:t>"</w:t>
      </w:r>
      <w:r w:rsidR="004402FC" w:rsidRPr="00287D30">
        <w:t xml:space="preserve"> on trial</w:t>
      </w:r>
      <w:r w:rsidR="00A74661">
        <w:t>'</w:t>
      </w:r>
      <w:r w:rsidR="004402FC" w:rsidRPr="00287D30">
        <w:t xml:space="preserve">s outcome – Where Sixth Circuit, persuaded Davenport could satisfy </w:t>
      </w:r>
      <w:r w:rsidR="004402FC" w:rsidRPr="00287D30">
        <w:rPr>
          <w:i/>
          <w:iCs/>
        </w:rPr>
        <w:t>Brecht</w:t>
      </w:r>
      <w:r w:rsidR="004402FC" w:rsidRPr="00287D30">
        <w:t xml:space="preserve">, granted federal habeas relief </w:t>
      </w:r>
      <w:r w:rsidR="00287D30" w:rsidRPr="00287D30">
        <w:t>– Proper approach</w:t>
      </w:r>
      <w:r w:rsidR="00A74661">
        <w:t xml:space="preserve"> to</w:t>
      </w:r>
      <w:r w:rsidR="00287D30" w:rsidRPr="00287D30">
        <w:t xml:space="preserve"> tests in </w:t>
      </w:r>
      <w:r w:rsidR="00287D30" w:rsidRPr="00287D30">
        <w:rPr>
          <w:i/>
          <w:iCs/>
        </w:rPr>
        <w:t xml:space="preserve">Brecht </w:t>
      </w:r>
      <w:r w:rsidR="00287D30" w:rsidRPr="00287D30">
        <w:t>and AEDPA.</w:t>
      </w:r>
      <w:r w:rsidR="00287D30">
        <w:t xml:space="preserve"> </w:t>
      </w:r>
    </w:p>
    <w:p w14:paraId="754C612F" w14:textId="77777777" w:rsidR="00A22D93" w:rsidRDefault="00A22D93" w:rsidP="00A22D93">
      <w:pPr>
        <w:rPr>
          <w:b/>
          <w:bCs/>
          <w:lang w:eastAsia="en-AU"/>
        </w:rPr>
      </w:pPr>
    </w:p>
    <w:p w14:paraId="0E394CB3" w14:textId="07F4F240" w:rsidR="00A22D93" w:rsidRDefault="00A22D93" w:rsidP="00A22D93">
      <w:pPr>
        <w:rPr>
          <w:lang w:eastAsia="en-AU"/>
        </w:rPr>
      </w:pPr>
      <w:r>
        <w:rPr>
          <w:b/>
          <w:bCs/>
          <w:lang w:eastAsia="en-AU"/>
        </w:rPr>
        <w:t>Held (6:3):</w:t>
      </w:r>
      <w:r>
        <w:rPr>
          <w:lang w:eastAsia="en-AU"/>
        </w:rPr>
        <w:t xml:space="preserve"> </w:t>
      </w:r>
      <w:r w:rsidRPr="006C3EC7">
        <w:rPr>
          <w:lang w:eastAsia="en-AU"/>
        </w:rPr>
        <w:t xml:space="preserve">Judgment of </w:t>
      </w:r>
      <w:r>
        <w:rPr>
          <w:lang w:eastAsia="en-AU"/>
        </w:rPr>
        <w:t xml:space="preserve">Court of Appeals for the Sixth Circuit reversed. </w:t>
      </w:r>
    </w:p>
    <w:p w14:paraId="485CBEAE" w14:textId="5F34E7A9" w:rsidR="00A2764D" w:rsidRDefault="00A2764D" w:rsidP="00A2764D">
      <w:pPr>
        <w:pStyle w:val="BullDivider1"/>
      </w:pPr>
    </w:p>
    <w:p w14:paraId="0BA8389B" w14:textId="77777777" w:rsidR="008313C6" w:rsidRPr="008313C6" w:rsidRDefault="008313C6" w:rsidP="008313C6">
      <w:pPr>
        <w:rPr>
          <w:lang w:eastAsia="en-AU"/>
        </w:rPr>
      </w:pPr>
    </w:p>
    <w:p w14:paraId="6B0B43FF" w14:textId="37BD2437" w:rsidR="008313C6" w:rsidRPr="00DD0272" w:rsidRDefault="008313C6" w:rsidP="008313C6">
      <w:pPr>
        <w:keepNext/>
        <w:outlineLvl w:val="1"/>
        <w:rPr>
          <w:rFonts w:ascii="Arial" w:hAnsi="Arial" w:cs="Arial"/>
          <w:bCs/>
          <w:i/>
          <w:iCs/>
          <w:sz w:val="28"/>
          <w:szCs w:val="28"/>
          <w:lang w:eastAsia="en-AU"/>
        </w:rPr>
      </w:pPr>
      <w:r>
        <w:rPr>
          <w:rFonts w:ascii="Arial" w:hAnsi="Arial" w:cs="Arial"/>
          <w:bCs/>
          <w:i/>
          <w:iCs/>
          <w:sz w:val="28"/>
          <w:szCs w:val="28"/>
          <w:lang w:eastAsia="en-AU"/>
        </w:rPr>
        <w:t>HKSAR v Chan Kam Ching</w:t>
      </w:r>
    </w:p>
    <w:p w14:paraId="2A3C6D06" w14:textId="43216B9E" w:rsidR="008313C6" w:rsidRPr="00AB42F9" w:rsidRDefault="00AB42F9" w:rsidP="008313C6">
      <w:pPr>
        <w:rPr>
          <w:lang w:eastAsia="en-AU"/>
        </w:rPr>
      </w:pPr>
      <w:r w:rsidRPr="00AB42F9">
        <w:rPr>
          <w:b/>
          <w:bCs/>
          <w:lang w:eastAsia="en-AU"/>
        </w:rPr>
        <w:t>Hong Kong Court of Final Appeal:</w:t>
      </w:r>
      <w:r>
        <w:rPr>
          <w:b/>
          <w:bCs/>
          <w:lang w:eastAsia="en-AU"/>
        </w:rPr>
        <w:t xml:space="preserve"> </w:t>
      </w:r>
      <w:hyperlink r:id="rId25" w:history="1">
        <w:r w:rsidRPr="00563120">
          <w:rPr>
            <w:rStyle w:val="Hyperlink"/>
            <w:lang w:eastAsia="en-AU"/>
          </w:rPr>
          <w:t>[2022] HK</w:t>
        </w:r>
        <w:r w:rsidR="00563120" w:rsidRPr="00563120">
          <w:rPr>
            <w:rStyle w:val="Hyperlink"/>
            <w:lang w:eastAsia="en-AU"/>
          </w:rPr>
          <w:t>CFA 7</w:t>
        </w:r>
      </w:hyperlink>
    </w:p>
    <w:p w14:paraId="6B2F3B7F" w14:textId="77777777" w:rsidR="008313C6" w:rsidRPr="00DD0272" w:rsidRDefault="008313C6" w:rsidP="008313C6">
      <w:pPr>
        <w:rPr>
          <w:lang w:eastAsia="en-AU"/>
        </w:rPr>
      </w:pPr>
    </w:p>
    <w:p w14:paraId="0E0A5972" w14:textId="1803345C" w:rsidR="008313C6" w:rsidRPr="00DD0272" w:rsidRDefault="008313C6" w:rsidP="008313C6">
      <w:pPr>
        <w:rPr>
          <w:lang w:eastAsia="en-AU"/>
        </w:rPr>
      </w:pPr>
      <w:r w:rsidRPr="00DD0272">
        <w:rPr>
          <w:b/>
          <w:bCs/>
          <w:lang w:eastAsia="en-AU"/>
        </w:rPr>
        <w:t xml:space="preserve">Judgment delivered: </w:t>
      </w:r>
      <w:r w:rsidR="00563120">
        <w:rPr>
          <w:lang w:eastAsia="en-AU"/>
        </w:rPr>
        <w:t>14</w:t>
      </w:r>
      <w:r>
        <w:rPr>
          <w:lang w:eastAsia="en-AU"/>
        </w:rPr>
        <w:t xml:space="preserve"> April</w:t>
      </w:r>
      <w:r w:rsidRPr="00DD0272">
        <w:rPr>
          <w:lang w:eastAsia="en-AU"/>
        </w:rPr>
        <w:t xml:space="preserve"> 2022 </w:t>
      </w:r>
    </w:p>
    <w:p w14:paraId="3E1629E1" w14:textId="77777777" w:rsidR="008313C6" w:rsidRPr="00DD0272" w:rsidRDefault="008313C6" w:rsidP="008313C6">
      <w:pPr>
        <w:rPr>
          <w:b/>
          <w:bCs/>
          <w:lang w:eastAsia="en-AU"/>
        </w:rPr>
      </w:pPr>
    </w:p>
    <w:p w14:paraId="735170CE" w14:textId="3B04210C" w:rsidR="008313C6" w:rsidRDefault="008313C6" w:rsidP="008313C6">
      <w:pPr>
        <w:rPr>
          <w:lang w:eastAsia="en-AU"/>
        </w:rPr>
      </w:pPr>
      <w:r w:rsidRPr="00DD0272">
        <w:rPr>
          <w:b/>
          <w:bCs/>
          <w:lang w:eastAsia="en-AU"/>
        </w:rPr>
        <w:t>Coram:</w:t>
      </w:r>
      <w:r w:rsidRPr="00DD0272">
        <w:t xml:space="preserve"> </w:t>
      </w:r>
      <w:r w:rsidR="00563120" w:rsidRPr="00563120">
        <w:rPr>
          <w:lang w:eastAsia="en-AU"/>
        </w:rPr>
        <w:t xml:space="preserve">Cheung CJ, Ribeiro, </w:t>
      </w:r>
      <w:r w:rsidR="00563120">
        <w:rPr>
          <w:lang w:eastAsia="en-AU"/>
        </w:rPr>
        <w:t>Fok</w:t>
      </w:r>
      <w:r w:rsidR="00563120" w:rsidRPr="00563120">
        <w:rPr>
          <w:lang w:eastAsia="en-AU"/>
        </w:rPr>
        <w:t xml:space="preserve">, </w:t>
      </w:r>
      <w:r w:rsidR="00563120">
        <w:rPr>
          <w:lang w:eastAsia="en-AU"/>
        </w:rPr>
        <w:t>Lam PJJ</w:t>
      </w:r>
      <w:r w:rsidR="00563120" w:rsidRPr="00563120">
        <w:rPr>
          <w:lang w:eastAsia="en-AU"/>
        </w:rPr>
        <w:t xml:space="preserve"> and Lord Phillips</w:t>
      </w:r>
      <w:r w:rsidR="00563120">
        <w:rPr>
          <w:lang w:eastAsia="en-AU"/>
        </w:rPr>
        <w:t xml:space="preserve"> </w:t>
      </w:r>
      <w:r w:rsidR="00563120" w:rsidRPr="00563120">
        <w:rPr>
          <w:lang w:eastAsia="en-AU"/>
        </w:rPr>
        <w:t>NPJ</w:t>
      </w:r>
    </w:p>
    <w:p w14:paraId="16618766" w14:textId="77777777" w:rsidR="008313C6" w:rsidRPr="00DD0272" w:rsidRDefault="008313C6" w:rsidP="008313C6">
      <w:pPr>
        <w:rPr>
          <w:b/>
          <w:bCs/>
          <w:lang w:eastAsia="en-AU"/>
        </w:rPr>
      </w:pPr>
    </w:p>
    <w:p w14:paraId="36941192" w14:textId="77777777" w:rsidR="008313C6" w:rsidRPr="00DD0272" w:rsidRDefault="008313C6" w:rsidP="008313C6">
      <w:pPr>
        <w:rPr>
          <w:b/>
          <w:bCs/>
          <w:lang w:eastAsia="en-AU"/>
        </w:rPr>
      </w:pPr>
      <w:r w:rsidRPr="00DD0272">
        <w:rPr>
          <w:b/>
          <w:bCs/>
          <w:lang w:eastAsia="en-AU"/>
        </w:rPr>
        <w:t>Catchwords:</w:t>
      </w:r>
    </w:p>
    <w:p w14:paraId="6972ECBF" w14:textId="77777777" w:rsidR="008313C6" w:rsidRPr="00DD0272" w:rsidRDefault="008313C6" w:rsidP="008313C6">
      <w:pPr>
        <w:rPr>
          <w:b/>
          <w:bCs/>
          <w:lang w:eastAsia="en-AU"/>
        </w:rPr>
      </w:pPr>
    </w:p>
    <w:p w14:paraId="78F14C00" w14:textId="3469292C" w:rsidR="008313C6" w:rsidRDefault="008313C6" w:rsidP="008313C6">
      <w:pPr>
        <w:ind w:left="720"/>
        <w:rPr>
          <w:lang w:eastAsia="en-AU"/>
        </w:rPr>
      </w:pPr>
      <w:r>
        <w:rPr>
          <w:lang w:eastAsia="en-AU"/>
        </w:rPr>
        <w:lastRenderedPageBreak/>
        <w:t xml:space="preserve">Criminal </w:t>
      </w:r>
      <w:r w:rsidRPr="00A2764D">
        <w:rPr>
          <w:lang w:eastAsia="en-AU"/>
        </w:rPr>
        <w:t xml:space="preserve">law </w:t>
      </w:r>
      <w:r>
        <w:rPr>
          <w:lang w:eastAsia="en-AU"/>
        </w:rPr>
        <w:t>–</w:t>
      </w:r>
      <w:r w:rsidR="00AE0A2E">
        <w:rPr>
          <w:lang w:eastAsia="en-AU"/>
        </w:rPr>
        <w:t xml:space="preserve"> </w:t>
      </w:r>
      <w:r w:rsidR="00563120">
        <w:rPr>
          <w:lang w:eastAsia="en-AU"/>
        </w:rPr>
        <w:t>Substitution</w:t>
      </w:r>
      <w:r w:rsidR="00515A03">
        <w:rPr>
          <w:lang w:eastAsia="en-AU"/>
        </w:rPr>
        <w:t xml:space="preserve"> </w:t>
      </w:r>
      <w:r w:rsidR="00563120">
        <w:rPr>
          <w:lang w:eastAsia="en-AU"/>
        </w:rPr>
        <w:t xml:space="preserve">of </w:t>
      </w:r>
      <w:r w:rsidR="00515A03">
        <w:rPr>
          <w:lang w:eastAsia="en-AU"/>
        </w:rPr>
        <w:t>conviction of offence –</w:t>
      </w:r>
      <w:r w:rsidR="00515A03" w:rsidRPr="00515A03">
        <w:rPr>
          <w:lang w:eastAsia="en-AU"/>
        </w:rPr>
        <w:t xml:space="preserve"> </w:t>
      </w:r>
      <w:r w:rsidR="00515A03">
        <w:rPr>
          <w:lang w:eastAsia="en-AU"/>
        </w:rPr>
        <w:t xml:space="preserve">Forgery – </w:t>
      </w:r>
      <w:r w:rsidR="00AE0A2E">
        <w:rPr>
          <w:lang w:eastAsia="en-AU"/>
        </w:rPr>
        <w:t>Fraud</w:t>
      </w:r>
      <w:r w:rsidR="00515A03">
        <w:rPr>
          <w:lang w:eastAsia="en-AU"/>
        </w:rPr>
        <w:t xml:space="preserve"> – Dishonesty </w:t>
      </w:r>
      <w:r w:rsidR="00B60B68">
        <w:rPr>
          <w:lang w:eastAsia="en-AU"/>
        </w:rPr>
        <w:t>–</w:t>
      </w:r>
      <w:r w:rsidR="00515A03">
        <w:rPr>
          <w:lang w:eastAsia="en-AU"/>
        </w:rPr>
        <w:t xml:space="preserve"> </w:t>
      </w:r>
      <w:r w:rsidR="00B60B68">
        <w:rPr>
          <w:lang w:eastAsia="en-AU"/>
        </w:rPr>
        <w:t>Where appellant convicted of using false instrument and using copy of false instrument contrary to ss 73 and 74 of Crimes Ordinance in dealing with client</w:t>
      </w:r>
      <w:r w:rsidR="00A74661">
        <w:rPr>
          <w:lang w:eastAsia="en-AU"/>
        </w:rPr>
        <w:t>'</w:t>
      </w:r>
      <w:r w:rsidR="00B60B68">
        <w:rPr>
          <w:lang w:eastAsia="en-AU"/>
        </w:rPr>
        <w:t xml:space="preserve">s property – Where ss 73 and 74 provided </w:t>
      </w:r>
      <w:r w:rsidR="00B60B68" w:rsidRPr="00B60B68">
        <w:rPr>
          <w:lang w:eastAsia="en-AU"/>
        </w:rPr>
        <w:t xml:space="preserve">person who uses instrument </w:t>
      </w:r>
      <w:r w:rsidR="00B60B68">
        <w:rPr>
          <w:lang w:eastAsia="en-AU"/>
        </w:rPr>
        <w:t xml:space="preserve">or copy of instrument </w:t>
      </w:r>
      <w:r w:rsidR="00B60B68" w:rsidRPr="00B60B68">
        <w:rPr>
          <w:lang w:eastAsia="en-AU"/>
        </w:rPr>
        <w:t xml:space="preserve">which is, and which </w:t>
      </w:r>
      <w:r w:rsidR="00D16E16">
        <w:rPr>
          <w:lang w:eastAsia="en-AU"/>
        </w:rPr>
        <w:t xml:space="preserve">person </w:t>
      </w:r>
      <w:r w:rsidR="00B60B68" w:rsidRPr="00B60B68">
        <w:rPr>
          <w:lang w:eastAsia="en-AU"/>
        </w:rPr>
        <w:t xml:space="preserve">knows to be, false, with intention of inducing </w:t>
      </w:r>
      <w:r w:rsidR="00B60B68">
        <w:rPr>
          <w:lang w:eastAsia="en-AU"/>
        </w:rPr>
        <w:t xml:space="preserve">acceptance </w:t>
      </w:r>
      <w:r w:rsidR="00B60B68" w:rsidRPr="00B60B68">
        <w:rPr>
          <w:lang w:eastAsia="en-AU"/>
        </w:rPr>
        <w:t xml:space="preserve">as genuine, commits offence </w:t>
      </w:r>
      <w:r w:rsidR="00B60B68">
        <w:rPr>
          <w:lang w:eastAsia="en-AU"/>
        </w:rPr>
        <w:t xml:space="preserve">– Where </w:t>
      </w:r>
      <w:proofErr w:type="spellStart"/>
      <w:r w:rsidR="00B60B68" w:rsidRPr="00ED59BD">
        <w:rPr>
          <w:i/>
          <w:iCs/>
          <w:lang w:eastAsia="en-AU"/>
        </w:rPr>
        <w:t>mens</w:t>
      </w:r>
      <w:proofErr w:type="spellEnd"/>
      <w:r w:rsidR="00B60B68" w:rsidRPr="00ED59BD">
        <w:rPr>
          <w:i/>
          <w:iCs/>
          <w:lang w:eastAsia="en-AU"/>
        </w:rPr>
        <w:t xml:space="preserve"> rea</w:t>
      </w:r>
      <w:r w:rsidR="00B60B68">
        <w:rPr>
          <w:lang w:eastAsia="en-AU"/>
        </w:rPr>
        <w:t xml:space="preserve"> for ss 73 and 74 required knowledge of falsity – Whether instrument </w:t>
      </w:r>
      <w:r w:rsidR="00A74661">
        <w:rPr>
          <w:lang w:eastAsia="en-AU"/>
        </w:rPr>
        <w:t>"</w:t>
      </w:r>
      <w:r w:rsidR="00B60B68">
        <w:rPr>
          <w:lang w:eastAsia="en-AU"/>
        </w:rPr>
        <w:t>false</w:t>
      </w:r>
      <w:r w:rsidR="00A74661">
        <w:rPr>
          <w:lang w:eastAsia="en-AU"/>
        </w:rPr>
        <w:t>"</w:t>
      </w:r>
      <w:r w:rsidR="00B60B68">
        <w:rPr>
          <w:lang w:eastAsia="en-AU"/>
        </w:rPr>
        <w:t xml:space="preserve"> – Whether, if instrument not </w:t>
      </w:r>
      <w:r w:rsidR="00A74661">
        <w:rPr>
          <w:lang w:eastAsia="en-AU"/>
        </w:rPr>
        <w:t>"</w:t>
      </w:r>
      <w:r w:rsidR="00B60B68">
        <w:rPr>
          <w:lang w:eastAsia="en-AU"/>
        </w:rPr>
        <w:t>false</w:t>
      </w:r>
      <w:r w:rsidR="00A74661">
        <w:rPr>
          <w:lang w:eastAsia="en-AU"/>
        </w:rPr>
        <w:t>"</w:t>
      </w:r>
      <w:r w:rsidR="00B60B68">
        <w:rPr>
          <w:lang w:eastAsia="en-AU"/>
        </w:rPr>
        <w:t xml:space="preserve">, conviction for other offence should be substituted – Whether offence of </w:t>
      </w:r>
      <w:r w:rsidR="00AE0A2E" w:rsidRPr="00AE0A2E">
        <w:rPr>
          <w:lang w:eastAsia="en-AU"/>
        </w:rPr>
        <w:t xml:space="preserve">conviction for fraud contrary to </w:t>
      </w:r>
      <w:r w:rsidR="00AE0A2E">
        <w:rPr>
          <w:lang w:eastAsia="en-AU"/>
        </w:rPr>
        <w:t>s</w:t>
      </w:r>
      <w:r w:rsidR="00AE0A2E" w:rsidRPr="00AE0A2E">
        <w:rPr>
          <w:lang w:eastAsia="en-AU"/>
        </w:rPr>
        <w:t xml:space="preserve"> 16A</w:t>
      </w:r>
      <w:r w:rsidR="00AE0A2E">
        <w:rPr>
          <w:lang w:eastAsia="en-AU"/>
        </w:rPr>
        <w:t xml:space="preserve"> of Theft Ordinance should be substituted where </w:t>
      </w:r>
      <w:r w:rsidR="00931079">
        <w:rPr>
          <w:lang w:eastAsia="en-AU"/>
        </w:rPr>
        <w:t xml:space="preserve">s 16A </w:t>
      </w:r>
      <w:r w:rsidR="00A74661">
        <w:rPr>
          <w:lang w:eastAsia="en-AU"/>
        </w:rPr>
        <w:t>requires proof</w:t>
      </w:r>
      <w:r w:rsidR="00AE0A2E">
        <w:rPr>
          <w:lang w:eastAsia="en-AU"/>
        </w:rPr>
        <w:t xml:space="preserve"> of deceit. </w:t>
      </w:r>
    </w:p>
    <w:p w14:paraId="5BFD9C6D" w14:textId="77777777" w:rsidR="008313C6" w:rsidRPr="00DD0272" w:rsidRDefault="008313C6" w:rsidP="008313C6">
      <w:pPr>
        <w:ind w:left="720"/>
        <w:rPr>
          <w:b/>
          <w:bCs/>
          <w:lang w:eastAsia="en-AU"/>
        </w:rPr>
      </w:pPr>
    </w:p>
    <w:p w14:paraId="2B66E853" w14:textId="6FE2DBCA" w:rsidR="008313C6" w:rsidRDefault="008313C6" w:rsidP="008313C6">
      <w:pPr>
        <w:rPr>
          <w:lang w:eastAsia="en-AU"/>
        </w:rPr>
      </w:pPr>
      <w:r w:rsidRPr="00DD0272">
        <w:rPr>
          <w:b/>
          <w:bCs/>
          <w:lang w:eastAsia="en-AU"/>
        </w:rPr>
        <w:t>Held (</w:t>
      </w:r>
      <w:r w:rsidR="00563120">
        <w:rPr>
          <w:b/>
          <w:bCs/>
          <w:lang w:eastAsia="en-AU"/>
        </w:rPr>
        <w:t>5</w:t>
      </w:r>
      <w:r w:rsidRPr="00DD0272">
        <w:rPr>
          <w:b/>
          <w:bCs/>
          <w:lang w:eastAsia="en-AU"/>
        </w:rPr>
        <w:t>:</w:t>
      </w:r>
      <w:r>
        <w:rPr>
          <w:b/>
          <w:bCs/>
          <w:lang w:eastAsia="en-AU"/>
        </w:rPr>
        <w:t>0</w:t>
      </w:r>
      <w:r w:rsidRPr="00DD0272">
        <w:rPr>
          <w:b/>
          <w:bCs/>
          <w:lang w:eastAsia="en-AU"/>
        </w:rPr>
        <w:t>):</w:t>
      </w:r>
      <w:r w:rsidRPr="00DD0272">
        <w:rPr>
          <w:lang w:eastAsia="en-AU"/>
        </w:rPr>
        <w:t xml:space="preserve"> Appeal </w:t>
      </w:r>
      <w:r w:rsidR="00563120">
        <w:rPr>
          <w:lang w:eastAsia="en-AU"/>
        </w:rPr>
        <w:t>allowed</w:t>
      </w:r>
      <w:r w:rsidRPr="00DD0272">
        <w:rPr>
          <w:lang w:eastAsia="en-AU"/>
        </w:rPr>
        <w:t xml:space="preserve">. </w:t>
      </w:r>
    </w:p>
    <w:p w14:paraId="25EB931E" w14:textId="77777777" w:rsidR="008313C6" w:rsidRDefault="008313C6" w:rsidP="008313C6">
      <w:pPr>
        <w:pStyle w:val="BullDivider1"/>
      </w:pPr>
    </w:p>
    <w:p w14:paraId="290C05B5" w14:textId="77777777" w:rsidR="00A2764D" w:rsidRPr="00A2764D" w:rsidRDefault="00A2764D" w:rsidP="00A2764D">
      <w:pPr>
        <w:rPr>
          <w:lang w:eastAsia="en-AU"/>
        </w:rPr>
      </w:pPr>
    </w:p>
    <w:p w14:paraId="4D43CB31" w14:textId="1EB7B8C9" w:rsidR="00A2764D" w:rsidRPr="00DD0272" w:rsidRDefault="00A2764D" w:rsidP="00A2764D">
      <w:pPr>
        <w:keepNext/>
        <w:outlineLvl w:val="1"/>
        <w:rPr>
          <w:rFonts w:ascii="Arial" w:hAnsi="Arial" w:cs="Arial"/>
          <w:bCs/>
          <w:i/>
          <w:iCs/>
          <w:sz w:val="28"/>
          <w:szCs w:val="28"/>
          <w:lang w:eastAsia="en-AU"/>
        </w:rPr>
      </w:pPr>
      <w:r>
        <w:rPr>
          <w:rFonts w:ascii="Arial" w:hAnsi="Arial" w:cs="Arial"/>
          <w:bCs/>
          <w:i/>
          <w:iCs/>
          <w:sz w:val="28"/>
          <w:szCs w:val="28"/>
          <w:lang w:eastAsia="en-AU"/>
        </w:rPr>
        <w:t xml:space="preserve">R v JD </w:t>
      </w:r>
    </w:p>
    <w:p w14:paraId="3CD6F9DB" w14:textId="51DA5C07" w:rsidR="00A2764D" w:rsidRPr="00DD0272" w:rsidRDefault="00A2764D" w:rsidP="00A2764D">
      <w:pPr>
        <w:rPr>
          <w:lang w:eastAsia="en-AU"/>
        </w:rPr>
      </w:pPr>
      <w:r w:rsidRPr="00DD0272">
        <w:rPr>
          <w:b/>
          <w:bCs/>
          <w:lang w:eastAsia="en-AU"/>
        </w:rPr>
        <w:t>Supreme Court of Canada:</w:t>
      </w:r>
      <w:r w:rsidRPr="00DD0272">
        <w:rPr>
          <w:lang w:eastAsia="en-AU"/>
        </w:rPr>
        <w:t xml:space="preserve"> </w:t>
      </w:r>
      <w:hyperlink r:id="rId26" w:history="1">
        <w:r>
          <w:rPr>
            <w:rStyle w:val="Hyperlink"/>
            <w:lang w:eastAsia="en-AU"/>
          </w:rPr>
          <w:t>[2022] SCC 15</w:t>
        </w:r>
      </w:hyperlink>
    </w:p>
    <w:p w14:paraId="1E3C2558" w14:textId="77777777" w:rsidR="00A2764D" w:rsidRPr="00DD0272" w:rsidRDefault="00A2764D" w:rsidP="00A2764D">
      <w:pPr>
        <w:rPr>
          <w:lang w:eastAsia="en-AU"/>
        </w:rPr>
      </w:pPr>
    </w:p>
    <w:p w14:paraId="04717232" w14:textId="3B0E6625" w:rsidR="00A2764D" w:rsidRPr="00DD0272" w:rsidRDefault="00A2764D" w:rsidP="00A2764D">
      <w:pPr>
        <w:rPr>
          <w:lang w:eastAsia="en-AU"/>
        </w:rPr>
      </w:pPr>
      <w:r w:rsidRPr="00DD0272">
        <w:rPr>
          <w:b/>
          <w:bCs/>
          <w:lang w:eastAsia="en-AU"/>
        </w:rPr>
        <w:t xml:space="preserve">Judgment delivered: </w:t>
      </w:r>
      <w:r>
        <w:rPr>
          <w:lang w:eastAsia="en-AU"/>
        </w:rPr>
        <w:t>22 April</w:t>
      </w:r>
      <w:r w:rsidRPr="00DD0272">
        <w:rPr>
          <w:lang w:eastAsia="en-AU"/>
        </w:rPr>
        <w:t xml:space="preserve"> 2022 </w:t>
      </w:r>
    </w:p>
    <w:p w14:paraId="0F3697BF" w14:textId="77777777" w:rsidR="00A2764D" w:rsidRPr="00DD0272" w:rsidRDefault="00A2764D" w:rsidP="00A2764D">
      <w:pPr>
        <w:rPr>
          <w:b/>
          <w:bCs/>
          <w:lang w:eastAsia="en-AU"/>
        </w:rPr>
      </w:pPr>
    </w:p>
    <w:p w14:paraId="05AB5254" w14:textId="67BA2CDF" w:rsidR="00A2764D" w:rsidRDefault="00A2764D" w:rsidP="00A2764D">
      <w:pPr>
        <w:rPr>
          <w:lang w:eastAsia="en-AU"/>
        </w:rPr>
      </w:pPr>
      <w:r w:rsidRPr="00DD0272">
        <w:rPr>
          <w:b/>
          <w:bCs/>
          <w:lang w:eastAsia="en-AU"/>
        </w:rPr>
        <w:t>Coram:</w:t>
      </w:r>
      <w:r w:rsidRPr="00DD0272">
        <w:t xml:space="preserve"> </w:t>
      </w:r>
      <w:r w:rsidRPr="00A2764D">
        <w:rPr>
          <w:lang w:eastAsia="en-AU"/>
        </w:rPr>
        <w:t xml:space="preserve">Wagner CJ, </w:t>
      </w:r>
      <w:proofErr w:type="spellStart"/>
      <w:r w:rsidRPr="00A2764D">
        <w:rPr>
          <w:lang w:eastAsia="en-AU"/>
        </w:rPr>
        <w:t>Moldaver</w:t>
      </w:r>
      <w:proofErr w:type="spellEnd"/>
      <w:r w:rsidRPr="00A2764D">
        <w:rPr>
          <w:lang w:eastAsia="en-AU"/>
        </w:rPr>
        <w:t xml:space="preserve">, Karakatsanis, </w:t>
      </w:r>
      <w:proofErr w:type="spellStart"/>
      <w:r w:rsidRPr="00A2764D">
        <w:rPr>
          <w:lang w:eastAsia="en-AU"/>
        </w:rPr>
        <w:t>Côté</w:t>
      </w:r>
      <w:proofErr w:type="spellEnd"/>
      <w:r w:rsidRPr="00A2764D">
        <w:rPr>
          <w:lang w:eastAsia="en-AU"/>
        </w:rPr>
        <w:t xml:space="preserve">, Brown, Rowe, Martin, </w:t>
      </w:r>
      <w:proofErr w:type="spellStart"/>
      <w:r w:rsidRPr="00A2764D">
        <w:rPr>
          <w:lang w:eastAsia="en-AU"/>
        </w:rPr>
        <w:t>Kasirer</w:t>
      </w:r>
      <w:proofErr w:type="spellEnd"/>
      <w:r w:rsidRPr="00A2764D">
        <w:rPr>
          <w:lang w:eastAsia="en-AU"/>
        </w:rPr>
        <w:t xml:space="preserve"> and Jamal JJ</w:t>
      </w:r>
    </w:p>
    <w:p w14:paraId="6C5842CC" w14:textId="77777777" w:rsidR="00A2764D" w:rsidRPr="00DD0272" w:rsidRDefault="00A2764D" w:rsidP="00A2764D">
      <w:pPr>
        <w:rPr>
          <w:b/>
          <w:bCs/>
          <w:lang w:eastAsia="en-AU"/>
        </w:rPr>
      </w:pPr>
    </w:p>
    <w:p w14:paraId="18821B43" w14:textId="77777777" w:rsidR="00A2764D" w:rsidRPr="00DD0272" w:rsidRDefault="00A2764D" w:rsidP="00A2764D">
      <w:pPr>
        <w:rPr>
          <w:b/>
          <w:bCs/>
          <w:lang w:eastAsia="en-AU"/>
        </w:rPr>
      </w:pPr>
      <w:r w:rsidRPr="00DD0272">
        <w:rPr>
          <w:b/>
          <w:bCs/>
          <w:lang w:eastAsia="en-AU"/>
        </w:rPr>
        <w:t>Catchwords:</w:t>
      </w:r>
    </w:p>
    <w:p w14:paraId="525C9C66" w14:textId="77777777" w:rsidR="00A2764D" w:rsidRPr="00DD0272" w:rsidRDefault="00A2764D" w:rsidP="00A2764D">
      <w:pPr>
        <w:rPr>
          <w:b/>
          <w:bCs/>
          <w:lang w:eastAsia="en-AU"/>
        </w:rPr>
      </w:pPr>
    </w:p>
    <w:p w14:paraId="45E8E4B3" w14:textId="2A756A5C" w:rsidR="00A2764D" w:rsidRDefault="00A2764D" w:rsidP="00A2764D">
      <w:pPr>
        <w:ind w:left="720"/>
        <w:rPr>
          <w:lang w:eastAsia="en-AU"/>
        </w:rPr>
      </w:pPr>
      <w:r>
        <w:rPr>
          <w:lang w:eastAsia="en-AU"/>
        </w:rPr>
        <w:t xml:space="preserve">Criminal </w:t>
      </w:r>
      <w:r w:rsidRPr="00A2764D">
        <w:rPr>
          <w:lang w:eastAsia="en-AU"/>
        </w:rPr>
        <w:t xml:space="preserve">law </w:t>
      </w:r>
      <w:r w:rsidR="00983C4D">
        <w:rPr>
          <w:lang w:eastAsia="en-AU"/>
        </w:rPr>
        <w:t>–</w:t>
      </w:r>
      <w:r w:rsidRPr="00A2764D">
        <w:rPr>
          <w:lang w:eastAsia="en-AU"/>
        </w:rPr>
        <w:t xml:space="preserve"> Trial </w:t>
      </w:r>
      <w:r w:rsidR="00983C4D">
        <w:rPr>
          <w:lang w:eastAsia="en-AU"/>
        </w:rPr>
        <w:t>–</w:t>
      </w:r>
      <w:r w:rsidRPr="00A2764D">
        <w:rPr>
          <w:lang w:eastAsia="en-AU"/>
        </w:rPr>
        <w:t xml:space="preserve"> Continuation of proceedings before another judge </w:t>
      </w:r>
      <w:r w:rsidR="00983C4D">
        <w:rPr>
          <w:lang w:eastAsia="en-AU"/>
        </w:rPr>
        <w:t>–</w:t>
      </w:r>
      <w:r w:rsidRPr="00A2764D">
        <w:rPr>
          <w:lang w:eastAsia="en-AU"/>
        </w:rPr>
        <w:t xml:space="preserve"> Evidence </w:t>
      </w:r>
      <w:r w:rsidR="00983C4D">
        <w:rPr>
          <w:lang w:eastAsia="en-AU"/>
        </w:rPr>
        <w:t>–</w:t>
      </w:r>
      <w:r w:rsidRPr="00A2764D">
        <w:rPr>
          <w:lang w:eastAsia="en-AU"/>
        </w:rPr>
        <w:t xml:space="preserve"> Admissibility </w:t>
      </w:r>
      <w:r w:rsidR="00983C4D">
        <w:rPr>
          <w:lang w:eastAsia="en-AU"/>
        </w:rPr>
        <w:t>–</w:t>
      </w:r>
      <w:r w:rsidRPr="00A2764D">
        <w:rPr>
          <w:lang w:eastAsia="en-AU"/>
        </w:rPr>
        <w:t xml:space="preserve"> </w:t>
      </w:r>
      <w:r w:rsidR="00322644">
        <w:rPr>
          <w:lang w:eastAsia="en-AU"/>
        </w:rPr>
        <w:t xml:space="preserve">Where </w:t>
      </w:r>
      <w:r w:rsidR="00322644" w:rsidRPr="00322644">
        <w:rPr>
          <w:lang w:eastAsia="en-AU"/>
        </w:rPr>
        <w:t>transcripts of testimony from first trial filed with consent of parties</w:t>
      </w:r>
      <w:r w:rsidR="00322644">
        <w:rPr>
          <w:lang w:eastAsia="en-AU"/>
        </w:rPr>
        <w:t xml:space="preserve"> as evidence on merits in trial – Proper approach to l</w:t>
      </w:r>
      <w:r w:rsidRPr="00A2764D">
        <w:rPr>
          <w:lang w:eastAsia="en-AU"/>
        </w:rPr>
        <w:t>egal framework governing admissibility in evidence in trial commenced again</w:t>
      </w:r>
      <w:r w:rsidR="00322644">
        <w:rPr>
          <w:lang w:eastAsia="en-AU"/>
        </w:rPr>
        <w:t xml:space="preserve"> </w:t>
      </w:r>
      <w:r w:rsidR="00983C4D">
        <w:rPr>
          <w:lang w:eastAsia="en-AU"/>
        </w:rPr>
        <w:t>–</w:t>
      </w:r>
      <w:r w:rsidRPr="00A2764D">
        <w:rPr>
          <w:lang w:eastAsia="en-AU"/>
        </w:rPr>
        <w:t xml:space="preserve"> </w:t>
      </w:r>
      <w:r w:rsidRPr="00322644">
        <w:rPr>
          <w:i/>
          <w:iCs/>
          <w:lang w:eastAsia="en-AU"/>
        </w:rPr>
        <w:t>Criminal Code</w:t>
      </w:r>
      <w:r w:rsidRPr="00A2764D">
        <w:rPr>
          <w:lang w:eastAsia="en-AU"/>
        </w:rPr>
        <w:t xml:space="preserve">, </w:t>
      </w:r>
      <w:r w:rsidR="00322644">
        <w:rPr>
          <w:lang w:eastAsia="en-AU"/>
        </w:rPr>
        <w:t>RSC</w:t>
      </w:r>
      <w:r w:rsidRPr="00A2764D">
        <w:rPr>
          <w:lang w:eastAsia="en-AU"/>
        </w:rPr>
        <w:t xml:space="preserve"> 1985, c C</w:t>
      </w:r>
      <w:r w:rsidRPr="00A2764D">
        <w:rPr>
          <w:rFonts w:ascii="Cambria Math" w:hAnsi="Cambria Math" w:cs="Cambria Math"/>
          <w:lang w:eastAsia="en-AU"/>
        </w:rPr>
        <w:t>‑</w:t>
      </w:r>
      <w:r w:rsidRPr="00A2764D">
        <w:rPr>
          <w:lang w:eastAsia="en-AU"/>
        </w:rPr>
        <w:t>46, s 669.2(3).</w:t>
      </w:r>
    </w:p>
    <w:p w14:paraId="129A733C" w14:textId="77777777" w:rsidR="00A2764D" w:rsidRPr="00DD0272" w:rsidRDefault="00A2764D" w:rsidP="00A2764D">
      <w:pPr>
        <w:ind w:left="720"/>
        <w:rPr>
          <w:b/>
          <w:bCs/>
          <w:lang w:eastAsia="en-AU"/>
        </w:rPr>
      </w:pPr>
    </w:p>
    <w:p w14:paraId="4A436DDB" w14:textId="593E2D2C" w:rsidR="00A2764D" w:rsidRDefault="00A2764D" w:rsidP="00A2764D">
      <w:pPr>
        <w:rPr>
          <w:lang w:eastAsia="en-AU"/>
        </w:rPr>
      </w:pPr>
      <w:r w:rsidRPr="00DD0272">
        <w:rPr>
          <w:b/>
          <w:bCs/>
          <w:lang w:eastAsia="en-AU"/>
        </w:rPr>
        <w:t>Held (</w:t>
      </w:r>
      <w:r>
        <w:rPr>
          <w:b/>
          <w:bCs/>
          <w:lang w:eastAsia="en-AU"/>
        </w:rPr>
        <w:t>9</w:t>
      </w:r>
      <w:r w:rsidRPr="00DD0272">
        <w:rPr>
          <w:b/>
          <w:bCs/>
          <w:lang w:eastAsia="en-AU"/>
        </w:rPr>
        <w:t>:</w:t>
      </w:r>
      <w:r>
        <w:rPr>
          <w:b/>
          <w:bCs/>
          <w:lang w:eastAsia="en-AU"/>
        </w:rPr>
        <w:t>0</w:t>
      </w:r>
      <w:r w:rsidRPr="00DD0272">
        <w:rPr>
          <w:b/>
          <w:bCs/>
          <w:lang w:eastAsia="en-AU"/>
        </w:rPr>
        <w:t>):</w:t>
      </w:r>
      <w:r w:rsidRPr="00DD0272">
        <w:rPr>
          <w:lang w:eastAsia="en-AU"/>
        </w:rPr>
        <w:t xml:space="preserve"> Appeal </w:t>
      </w:r>
      <w:r w:rsidR="00D16E16">
        <w:rPr>
          <w:lang w:eastAsia="en-AU"/>
        </w:rPr>
        <w:t>allowed</w:t>
      </w:r>
      <w:r w:rsidRPr="00DD0272">
        <w:rPr>
          <w:lang w:eastAsia="en-AU"/>
        </w:rPr>
        <w:t xml:space="preserve">. </w:t>
      </w:r>
    </w:p>
    <w:p w14:paraId="762232B5" w14:textId="3BB59B91" w:rsidR="003B353F" w:rsidRDefault="003B353F" w:rsidP="003B353F">
      <w:pPr>
        <w:pStyle w:val="BullDivider1"/>
      </w:pPr>
    </w:p>
    <w:p w14:paraId="411DE038" w14:textId="77777777" w:rsidR="00187356" w:rsidRPr="00187356" w:rsidRDefault="00187356" w:rsidP="00187356">
      <w:pPr>
        <w:rPr>
          <w:lang w:eastAsia="en-AU"/>
        </w:rPr>
      </w:pPr>
    </w:p>
    <w:p w14:paraId="0CBEB77A" w14:textId="086EA213" w:rsidR="00187356" w:rsidRDefault="00187356" w:rsidP="00187356">
      <w:pPr>
        <w:pStyle w:val="Heading2"/>
      </w:pPr>
      <w:r>
        <w:t xml:space="preserve">R v Maughan </w:t>
      </w:r>
    </w:p>
    <w:p w14:paraId="0B917081" w14:textId="12B300A2" w:rsidR="00187356" w:rsidRDefault="00187356" w:rsidP="00187356">
      <w:pPr>
        <w:rPr>
          <w:lang w:eastAsia="en-AU"/>
        </w:rPr>
      </w:pPr>
      <w:r>
        <w:rPr>
          <w:b/>
          <w:bCs/>
          <w:lang w:eastAsia="en-AU"/>
        </w:rPr>
        <w:t>Supreme Court of the United Kingdom</w:t>
      </w:r>
      <w:r w:rsidRPr="006B0D58">
        <w:rPr>
          <w:b/>
          <w:bCs/>
          <w:lang w:eastAsia="en-AU"/>
        </w:rPr>
        <w:t>:</w:t>
      </w:r>
      <w:r>
        <w:rPr>
          <w:lang w:eastAsia="en-AU"/>
        </w:rPr>
        <w:t xml:space="preserve"> </w:t>
      </w:r>
      <w:hyperlink r:id="rId27" w:history="1">
        <w:r w:rsidRPr="00187356">
          <w:rPr>
            <w:rStyle w:val="Hyperlink"/>
          </w:rPr>
          <w:t>[2022] UKSC 13</w:t>
        </w:r>
      </w:hyperlink>
      <w:r>
        <w:t xml:space="preserve"> </w:t>
      </w:r>
    </w:p>
    <w:p w14:paraId="6595CCA5" w14:textId="77777777" w:rsidR="00187356" w:rsidRDefault="00187356" w:rsidP="00187356">
      <w:pPr>
        <w:rPr>
          <w:lang w:eastAsia="en-AU"/>
        </w:rPr>
      </w:pPr>
    </w:p>
    <w:p w14:paraId="3ED8B03B" w14:textId="54E8F08E" w:rsidR="00187356" w:rsidRPr="00DB68FF" w:rsidRDefault="00187356" w:rsidP="00187356">
      <w:pPr>
        <w:rPr>
          <w:lang w:eastAsia="en-AU"/>
        </w:rPr>
      </w:pPr>
      <w:r>
        <w:rPr>
          <w:b/>
          <w:bCs/>
          <w:lang w:eastAsia="en-AU"/>
        </w:rPr>
        <w:t xml:space="preserve">Judgment delivered: </w:t>
      </w:r>
      <w:r>
        <w:rPr>
          <w:lang w:eastAsia="en-AU"/>
        </w:rPr>
        <w:t>18 May 2022</w:t>
      </w:r>
    </w:p>
    <w:p w14:paraId="19ED9C8E" w14:textId="77777777" w:rsidR="00187356" w:rsidRDefault="00187356" w:rsidP="00187356">
      <w:pPr>
        <w:rPr>
          <w:b/>
          <w:bCs/>
          <w:lang w:eastAsia="en-AU"/>
        </w:rPr>
      </w:pPr>
    </w:p>
    <w:p w14:paraId="4B9BB440" w14:textId="47AAF6D7" w:rsidR="00187356" w:rsidRDefault="00187356" w:rsidP="00187356">
      <w:pPr>
        <w:rPr>
          <w:lang w:eastAsia="en-AU"/>
        </w:rPr>
      </w:pPr>
      <w:r>
        <w:rPr>
          <w:b/>
          <w:bCs/>
          <w:lang w:eastAsia="en-AU"/>
        </w:rPr>
        <w:t>Coram:</w:t>
      </w:r>
      <w:r w:rsidRPr="00DB68FF">
        <w:t xml:space="preserve"> </w:t>
      </w:r>
      <w:r>
        <w:rPr>
          <w:lang w:eastAsia="en-AU"/>
        </w:rPr>
        <w:t xml:space="preserve">Lord Hodge, Lord </w:t>
      </w:r>
      <w:proofErr w:type="spellStart"/>
      <w:r>
        <w:rPr>
          <w:lang w:eastAsia="en-AU"/>
        </w:rPr>
        <w:t>Hamblen</w:t>
      </w:r>
      <w:proofErr w:type="spellEnd"/>
      <w:r>
        <w:rPr>
          <w:lang w:eastAsia="en-AU"/>
        </w:rPr>
        <w:t>, Lord Burrows, Sir Declan Morgan and Lord Lloyd-Jones</w:t>
      </w:r>
    </w:p>
    <w:p w14:paraId="2F5ECBB9" w14:textId="77777777" w:rsidR="00187356" w:rsidRDefault="00187356" w:rsidP="00187356">
      <w:pPr>
        <w:rPr>
          <w:b/>
          <w:bCs/>
          <w:lang w:eastAsia="en-AU"/>
        </w:rPr>
      </w:pPr>
    </w:p>
    <w:p w14:paraId="62BA5531" w14:textId="77777777" w:rsidR="00187356" w:rsidRDefault="00187356" w:rsidP="00187356">
      <w:pPr>
        <w:rPr>
          <w:b/>
          <w:bCs/>
          <w:lang w:eastAsia="en-AU"/>
        </w:rPr>
      </w:pPr>
      <w:r>
        <w:rPr>
          <w:b/>
          <w:bCs/>
          <w:lang w:eastAsia="en-AU"/>
        </w:rPr>
        <w:t>Catchwords:</w:t>
      </w:r>
    </w:p>
    <w:p w14:paraId="2163229A" w14:textId="77777777" w:rsidR="00187356" w:rsidRDefault="00187356" w:rsidP="00187356">
      <w:pPr>
        <w:rPr>
          <w:b/>
          <w:bCs/>
          <w:lang w:eastAsia="en-AU"/>
        </w:rPr>
      </w:pPr>
    </w:p>
    <w:p w14:paraId="156E8482" w14:textId="6A3525FC" w:rsidR="007D5326" w:rsidRDefault="00187356" w:rsidP="007D5326">
      <w:pPr>
        <w:pStyle w:val="Catchwords"/>
      </w:pPr>
      <w:r>
        <w:t xml:space="preserve">Criminal law – Sentencing </w:t>
      </w:r>
      <w:r w:rsidR="007818A8">
        <w:t xml:space="preserve">– Reduction in sentence – Intention to plead guilty – Where Maughan caught </w:t>
      </w:r>
      <w:r w:rsidR="00A74661">
        <w:t>"</w:t>
      </w:r>
      <w:r w:rsidR="007818A8">
        <w:t>red-handed</w:t>
      </w:r>
      <w:r w:rsidR="00A74661">
        <w:t>"</w:t>
      </w:r>
      <w:r w:rsidR="007818A8">
        <w:t xml:space="preserve"> in relation to several offences – Where Maughan </w:t>
      </w:r>
      <w:r w:rsidR="007818A8" w:rsidRPr="007818A8">
        <w:t xml:space="preserve">pleaded guilty at arraignment </w:t>
      </w:r>
      <w:r w:rsidR="007818A8">
        <w:t xml:space="preserve">– Where Maughan gave no prior indication of intention to plead guilty – Where sentencing policy, derived from </w:t>
      </w:r>
      <w:r w:rsidR="007818A8" w:rsidRPr="007818A8">
        <w:rPr>
          <w:i/>
          <w:iCs/>
        </w:rPr>
        <w:t>Attorney General</w:t>
      </w:r>
      <w:r w:rsidR="00A74661">
        <w:rPr>
          <w:i/>
          <w:iCs/>
        </w:rPr>
        <w:t>'</w:t>
      </w:r>
      <w:r w:rsidR="007818A8" w:rsidRPr="007818A8">
        <w:rPr>
          <w:i/>
          <w:iCs/>
        </w:rPr>
        <w:t>s Reference (No 1 of 2006)</w:t>
      </w:r>
      <w:r w:rsidR="007818A8" w:rsidRPr="007818A8">
        <w:t xml:space="preserve"> [2006] NICA 4</w:t>
      </w:r>
      <w:r w:rsidR="007818A8">
        <w:t>, concerning identification of first reasonable opportunity to indicate intention to plead guilty</w:t>
      </w:r>
      <w:r w:rsidRPr="00EB6080">
        <w:t xml:space="preserve"> </w:t>
      </w:r>
      <w:r w:rsidR="007818A8">
        <w:t xml:space="preserve">– Where sentencing policy, set out in </w:t>
      </w:r>
      <w:r w:rsidR="007818A8" w:rsidRPr="007818A8">
        <w:rPr>
          <w:i/>
          <w:iCs/>
        </w:rPr>
        <w:t>R v Pollock</w:t>
      </w:r>
      <w:r w:rsidR="007818A8" w:rsidRPr="007818A8">
        <w:t xml:space="preserve"> [2005] </w:t>
      </w:r>
      <w:r w:rsidR="007818A8" w:rsidRPr="007818A8">
        <w:lastRenderedPageBreak/>
        <w:t>NICA 43</w:t>
      </w:r>
      <w:r w:rsidR="007818A8">
        <w:t xml:space="preserve">, regarding reductions of discount where caught red-handed – Where </w:t>
      </w:r>
      <w:r w:rsidR="00931079">
        <w:t>A</w:t>
      </w:r>
      <w:r w:rsidR="007D5326">
        <w:t xml:space="preserve">rticle 33 of </w:t>
      </w:r>
      <w:r w:rsidR="007D5326" w:rsidRPr="007D5326">
        <w:t>Criminal Justice (Northern Ireland) Order 1996</w:t>
      </w:r>
      <w:r w:rsidR="007D5326">
        <w:t xml:space="preserve"> prescribed, in determining sentence</w:t>
      </w:r>
      <w:r w:rsidR="00931079">
        <w:t>,</w:t>
      </w:r>
      <w:r w:rsidR="007D5326">
        <w:t xml:space="preserve"> court to take into account stage in </w:t>
      </w:r>
      <w:r w:rsidR="00A74661">
        <w:t>"</w:t>
      </w:r>
      <w:r w:rsidR="007D5326">
        <w:t>proceedings</w:t>
      </w:r>
      <w:r w:rsidR="00A74661">
        <w:t>"</w:t>
      </w:r>
      <w:r w:rsidR="007D5326">
        <w:t xml:space="preserve"> offender indicated intention to plead guilty – Whether term </w:t>
      </w:r>
      <w:r w:rsidR="00A74661">
        <w:t>"</w:t>
      </w:r>
      <w:r w:rsidR="007D5326">
        <w:t>proceedings</w:t>
      </w:r>
      <w:r w:rsidR="00A74661">
        <w:t>"</w:t>
      </w:r>
      <w:r w:rsidR="007D5326">
        <w:t xml:space="preserve"> includes investigation by way of questioning by police – Proper approach to reduction in sentence where offender caught red-handed. </w:t>
      </w:r>
    </w:p>
    <w:p w14:paraId="0E535E5B" w14:textId="77777777" w:rsidR="00187356" w:rsidRDefault="00187356" w:rsidP="00187356">
      <w:pPr>
        <w:rPr>
          <w:b/>
          <w:bCs/>
          <w:lang w:eastAsia="en-AU"/>
        </w:rPr>
      </w:pPr>
    </w:p>
    <w:p w14:paraId="2F577425" w14:textId="404EF7B1" w:rsidR="00187356" w:rsidRDefault="00187356" w:rsidP="00187356">
      <w:pPr>
        <w:rPr>
          <w:lang w:eastAsia="en-AU"/>
        </w:rPr>
      </w:pPr>
      <w:r>
        <w:rPr>
          <w:b/>
          <w:bCs/>
          <w:lang w:eastAsia="en-AU"/>
        </w:rPr>
        <w:t>Held (5:0):</w:t>
      </w:r>
      <w:r>
        <w:rPr>
          <w:lang w:eastAsia="en-AU"/>
        </w:rPr>
        <w:t xml:space="preserve"> Appeal </w:t>
      </w:r>
      <w:r w:rsidR="007D5326">
        <w:rPr>
          <w:lang w:eastAsia="en-AU"/>
        </w:rPr>
        <w:t>dismissed</w:t>
      </w:r>
      <w:r>
        <w:rPr>
          <w:lang w:eastAsia="en-AU"/>
        </w:rPr>
        <w:t xml:space="preserve">. </w:t>
      </w:r>
    </w:p>
    <w:p w14:paraId="490F73ED" w14:textId="77777777" w:rsidR="00187356" w:rsidRDefault="00187356" w:rsidP="00187356">
      <w:pPr>
        <w:pStyle w:val="BullDivider1"/>
      </w:pPr>
    </w:p>
    <w:p w14:paraId="3BAC078B" w14:textId="51AA39DC" w:rsidR="003B353F" w:rsidRDefault="003B353F" w:rsidP="003B353F">
      <w:pPr>
        <w:rPr>
          <w:lang w:eastAsia="en-AU"/>
        </w:rPr>
      </w:pPr>
    </w:p>
    <w:p w14:paraId="204FD2E1" w14:textId="2876B37B" w:rsidR="003B353F" w:rsidRDefault="003B353F" w:rsidP="003B353F">
      <w:pPr>
        <w:pStyle w:val="Heading2"/>
        <w:rPr>
          <w:i w:val="0"/>
          <w:iCs w:val="0"/>
        </w:rPr>
      </w:pPr>
      <w:r>
        <w:t xml:space="preserve">Shinn </w:t>
      </w:r>
      <w:r w:rsidRPr="003B353F">
        <w:t>v Martinez Ramirez</w:t>
      </w:r>
    </w:p>
    <w:p w14:paraId="3159C16E" w14:textId="3BD830EB" w:rsidR="003B353F" w:rsidRDefault="003B353F" w:rsidP="003B353F">
      <w:pPr>
        <w:rPr>
          <w:lang w:eastAsia="en-AU"/>
        </w:rPr>
      </w:pPr>
      <w:r>
        <w:rPr>
          <w:b/>
          <w:bCs/>
          <w:lang w:eastAsia="en-AU"/>
        </w:rPr>
        <w:t>Supreme Court of the United States</w:t>
      </w:r>
      <w:r w:rsidRPr="006B0D58">
        <w:rPr>
          <w:b/>
          <w:bCs/>
          <w:lang w:eastAsia="en-AU"/>
        </w:rPr>
        <w:t>:</w:t>
      </w:r>
      <w:r>
        <w:rPr>
          <w:lang w:eastAsia="en-AU"/>
        </w:rPr>
        <w:t xml:space="preserve"> </w:t>
      </w:r>
      <w:hyperlink r:id="rId28" w:history="1">
        <w:r>
          <w:rPr>
            <w:rStyle w:val="Hyperlink"/>
          </w:rPr>
          <w:t>Docket No. 20</w:t>
        </w:r>
        <w:r w:rsidR="00515F52" w:rsidRPr="00515F52">
          <w:rPr>
            <w:rStyle w:val="Hyperlink"/>
          </w:rPr>
          <w:t>–</w:t>
        </w:r>
        <w:r>
          <w:rPr>
            <w:rStyle w:val="Hyperlink"/>
          </w:rPr>
          <w:t>1009</w:t>
        </w:r>
      </w:hyperlink>
    </w:p>
    <w:p w14:paraId="5B5E7293" w14:textId="77777777" w:rsidR="003B353F" w:rsidRDefault="003B353F" w:rsidP="003B353F">
      <w:pPr>
        <w:rPr>
          <w:lang w:eastAsia="en-AU"/>
        </w:rPr>
      </w:pPr>
    </w:p>
    <w:p w14:paraId="515E5488" w14:textId="7E46A7EA" w:rsidR="003B353F" w:rsidRPr="00DB68FF" w:rsidRDefault="003B353F" w:rsidP="003B353F">
      <w:pPr>
        <w:rPr>
          <w:lang w:eastAsia="en-AU"/>
        </w:rPr>
      </w:pPr>
      <w:r>
        <w:rPr>
          <w:b/>
          <w:bCs/>
          <w:lang w:eastAsia="en-AU"/>
        </w:rPr>
        <w:t xml:space="preserve">Judgment delivered: </w:t>
      </w:r>
      <w:r w:rsidR="00AB2CA2">
        <w:rPr>
          <w:lang w:eastAsia="en-AU"/>
        </w:rPr>
        <w:t>23 May</w:t>
      </w:r>
      <w:r>
        <w:rPr>
          <w:lang w:eastAsia="en-AU"/>
        </w:rPr>
        <w:t xml:space="preserve"> 2022 </w:t>
      </w:r>
    </w:p>
    <w:p w14:paraId="2ADDCB29" w14:textId="77777777" w:rsidR="003B353F" w:rsidRDefault="003B353F" w:rsidP="003B353F">
      <w:pPr>
        <w:rPr>
          <w:b/>
          <w:bCs/>
          <w:lang w:eastAsia="en-AU"/>
        </w:rPr>
      </w:pPr>
    </w:p>
    <w:p w14:paraId="19C7B100" w14:textId="77777777" w:rsidR="003B353F" w:rsidRDefault="003B353F" w:rsidP="003B353F">
      <w:pPr>
        <w:rPr>
          <w:lang w:eastAsia="en-AU"/>
        </w:rPr>
      </w:pPr>
      <w:r>
        <w:rPr>
          <w:b/>
          <w:bCs/>
          <w:lang w:eastAsia="en-AU"/>
        </w:rPr>
        <w:t>Coram:</w:t>
      </w:r>
      <w:r w:rsidRPr="00DB68FF">
        <w:t xml:space="preserve"> </w:t>
      </w:r>
      <w:r>
        <w:rPr>
          <w:lang w:eastAsia="en-AU"/>
        </w:rPr>
        <w:t xml:space="preserve">Roberts CJ, Thomas, </w:t>
      </w:r>
      <w:proofErr w:type="spellStart"/>
      <w:r>
        <w:rPr>
          <w:lang w:eastAsia="en-AU"/>
        </w:rPr>
        <w:t>Breyer</w:t>
      </w:r>
      <w:proofErr w:type="spellEnd"/>
      <w:r>
        <w:rPr>
          <w:lang w:eastAsia="en-AU"/>
        </w:rPr>
        <w:t>, Alito, Sotomayor, Kagan, Gorsuch,</w:t>
      </w:r>
    </w:p>
    <w:p w14:paraId="1CDDFCF5" w14:textId="77777777" w:rsidR="003B353F" w:rsidRPr="00DB68FF" w:rsidRDefault="003B353F" w:rsidP="003B353F">
      <w:pPr>
        <w:rPr>
          <w:lang w:eastAsia="en-AU"/>
        </w:rPr>
      </w:pPr>
      <w:r>
        <w:rPr>
          <w:lang w:eastAsia="en-AU"/>
        </w:rPr>
        <w:t>Kavanaugh and Barrett JJ</w:t>
      </w:r>
    </w:p>
    <w:p w14:paraId="0B3E0013" w14:textId="77777777" w:rsidR="003B353F" w:rsidRDefault="003B353F" w:rsidP="003B353F">
      <w:pPr>
        <w:rPr>
          <w:b/>
          <w:bCs/>
          <w:lang w:eastAsia="en-AU"/>
        </w:rPr>
      </w:pPr>
    </w:p>
    <w:p w14:paraId="64958DCD" w14:textId="77777777" w:rsidR="003B353F" w:rsidRDefault="003B353F" w:rsidP="003B353F">
      <w:pPr>
        <w:rPr>
          <w:b/>
          <w:bCs/>
          <w:lang w:eastAsia="en-AU"/>
        </w:rPr>
      </w:pPr>
      <w:r>
        <w:rPr>
          <w:b/>
          <w:bCs/>
          <w:lang w:eastAsia="en-AU"/>
        </w:rPr>
        <w:t>Catchwords:</w:t>
      </w:r>
    </w:p>
    <w:p w14:paraId="586DD474" w14:textId="77777777" w:rsidR="003B353F" w:rsidRDefault="003B353F" w:rsidP="003B353F">
      <w:pPr>
        <w:rPr>
          <w:b/>
          <w:bCs/>
          <w:lang w:eastAsia="en-AU"/>
        </w:rPr>
      </w:pPr>
    </w:p>
    <w:p w14:paraId="1CF76199" w14:textId="3E954E56" w:rsidR="00AB2CA2" w:rsidRPr="004F6F98" w:rsidRDefault="00AB2CA2" w:rsidP="0061036C">
      <w:pPr>
        <w:pStyle w:val="Catchwords"/>
      </w:pPr>
      <w:r>
        <w:t>Criminal law – I</w:t>
      </w:r>
      <w:r w:rsidRPr="00AB2CA2">
        <w:t xml:space="preserve">neffective-assistance claim </w:t>
      </w:r>
      <w:r>
        <w:t xml:space="preserve">– Where respondents, </w:t>
      </w:r>
      <w:r w:rsidRPr="00AB2CA2">
        <w:t>Ramirez and Jones</w:t>
      </w:r>
      <w:r>
        <w:t>, each convicted of capital crimes in Arizona state court and sentenced to death – Where respondents filed for federal habeas relief under 28 USC §2254, arguing trial counsel ineffective for failing to conduct adequate investigations – Where Federal District Court held in each case prisoner</w:t>
      </w:r>
      <w:r w:rsidR="00A74661">
        <w:t>'</w:t>
      </w:r>
      <w:r>
        <w:t xml:space="preserve">s ineffective-assistance claim procedurally defaulted because not properly presented in state court – Where to overcome procedural default, prisoner must demonstrate </w:t>
      </w:r>
      <w:r w:rsidR="00A74661">
        <w:t>"</w:t>
      </w:r>
      <w:r>
        <w:t>cause</w:t>
      </w:r>
      <w:r w:rsidR="00A74661">
        <w:t>"</w:t>
      </w:r>
      <w:r>
        <w:t xml:space="preserve"> to excuse procedural defect and </w:t>
      </w:r>
      <w:r w:rsidR="00A74661">
        <w:t>"</w:t>
      </w:r>
      <w:r>
        <w:t>actual prejudice</w:t>
      </w:r>
      <w:r w:rsidR="00A74661">
        <w:t>"</w:t>
      </w:r>
      <w:r>
        <w:t xml:space="preserve">: </w:t>
      </w:r>
      <w:r w:rsidRPr="00AB2CA2">
        <w:rPr>
          <w:i/>
          <w:iCs/>
        </w:rPr>
        <w:t>Coleman v Thompson</w:t>
      </w:r>
      <w:r>
        <w:t xml:space="preserve">, 501 US 722, 750 – Where to demonstrate cause, respondents relied on </w:t>
      </w:r>
      <w:r w:rsidRPr="00AB2CA2">
        <w:rPr>
          <w:i/>
          <w:iCs/>
        </w:rPr>
        <w:t>Martinez v Ryan</w:t>
      </w:r>
      <w:r>
        <w:t>, 566 US 1, holding ineffective assistance of post</w:t>
      </w:r>
      <w:r w:rsidR="00ED59BD">
        <w:t>-</w:t>
      </w:r>
      <w:r>
        <w:t>conviction counsel may be cited as cause for procedural default of ineffective-assistance-of-trial-counsel claim – Where, in Ramirez</w:t>
      </w:r>
      <w:r w:rsidR="00A74661">
        <w:t>'</w:t>
      </w:r>
      <w:r>
        <w:t>s case, District Court permitted record to be supplemented with evidence not presented in state court to support case to excuse procedural default – Where, assessing new evidence, court excused procedural default but rejected Ramirez</w:t>
      </w:r>
      <w:r w:rsidR="00A74661">
        <w:t>'</w:t>
      </w:r>
      <w:r>
        <w:t>s ineffective-assistance claim on merits – Where Ninth Circuit reversed and remanded for more evidentiary development to litigate merits of Ramirez</w:t>
      </w:r>
      <w:r w:rsidR="00A74661">
        <w:t>'</w:t>
      </w:r>
      <w:r>
        <w:t>s ineffective-assistance-of-trial-counsel claim – Where, in Jones</w:t>
      </w:r>
      <w:r w:rsidR="00A74661">
        <w:t>'</w:t>
      </w:r>
      <w:r>
        <w:t xml:space="preserve"> case, District Court held lengthy evidentiary hearing on </w:t>
      </w:r>
      <w:r w:rsidR="00A74661">
        <w:t>"</w:t>
      </w:r>
      <w:r>
        <w:t>cause</w:t>
      </w:r>
      <w:r w:rsidR="00A74661">
        <w:t>"</w:t>
      </w:r>
      <w:r>
        <w:t xml:space="preserve"> and</w:t>
      </w:r>
      <w:r w:rsidR="000E7259">
        <w:t xml:space="preserve"> </w:t>
      </w:r>
      <w:r w:rsidR="00A74661">
        <w:t>"</w:t>
      </w:r>
      <w:r>
        <w:t>prejudice,</w:t>
      </w:r>
      <w:r w:rsidR="00A74661">
        <w:t>"</w:t>
      </w:r>
      <w:r>
        <w:t xml:space="preserve"> forgave procedural default, and held state trial counsel had provided ineffective assistance – Where State of Arizona petitioned Court in both cases, arguing §2254(e)(2) </w:t>
      </w:r>
      <w:r w:rsidR="0061036C">
        <w:t>did</w:t>
      </w:r>
      <w:r>
        <w:t xml:space="preserve"> not permit federal court to order evidentiary development simply because</w:t>
      </w:r>
      <w:r w:rsidR="0061036C">
        <w:t xml:space="preserve"> </w:t>
      </w:r>
      <w:r>
        <w:t>post</w:t>
      </w:r>
      <w:r w:rsidR="00ED59BD">
        <w:t>-</w:t>
      </w:r>
      <w:r>
        <w:t>conviction counsel alleged to have negligently failed to develop</w:t>
      </w:r>
      <w:r w:rsidR="0061036C">
        <w:t xml:space="preserve"> </w:t>
      </w:r>
      <w:r>
        <w:t>state-court record</w:t>
      </w:r>
      <w:r w:rsidR="0061036C">
        <w:t xml:space="preserve"> – Whether equitable rule announced in </w:t>
      </w:r>
      <w:r w:rsidR="0061036C" w:rsidRPr="0061036C">
        <w:rPr>
          <w:i/>
          <w:iCs/>
        </w:rPr>
        <w:t>Martinez</w:t>
      </w:r>
      <w:r w:rsidR="0061036C">
        <w:t xml:space="preserve"> permits federal court to dispense with §2254(e)(2)</w:t>
      </w:r>
      <w:r w:rsidR="00A74661">
        <w:t>'</w:t>
      </w:r>
      <w:r w:rsidR="0061036C">
        <w:t>s narrow limits because prisoner</w:t>
      </w:r>
      <w:r w:rsidR="00A74661">
        <w:t>'</w:t>
      </w:r>
      <w:r w:rsidR="0061036C">
        <w:t>s state post</w:t>
      </w:r>
      <w:r w:rsidR="00E107A4">
        <w:t>-</w:t>
      </w:r>
      <w:r w:rsidR="0061036C">
        <w:t xml:space="preserve">conviction counsel negligently failed to develop state-court record. </w:t>
      </w:r>
    </w:p>
    <w:p w14:paraId="2161B559" w14:textId="77777777" w:rsidR="003B353F" w:rsidRDefault="003B353F" w:rsidP="003B353F">
      <w:pPr>
        <w:rPr>
          <w:b/>
          <w:bCs/>
          <w:lang w:eastAsia="en-AU"/>
        </w:rPr>
      </w:pPr>
    </w:p>
    <w:p w14:paraId="3C76ECE7" w14:textId="5B063429" w:rsidR="003B353F" w:rsidRDefault="003B353F" w:rsidP="003B353F">
      <w:pPr>
        <w:rPr>
          <w:lang w:eastAsia="en-AU"/>
        </w:rPr>
      </w:pPr>
      <w:r>
        <w:rPr>
          <w:b/>
          <w:bCs/>
          <w:lang w:eastAsia="en-AU"/>
        </w:rPr>
        <w:t xml:space="preserve">Held (6:3): </w:t>
      </w:r>
      <w:r w:rsidRPr="004E51ED">
        <w:rPr>
          <w:lang w:eastAsia="en-AU"/>
        </w:rPr>
        <w:t xml:space="preserve">Judgment of Court of Appeals for the </w:t>
      </w:r>
      <w:r w:rsidR="00AB2CA2">
        <w:rPr>
          <w:lang w:eastAsia="en-AU"/>
        </w:rPr>
        <w:t>Ninth</w:t>
      </w:r>
      <w:r w:rsidRPr="004E51ED">
        <w:rPr>
          <w:lang w:eastAsia="en-AU"/>
        </w:rPr>
        <w:t xml:space="preserve"> Circuit </w:t>
      </w:r>
      <w:r w:rsidR="00AB2CA2">
        <w:rPr>
          <w:lang w:eastAsia="en-AU"/>
        </w:rPr>
        <w:t>reversed</w:t>
      </w:r>
      <w:r>
        <w:rPr>
          <w:lang w:eastAsia="en-AU"/>
        </w:rPr>
        <w:t>.</w:t>
      </w:r>
    </w:p>
    <w:p w14:paraId="0A7A8903" w14:textId="010D8567" w:rsidR="003B353F" w:rsidRDefault="003B353F" w:rsidP="00B132A1">
      <w:pPr>
        <w:pStyle w:val="BullDivider1"/>
      </w:pPr>
    </w:p>
    <w:p w14:paraId="7EC36847" w14:textId="77777777" w:rsidR="00B132A1" w:rsidRPr="00B132A1" w:rsidRDefault="00B132A1" w:rsidP="00B132A1">
      <w:pPr>
        <w:rPr>
          <w:lang w:eastAsia="en-AU"/>
        </w:rPr>
      </w:pPr>
    </w:p>
    <w:p w14:paraId="4A525F4B" w14:textId="41AF2F23" w:rsidR="00B132A1" w:rsidRDefault="00B132A1" w:rsidP="00B132A1">
      <w:pPr>
        <w:pStyle w:val="Heading2"/>
      </w:pPr>
      <w:proofErr w:type="spellStart"/>
      <w:r w:rsidRPr="00B132A1">
        <w:t>Tuta</w:t>
      </w:r>
      <w:proofErr w:type="spellEnd"/>
      <w:r w:rsidRPr="00B132A1">
        <w:t xml:space="preserve"> v The State</w:t>
      </w:r>
    </w:p>
    <w:p w14:paraId="1137B2D5" w14:textId="47BB13A2" w:rsidR="00B132A1" w:rsidRPr="00367779" w:rsidRDefault="00B132A1" w:rsidP="00B132A1">
      <w:pPr>
        <w:rPr>
          <w:lang w:eastAsia="en-AU"/>
        </w:rPr>
      </w:pPr>
      <w:r w:rsidRPr="00367779">
        <w:rPr>
          <w:b/>
          <w:lang w:eastAsia="en-AU"/>
        </w:rPr>
        <w:t xml:space="preserve">Constitutional Court of South Africa: </w:t>
      </w:r>
      <w:hyperlink r:id="rId29" w:history="1">
        <w:r w:rsidRPr="00B132A1">
          <w:rPr>
            <w:rStyle w:val="Hyperlink"/>
            <w:bCs/>
            <w:lang w:eastAsia="en-AU"/>
          </w:rPr>
          <w:t>[2022] ZACC 19</w:t>
        </w:r>
      </w:hyperlink>
    </w:p>
    <w:p w14:paraId="20D455AB" w14:textId="77777777" w:rsidR="00B132A1" w:rsidRPr="00367779" w:rsidRDefault="00B132A1" w:rsidP="00B132A1">
      <w:pPr>
        <w:rPr>
          <w:lang w:eastAsia="en-AU"/>
        </w:rPr>
      </w:pPr>
    </w:p>
    <w:p w14:paraId="0CE7551F" w14:textId="0E7C3AA2" w:rsidR="00B132A1" w:rsidRPr="00367779" w:rsidRDefault="00B132A1" w:rsidP="00B132A1">
      <w:pPr>
        <w:rPr>
          <w:lang w:eastAsia="en-AU"/>
        </w:rPr>
      </w:pPr>
      <w:r w:rsidRPr="00367779">
        <w:rPr>
          <w:b/>
          <w:lang w:eastAsia="en-AU"/>
        </w:rPr>
        <w:t>Judgment delivered:</w:t>
      </w:r>
      <w:r w:rsidRPr="00367779">
        <w:rPr>
          <w:lang w:eastAsia="en-AU"/>
        </w:rPr>
        <w:t xml:space="preserve"> </w:t>
      </w:r>
      <w:r>
        <w:rPr>
          <w:lang w:eastAsia="en-AU"/>
        </w:rPr>
        <w:t>13 May</w:t>
      </w:r>
      <w:r w:rsidRPr="00367779">
        <w:rPr>
          <w:lang w:eastAsia="en-AU"/>
        </w:rPr>
        <w:t xml:space="preserve"> 2022</w:t>
      </w:r>
    </w:p>
    <w:p w14:paraId="21B92B21" w14:textId="77777777" w:rsidR="00B132A1" w:rsidRPr="00367779" w:rsidRDefault="00B132A1" w:rsidP="00B132A1">
      <w:pPr>
        <w:rPr>
          <w:lang w:eastAsia="en-AU"/>
        </w:rPr>
      </w:pPr>
    </w:p>
    <w:p w14:paraId="5543C297" w14:textId="096B55DF" w:rsidR="00B132A1" w:rsidRDefault="00B132A1" w:rsidP="00B132A1">
      <w:pPr>
        <w:rPr>
          <w:lang w:eastAsia="en-AU"/>
        </w:rPr>
      </w:pPr>
      <w:r w:rsidRPr="00367779">
        <w:rPr>
          <w:b/>
          <w:lang w:eastAsia="en-AU"/>
        </w:rPr>
        <w:t xml:space="preserve">Coram: </w:t>
      </w:r>
      <w:proofErr w:type="spellStart"/>
      <w:r w:rsidRPr="00B132A1">
        <w:rPr>
          <w:lang w:eastAsia="en-AU"/>
        </w:rPr>
        <w:t>Kollapen</w:t>
      </w:r>
      <w:proofErr w:type="spellEnd"/>
      <w:r w:rsidRPr="00B132A1">
        <w:rPr>
          <w:lang w:eastAsia="en-AU"/>
        </w:rPr>
        <w:t xml:space="preserve">, </w:t>
      </w:r>
      <w:proofErr w:type="spellStart"/>
      <w:r w:rsidRPr="00B132A1">
        <w:rPr>
          <w:lang w:eastAsia="en-AU"/>
        </w:rPr>
        <w:t>Madlanga</w:t>
      </w:r>
      <w:proofErr w:type="spellEnd"/>
      <w:r w:rsidRPr="00B132A1">
        <w:rPr>
          <w:lang w:eastAsia="en-AU"/>
        </w:rPr>
        <w:t xml:space="preserve">, </w:t>
      </w:r>
      <w:proofErr w:type="spellStart"/>
      <w:r w:rsidRPr="00B132A1">
        <w:rPr>
          <w:lang w:eastAsia="en-AU"/>
        </w:rPr>
        <w:t>Majiedt</w:t>
      </w:r>
      <w:proofErr w:type="spellEnd"/>
      <w:r w:rsidRPr="00B132A1">
        <w:rPr>
          <w:lang w:eastAsia="en-AU"/>
        </w:rPr>
        <w:t xml:space="preserve">, </w:t>
      </w:r>
      <w:proofErr w:type="spellStart"/>
      <w:r w:rsidRPr="00B132A1">
        <w:rPr>
          <w:lang w:eastAsia="en-AU"/>
        </w:rPr>
        <w:t>Mathopo</w:t>
      </w:r>
      <w:proofErr w:type="spellEnd"/>
      <w:r w:rsidRPr="00B132A1">
        <w:rPr>
          <w:lang w:eastAsia="en-AU"/>
        </w:rPr>
        <w:t xml:space="preserve">, </w:t>
      </w:r>
      <w:proofErr w:type="spellStart"/>
      <w:r w:rsidRPr="00B132A1">
        <w:rPr>
          <w:lang w:eastAsia="en-AU"/>
        </w:rPr>
        <w:t>Mhlantla</w:t>
      </w:r>
      <w:proofErr w:type="spellEnd"/>
      <w:r w:rsidRPr="00B132A1">
        <w:rPr>
          <w:lang w:eastAsia="en-AU"/>
        </w:rPr>
        <w:t xml:space="preserve"> </w:t>
      </w:r>
      <w:r>
        <w:rPr>
          <w:lang w:eastAsia="en-AU"/>
        </w:rPr>
        <w:t>J</w:t>
      </w:r>
      <w:r w:rsidRPr="00B132A1">
        <w:rPr>
          <w:lang w:eastAsia="en-AU"/>
        </w:rPr>
        <w:t xml:space="preserve">J, Mlambo AJ, Theron, </w:t>
      </w:r>
      <w:proofErr w:type="spellStart"/>
      <w:r w:rsidRPr="00B132A1">
        <w:rPr>
          <w:lang w:eastAsia="en-AU"/>
        </w:rPr>
        <w:t>Tshiqi</w:t>
      </w:r>
      <w:proofErr w:type="spellEnd"/>
      <w:r w:rsidRPr="00B132A1">
        <w:rPr>
          <w:lang w:eastAsia="en-AU"/>
        </w:rPr>
        <w:t xml:space="preserve"> </w:t>
      </w:r>
      <w:r>
        <w:rPr>
          <w:lang w:eastAsia="en-AU"/>
        </w:rPr>
        <w:t>J</w:t>
      </w:r>
      <w:r w:rsidRPr="00B132A1">
        <w:rPr>
          <w:lang w:eastAsia="en-AU"/>
        </w:rPr>
        <w:t xml:space="preserve">J and </w:t>
      </w:r>
      <w:proofErr w:type="spellStart"/>
      <w:r w:rsidRPr="00B132A1">
        <w:rPr>
          <w:lang w:eastAsia="en-AU"/>
        </w:rPr>
        <w:t>Unterhalter</w:t>
      </w:r>
      <w:proofErr w:type="spellEnd"/>
      <w:r w:rsidRPr="00B132A1">
        <w:rPr>
          <w:lang w:eastAsia="en-AU"/>
        </w:rPr>
        <w:t xml:space="preserve"> AJ</w:t>
      </w:r>
    </w:p>
    <w:p w14:paraId="2B70E862" w14:textId="77777777" w:rsidR="00B132A1" w:rsidRPr="00367779" w:rsidRDefault="00B132A1" w:rsidP="00B132A1">
      <w:pPr>
        <w:rPr>
          <w:lang w:eastAsia="en-AU"/>
        </w:rPr>
      </w:pPr>
    </w:p>
    <w:p w14:paraId="238CECC1" w14:textId="77777777" w:rsidR="00B132A1" w:rsidRPr="00367779" w:rsidRDefault="00B132A1" w:rsidP="00B132A1">
      <w:pPr>
        <w:rPr>
          <w:b/>
          <w:lang w:eastAsia="en-AU"/>
        </w:rPr>
      </w:pPr>
      <w:r w:rsidRPr="00367779">
        <w:rPr>
          <w:b/>
          <w:lang w:eastAsia="en-AU"/>
        </w:rPr>
        <w:t>Catchwords:</w:t>
      </w:r>
    </w:p>
    <w:p w14:paraId="7063700B" w14:textId="77777777" w:rsidR="00B132A1" w:rsidRPr="00367779" w:rsidRDefault="00B132A1" w:rsidP="00B132A1">
      <w:pPr>
        <w:rPr>
          <w:b/>
          <w:highlight w:val="yellow"/>
          <w:lang w:eastAsia="en-AU"/>
        </w:rPr>
      </w:pPr>
    </w:p>
    <w:p w14:paraId="31CE3E39" w14:textId="3D382386" w:rsidR="00B132A1" w:rsidRPr="00367779" w:rsidRDefault="00B132A1" w:rsidP="00B132A1">
      <w:pPr>
        <w:ind w:left="720"/>
        <w:rPr>
          <w:lang w:eastAsia="en-AU"/>
        </w:rPr>
      </w:pPr>
      <w:r w:rsidRPr="007A522F">
        <w:rPr>
          <w:lang w:eastAsia="en-AU"/>
        </w:rPr>
        <w:t xml:space="preserve">Criminal law </w:t>
      </w:r>
      <w:r w:rsidR="00043A3C" w:rsidRPr="007A522F">
        <w:rPr>
          <w:lang w:eastAsia="en-AU"/>
        </w:rPr>
        <w:t xml:space="preserve">– Fair trial </w:t>
      </w:r>
      <w:r w:rsidR="00EC3AD6" w:rsidRPr="007A522F">
        <w:rPr>
          <w:lang w:eastAsia="en-AU"/>
        </w:rPr>
        <w:t>–</w:t>
      </w:r>
      <w:r w:rsidR="007A522F" w:rsidRPr="007A522F">
        <w:rPr>
          <w:lang w:eastAsia="en-AU"/>
        </w:rPr>
        <w:t xml:space="preserve"> Putative private defence –</w:t>
      </w:r>
      <w:r w:rsidR="00EC3AD6" w:rsidRPr="007A522F">
        <w:rPr>
          <w:lang w:eastAsia="en-AU"/>
        </w:rPr>
        <w:t xml:space="preserve"> Where applicant charged, convicted and sentenced for murder of constable and attempted murder of another constable – Where applicant argued infringement of right to fair trial pursuant to s 35(3) of </w:t>
      </w:r>
      <w:r w:rsidR="00EC3AD6" w:rsidRPr="00931079">
        <w:rPr>
          <w:i/>
          <w:iCs/>
          <w:lang w:eastAsia="en-AU"/>
        </w:rPr>
        <w:t>Constitution</w:t>
      </w:r>
      <w:r w:rsidR="00EC3AD6" w:rsidRPr="007A522F">
        <w:rPr>
          <w:lang w:eastAsia="en-AU"/>
        </w:rPr>
        <w:t xml:space="preserve"> for, as result of trial judge</w:t>
      </w:r>
      <w:r w:rsidR="00A74661">
        <w:rPr>
          <w:lang w:eastAsia="en-AU"/>
        </w:rPr>
        <w:t>'</w:t>
      </w:r>
      <w:r w:rsidR="00EC3AD6" w:rsidRPr="007A522F">
        <w:rPr>
          <w:lang w:eastAsia="en-AU"/>
        </w:rPr>
        <w:t xml:space="preserve">s intervention, </w:t>
      </w:r>
      <w:r w:rsidR="00931079">
        <w:rPr>
          <w:lang w:eastAsia="en-AU"/>
        </w:rPr>
        <w:t>no</w:t>
      </w:r>
      <w:r w:rsidR="00EC3AD6" w:rsidRPr="007A522F">
        <w:rPr>
          <w:lang w:eastAsia="en-AU"/>
        </w:rPr>
        <w:t xml:space="preserve"> cross-examin</w:t>
      </w:r>
      <w:r w:rsidR="00931079">
        <w:rPr>
          <w:lang w:eastAsia="en-AU"/>
        </w:rPr>
        <w:t>ation</w:t>
      </w:r>
      <w:r w:rsidR="00EC3AD6" w:rsidRPr="007A522F">
        <w:rPr>
          <w:lang w:eastAsia="en-AU"/>
        </w:rPr>
        <w:t xml:space="preserve"> on intention</w:t>
      </w:r>
      <w:r w:rsidR="00931079">
        <w:rPr>
          <w:lang w:eastAsia="en-AU"/>
        </w:rPr>
        <w:t xml:space="preserve"> by prosecutor</w:t>
      </w:r>
      <w:r w:rsidR="00EC3AD6" w:rsidRPr="007A522F">
        <w:rPr>
          <w:lang w:eastAsia="en-AU"/>
        </w:rPr>
        <w:t xml:space="preserve"> – Where applicant argued not informed of State</w:t>
      </w:r>
      <w:r w:rsidR="00A74661">
        <w:rPr>
          <w:lang w:eastAsia="en-AU"/>
        </w:rPr>
        <w:t>'</w:t>
      </w:r>
      <w:r w:rsidR="00EC3AD6" w:rsidRPr="007A522F">
        <w:rPr>
          <w:lang w:eastAsia="en-AU"/>
        </w:rPr>
        <w:t>s case applicant knew</w:t>
      </w:r>
      <w:r w:rsidR="007A522F" w:rsidRPr="007A522F">
        <w:rPr>
          <w:lang w:eastAsia="en-AU"/>
        </w:rPr>
        <w:t>, foresaw, or should have foreseen</w:t>
      </w:r>
      <w:r w:rsidR="00EC3AD6" w:rsidRPr="007A522F">
        <w:rPr>
          <w:lang w:eastAsia="en-AU"/>
        </w:rPr>
        <w:t xml:space="preserve"> assailants policeme</w:t>
      </w:r>
      <w:r w:rsidR="007A522F" w:rsidRPr="007A522F">
        <w:rPr>
          <w:lang w:eastAsia="en-AU"/>
        </w:rPr>
        <w:t>n – Where applicant argued point of general public importance</w:t>
      </w:r>
      <w:r w:rsidR="007A522F">
        <w:rPr>
          <w:lang w:eastAsia="en-AU"/>
        </w:rPr>
        <w:t xml:space="preserve"> whether trial court applied test for putative private defence correctly – Whether argument of infringement of fair trial rights sufficiently serious to undermine basic notions of trial fairness, engaging Court</w:t>
      </w:r>
      <w:r w:rsidR="00A74661">
        <w:rPr>
          <w:lang w:eastAsia="en-AU"/>
        </w:rPr>
        <w:t>'</w:t>
      </w:r>
      <w:r w:rsidR="007A522F">
        <w:rPr>
          <w:lang w:eastAsia="en-AU"/>
        </w:rPr>
        <w:t xml:space="preserve">s jurisdiction – Proper formulation of test for putative private defence. </w:t>
      </w:r>
    </w:p>
    <w:p w14:paraId="5035DDA8" w14:textId="77777777" w:rsidR="00B132A1" w:rsidRPr="00367779" w:rsidRDefault="00B132A1" w:rsidP="00B132A1">
      <w:pPr>
        <w:rPr>
          <w:b/>
          <w:lang w:eastAsia="en-AU"/>
        </w:rPr>
      </w:pPr>
    </w:p>
    <w:p w14:paraId="3D8564C7" w14:textId="2CCF3AA9" w:rsidR="00B132A1" w:rsidRPr="00367779" w:rsidRDefault="00B132A1" w:rsidP="00B132A1">
      <w:pPr>
        <w:rPr>
          <w:lang w:eastAsia="en-AU"/>
        </w:rPr>
      </w:pPr>
      <w:r w:rsidRPr="00367779">
        <w:rPr>
          <w:b/>
          <w:lang w:eastAsia="en-AU"/>
        </w:rPr>
        <w:t>Held (</w:t>
      </w:r>
      <w:r w:rsidR="00043A3C">
        <w:rPr>
          <w:b/>
          <w:lang w:eastAsia="en-AU"/>
        </w:rPr>
        <w:t>7</w:t>
      </w:r>
      <w:r>
        <w:rPr>
          <w:b/>
          <w:lang w:eastAsia="en-AU"/>
        </w:rPr>
        <w:t>:</w:t>
      </w:r>
      <w:r w:rsidR="00043A3C">
        <w:rPr>
          <w:b/>
          <w:lang w:eastAsia="en-AU"/>
        </w:rPr>
        <w:t>2</w:t>
      </w:r>
      <w:r w:rsidRPr="00367779">
        <w:rPr>
          <w:b/>
          <w:lang w:eastAsia="en-AU"/>
        </w:rPr>
        <w:t xml:space="preserve">): </w:t>
      </w:r>
      <w:r w:rsidRPr="00367779">
        <w:rPr>
          <w:lang w:eastAsia="en-AU"/>
        </w:rPr>
        <w:t xml:space="preserve">Leave to appeal granted; appeal </w:t>
      </w:r>
      <w:r>
        <w:rPr>
          <w:lang w:eastAsia="en-AU"/>
        </w:rPr>
        <w:t>upheld</w:t>
      </w:r>
      <w:r w:rsidRPr="00367779">
        <w:rPr>
          <w:lang w:eastAsia="en-AU"/>
        </w:rPr>
        <w:t>.</w:t>
      </w:r>
    </w:p>
    <w:p w14:paraId="6246A643" w14:textId="06E457EB" w:rsidR="00A22D93" w:rsidRDefault="00A22D93" w:rsidP="00A22D93">
      <w:pPr>
        <w:pStyle w:val="BullDivider2"/>
      </w:pPr>
    </w:p>
    <w:p w14:paraId="041AA233" w14:textId="77777777" w:rsidR="00A22D93" w:rsidRPr="00A22D93" w:rsidRDefault="00A22D93" w:rsidP="00A22D93">
      <w:pPr>
        <w:rPr>
          <w:lang w:eastAsia="en-AU"/>
        </w:rPr>
      </w:pPr>
    </w:p>
    <w:p w14:paraId="681787EB" w14:textId="3A631E4B" w:rsidR="00EE10FF" w:rsidRDefault="00EE10FF" w:rsidP="009556B8">
      <w:pPr>
        <w:pStyle w:val="Heading1"/>
      </w:pPr>
      <w:r>
        <w:t xml:space="preserve">Discrimination </w:t>
      </w:r>
    </w:p>
    <w:p w14:paraId="078DFC31" w14:textId="7C99AE5A" w:rsidR="00EE10FF" w:rsidRDefault="00EE10FF" w:rsidP="00EE10FF">
      <w:pPr>
        <w:rPr>
          <w:lang w:eastAsia="en-AU"/>
        </w:rPr>
      </w:pPr>
    </w:p>
    <w:p w14:paraId="7AF4BA4D" w14:textId="5A63E56A" w:rsidR="00EE10FF" w:rsidRDefault="00EE10FF" w:rsidP="00EE10FF">
      <w:pPr>
        <w:pStyle w:val="Heading2"/>
        <w:rPr>
          <w:i w:val="0"/>
          <w:iCs w:val="0"/>
        </w:rPr>
      </w:pPr>
      <w:bookmarkStart w:id="7" w:name="_Hlk104904023"/>
      <w:r>
        <w:t xml:space="preserve">Cummings v Premier Rehab Keller, PLLC </w:t>
      </w:r>
    </w:p>
    <w:p w14:paraId="199C101D" w14:textId="59AD37BA" w:rsidR="00EE10FF" w:rsidRDefault="00EE10FF" w:rsidP="00EE10FF">
      <w:pPr>
        <w:rPr>
          <w:lang w:eastAsia="en-AU"/>
        </w:rPr>
      </w:pPr>
      <w:r>
        <w:rPr>
          <w:b/>
          <w:bCs/>
          <w:lang w:eastAsia="en-AU"/>
        </w:rPr>
        <w:t>Supreme Court of the United States</w:t>
      </w:r>
      <w:r w:rsidRPr="006B0D58">
        <w:rPr>
          <w:b/>
          <w:bCs/>
          <w:lang w:eastAsia="en-AU"/>
        </w:rPr>
        <w:t>:</w:t>
      </w:r>
      <w:r>
        <w:rPr>
          <w:lang w:eastAsia="en-AU"/>
        </w:rPr>
        <w:t xml:space="preserve"> </w:t>
      </w:r>
      <w:hyperlink r:id="rId30" w:history="1">
        <w:r>
          <w:rPr>
            <w:rStyle w:val="Hyperlink"/>
          </w:rPr>
          <w:t>Docket No. 20</w:t>
        </w:r>
        <w:r w:rsidR="00515F52" w:rsidRPr="00515F52">
          <w:rPr>
            <w:rStyle w:val="Hyperlink"/>
          </w:rPr>
          <w:t>–</w:t>
        </w:r>
        <w:r>
          <w:rPr>
            <w:rStyle w:val="Hyperlink"/>
          </w:rPr>
          <w:t>219</w:t>
        </w:r>
      </w:hyperlink>
    </w:p>
    <w:p w14:paraId="1322F0FE" w14:textId="77777777" w:rsidR="00EE10FF" w:rsidRDefault="00EE10FF" w:rsidP="00EE10FF">
      <w:pPr>
        <w:rPr>
          <w:lang w:eastAsia="en-AU"/>
        </w:rPr>
      </w:pPr>
    </w:p>
    <w:p w14:paraId="3E840C8D" w14:textId="067F0DA4" w:rsidR="00EE10FF" w:rsidRPr="00DB68FF" w:rsidRDefault="00EE10FF" w:rsidP="00EE10FF">
      <w:pPr>
        <w:rPr>
          <w:lang w:eastAsia="en-AU"/>
        </w:rPr>
      </w:pPr>
      <w:r>
        <w:rPr>
          <w:b/>
          <w:bCs/>
          <w:lang w:eastAsia="en-AU"/>
        </w:rPr>
        <w:t xml:space="preserve">Judgment delivered: </w:t>
      </w:r>
      <w:r>
        <w:rPr>
          <w:lang w:eastAsia="en-AU"/>
        </w:rPr>
        <w:t>2</w:t>
      </w:r>
      <w:r w:rsidR="0009236C">
        <w:rPr>
          <w:lang w:eastAsia="en-AU"/>
        </w:rPr>
        <w:t>8</w:t>
      </w:r>
      <w:r>
        <w:rPr>
          <w:lang w:eastAsia="en-AU"/>
        </w:rPr>
        <w:t xml:space="preserve"> April 2022 </w:t>
      </w:r>
    </w:p>
    <w:p w14:paraId="6AE2539D" w14:textId="77777777" w:rsidR="00EE10FF" w:rsidRDefault="00EE10FF" w:rsidP="00EE10FF">
      <w:pPr>
        <w:rPr>
          <w:b/>
          <w:bCs/>
          <w:lang w:eastAsia="en-AU"/>
        </w:rPr>
      </w:pPr>
    </w:p>
    <w:p w14:paraId="07AE9870" w14:textId="77777777" w:rsidR="00EE10FF" w:rsidRDefault="00EE10FF" w:rsidP="00EE10FF">
      <w:pPr>
        <w:rPr>
          <w:lang w:eastAsia="en-AU"/>
        </w:rPr>
      </w:pPr>
      <w:r>
        <w:rPr>
          <w:b/>
          <w:bCs/>
          <w:lang w:eastAsia="en-AU"/>
        </w:rPr>
        <w:t>Coram:</w:t>
      </w:r>
      <w:r w:rsidRPr="00DB68FF">
        <w:t xml:space="preserve"> </w:t>
      </w:r>
      <w:r>
        <w:rPr>
          <w:lang w:eastAsia="en-AU"/>
        </w:rPr>
        <w:t xml:space="preserve">Roberts CJ, Thomas, </w:t>
      </w:r>
      <w:proofErr w:type="spellStart"/>
      <w:r>
        <w:rPr>
          <w:lang w:eastAsia="en-AU"/>
        </w:rPr>
        <w:t>Breyer</w:t>
      </w:r>
      <w:proofErr w:type="spellEnd"/>
      <w:r>
        <w:rPr>
          <w:lang w:eastAsia="en-AU"/>
        </w:rPr>
        <w:t>, Alito, Sotomayor, Kagan, Gorsuch,</w:t>
      </w:r>
    </w:p>
    <w:p w14:paraId="501AB177" w14:textId="77777777" w:rsidR="00EE10FF" w:rsidRPr="00DB68FF" w:rsidRDefault="00EE10FF" w:rsidP="00EE10FF">
      <w:pPr>
        <w:rPr>
          <w:lang w:eastAsia="en-AU"/>
        </w:rPr>
      </w:pPr>
      <w:r>
        <w:rPr>
          <w:lang w:eastAsia="en-AU"/>
        </w:rPr>
        <w:t>Kavanaugh and Barrett JJ</w:t>
      </w:r>
    </w:p>
    <w:p w14:paraId="2B170596" w14:textId="77777777" w:rsidR="00EE10FF" w:rsidRDefault="00EE10FF" w:rsidP="00EE10FF">
      <w:pPr>
        <w:rPr>
          <w:b/>
          <w:bCs/>
          <w:lang w:eastAsia="en-AU"/>
        </w:rPr>
      </w:pPr>
    </w:p>
    <w:p w14:paraId="2D3E1FCA" w14:textId="77777777" w:rsidR="00EE10FF" w:rsidRDefault="00EE10FF" w:rsidP="00EE10FF">
      <w:pPr>
        <w:rPr>
          <w:b/>
          <w:bCs/>
          <w:lang w:eastAsia="en-AU"/>
        </w:rPr>
      </w:pPr>
      <w:r>
        <w:rPr>
          <w:b/>
          <w:bCs/>
          <w:lang w:eastAsia="en-AU"/>
        </w:rPr>
        <w:t>Catchwords:</w:t>
      </w:r>
    </w:p>
    <w:p w14:paraId="4356491F" w14:textId="77777777" w:rsidR="00EE10FF" w:rsidRDefault="00EE10FF" w:rsidP="00EE10FF">
      <w:pPr>
        <w:rPr>
          <w:b/>
          <w:bCs/>
          <w:lang w:eastAsia="en-AU"/>
        </w:rPr>
      </w:pPr>
    </w:p>
    <w:p w14:paraId="604001B4" w14:textId="697981E6" w:rsidR="00EE10FF" w:rsidRPr="004F6F98" w:rsidRDefault="0009236C" w:rsidP="004F6F98">
      <w:pPr>
        <w:pStyle w:val="Catchwords"/>
      </w:pPr>
      <w:r>
        <w:t xml:space="preserve">Discrimination – </w:t>
      </w:r>
      <w:r w:rsidR="00C2585B">
        <w:t xml:space="preserve">Damages – </w:t>
      </w:r>
      <w:r>
        <w:t xml:space="preserve">Disability – </w:t>
      </w:r>
      <w:r w:rsidRPr="0009236C">
        <w:t xml:space="preserve">American Sign Language </w:t>
      </w:r>
      <w:r>
        <w:t xml:space="preserve">(ASL) </w:t>
      </w:r>
      <w:r w:rsidRPr="0009236C">
        <w:t>interpreter</w:t>
      </w:r>
      <w:r>
        <w:t xml:space="preserve"> – Where </w:t>
      </w:r>
      <w:r w:rsidR="00876683">
        <w:t>petitioner</w:t>
      </w:r>
      <w:r>
        <w:t xml:space="preserve"> deaf and legally blind – Where </w:t>
      </w:r>
      <w:r w:rsidR="00876683">
        <w:t>petitioner</w:t>
      </w:r>
      <w:r>
        <w:t xml:space="preserve"> sought physical therapy services from respondent and requested ASL interpreter at sessions – Where respondent declined to provide ASL interpreter, telling </w:t>
      </w:r>
      <w:r w:rsidR="00876683">
        <w:t>petitioner</w:t>
      </w:r>
      <w:r>
        <w:t xml:space="preserve"> therapist could communicate through other means – Where </w:t>
      </w:r>
      <w:r w:rsidR="00876683">
        <w:t>petitioner</w:t>
      </w:r>
      <w:r>
        <w:t xml:space="preserve"> sought care from other provider – Where </w:t>
      </w:r>
      <w:r w:rsidR="00876683" w:rsidRPr="00876683">
        <w:t xml:space="preserve">petitioner </w:t>
      </w:r>
      <w:r>
        <w:t>commenced suit against respondent alleging failure to provide ASL interpreter constituted disability discrimination in violation of</w:t>
      </w:r>
      <w:r w:rsidR="004F6F98">
        <w:t xml:space="preserve"> </w:t>
      </w:r>
      <w:r w:rsidRPr="004F6F98">
        <w:rPr>
          <w:i/>
          <w:iCs/>
        </w:rPr>
        <w:t>Rehabilitation Act of 1973</w:t>
      </w:r>
      <w:r w:rsidR="004F6F98">
        <w:t>,</w:t>
      </w:r>
      <w:r>
        <w:t xml:space="preserve"> </w:t>
      </w:r>
      <w:r w:rsidR="004F6F98">
        <w:t xml:space="preserve">29 USC §794(a) </w:t>
      </w:r>
      <w:r>
        <w:t xml:space="preserve">and </w:t>
      </w:r>
      <w:r w:rsidRPr="004F6F98">
        <w:rPr>
          <w:i/>
          <w:iCs/>
        </w:rPr>
        <w:t>Affordable Care Act</w:t>
      </w:r>
      <w:r w:rsidR="004F6F98">
        <w:t xml:space="preserve">, 42 USC §18116 – Where respondent subject to statutes as entity receiving federal financial assistance through Medicare and Medicaid – Where District </w:t>
      </w:r>
      <w:r w:rsidR="004F6F98">
        <w:lastRenderedPageBreak/>
        <w:t xml:space="preserve">Court dismissed complaint, observing </w:t>
      </w:r>
      <w:r w:rsidR="00A74661">
        <w:t>"</w:t>
      </w:r>
      <w:r w:rsidR="004F6F98">
        <w:t>damages for emotional harm</w:t>
      </w:r>
      <w:r w:rsidR="00A74661">
        <w:t>"</w:t>
      </w:r>
      <w:r w:rsidR="004F6F98">
        <w:t xml:space="preserve"> not compensable injuries – Where Court of Appeals affirmed decision – Whether damages for emotional harm recoverable in private actions brought to enforce </w:t>
      </w:r>
      <w:r w:rsidR="004F6F98" w:rsidRPr="004F6F98">
        <w:rPr>
          <w:i/>
          <w:iCs/>
        </w:rPr>
        <w:t>Rehabilitation Act of 1973</w:t>
      </w:r>
      <w:r w:rsidR="004F6F98" w:rsidRPr="004F6F98">
        <w:t xml:space="preserve"> </w:t>
      </w:r>
      <w:r w:rsidR="004F6F98">
        <w:t xml:space="preserve">or </w:t>
      </w:r>
      <w:r w:rsidR="004F6F98" w:rsidRPr="004F6F98">
        <w:rPr>
          <w:i/>
          <w:iCs/>
        </w:rPr>
        <w:t>Affordable Care Act</w:t>
      </w:r>
      <w:r w:rsidR="004F6F98">
        <w:t xml:space="preserve">. </w:t>
      </w:r>
    </w:p>
    <w:p w14:paraId="128E2F42" w14:textId="77777777" w:rsidR="00EE10FF" w:rsidRDefault="00EE10FF" w:rsidP="00EE10FF">
      <w:pPr>
        <w:rPr>
          <w:b/>
          <w:bCs/>
          <w:lang w:eastAsia="en-AU"/>
        </w:rPr>
      </w:pPr>
    </w:p>
    <w:p w14:paraId="73B7BAC9" w14:textId="6D0D150C" w:rsidR="00EE10FF" w:rsidRDefault="00EE10FF" w:rsidP="00EE10FF">
      <w:pPr>
        <w:rPr>
          <w:lang w:eastAsia="en-AU"/>
        </w:rPr>
      </w:pPr>
      <w:r>
        <w:rPr>
          <w:b/>
          <w:bCs/>
          <w:lang w:eastAsia="en-AU"/>
        </w:rPr>
        <w:t xml:space="preserve">Held (6:3): </w:t>
      </w:r>
      <w:r w:rsidRPr="004E51ED">
        <w:rPr>
          <w:lang w:eastAsia="en-AU"/>
        </w:rPr>
        <w:t xml:space="preserve">Judgment of Court of Appeals for the </w:t>
      </w:r>
      <w:r>
        <w:rPr>
          <w:lang w:eastAsia="en-AU"/>
        </w:rPr>
        <w:t>Fifth</w:t>
      </w:r>
      <w:r w:rsidRPr="004E51ED">
        <w:rPr>
          <w:lang w:eastAsia="en-AU"/>
        </w:rPr>
        <w:t xml:space="preserve"> Circuit </w:t>
      </w:r>
      <w:r w:rsidR="0009236C">
        <w:rPr>
          <w:lang w:eastAsia="en-AU"/>
        </w:rPr>
        <w:t>affirmed.</w:t>
      </w:r>
    </w:p>
    <w:bookmarkEnd w:id="7"/>
    <w:p w14:paraId="6A85999E" w14:textId="77777777" w:rsidR="00EE10FF" w:rsidRDefault="00EE10FF" w:rsidP="000E3477">
      <w:pPr>
        <w:pStyle w:val="BullDivider2"/>
      </w:pPr>
    </w:p>
    <w:p w14:paraId="2EC29C58" w14:textId="77777777" w:rsidR="00EE10FF" w:rsidRPr="00EE10FF" w:rsidRDefault="00EE10FF" w:rsidP="00EE10FF">
      <w:pPr>
        <w:rPr>
          <w:lang w:eastAsia="en-AU"/>
        </w:rPr>
      </w:pPr>
    </w:p>
    <w:p w14:paraId="21A6D285" w14:textId="70BE5F37" w:rsidR="00D93AD6" w:rsidRDefault="00D93AD6" w:rsidP="009556B8">
      <w:pPr>
        <w:pStyle w:val="Heading1"/>
      </w:pPr>
      <w:r>
        <w:t xml:space="preserve">Election Law </w:t>
      </w:r>
    </w:p>
    <w:p w14:paraId="5257B040" w14:textId="0911570D" w:rsidR="00D93AD6" w:rsidRDefault="00D93AD6" w:rsidP="00D93AD6">
      <w:pPr>
        <w:rPr>
          <w:lang w:eastAsia="en-AU"/>
        </w:rPr>
      </w:pPr>
    </w:p>
    <w:p w14:paraId="6ED7DE3A" w14:textId="467021A8" w:rsidR="00D93AD6" w:rsidRDefault="0052533A" w:rsidP="00D93AD6">
      <w:pPr>
        <w:pStyle w:val="Heading2"/>
      </w:pPr>
      <w:r>
        <w:t xml:space="preserve">Federal Election Commission v Ted Cruz </w:t>
      </w:r>
    </w:p>
    <w:p w14:paraId="6A75515A" w14:textId="3C4F92F8" w:rsidR="00D93AD6" w:rsidRDefault="00D93AD6" w:rsidP="00D93AD6">
      <w:pPr>
        <w:rPr>
          <w:lang w:eastAsia="en-AU"/>
        </w:rPr>
      </w:pPr>
      <w:r>
        <w:rPr>
          <w:b/>
          <w:bCs/>
          <w:lang w:eastAsia="en-AU"/>
        </w:rPr>
        <w:t>Supreme Court of the United States</w:t>
      </w:r>
      <w:r w:rsidRPr="006B0D58">
        <w:rPr>
          <w:b/>
          <w:bCs/>
          <w:lang w:eastAsia="en-AU"/>
        </w:rPr>
        <w:t>:</w:t>
      </w:r>
      <w:r>
        <w:rPr>
          <w:lang w:eastAsia="en-AU"/>
        </w:rPr>
        <w:t xml:space="preserve"> </w:t>
      </w:r>
      <w:hyperlink r:id="rId31" w:history="1">
        <w:r w:rsidRPr="00287D30">
          <w:rPr>
            <w:rStyle w:val="Hyperlink"/>
          </w:rPr>
          <w:t xml:space="preserve">Docket No. </w:t>
        </w:r>
        <w:r>
          <w:rPr>
            <w:rStyle w:val="Hyperlink"/>
          </w:rPr>
          <w:t>21</w:t>
        </w:r>
        <w:r w:rsidR="00515F52" w:rsidRPr="00515F52">
          <w:rPr>
            <w:rStyle w:val="Hyperlink"/>
          </w:rPr>
          <w:t>–</w:t>
        </w:r>
        <w:r>
          <w:rPr>
            <w:rStyle w:val="Hyperlink"/>
          </w:rPr>
          <w:t>12</w:t>
        </w:r>
      </w:hyperlink>
    </w:p>
    <w:p w14:paraId="31BED452" w14:textId="77777777" w:rsidR="00D93AD6" w:rsidRDefault="00D93AD6" w:rsidP="00D93AD6">
      <w:pPr>
        <w:rPr>
          <w:lang w:eastAsia="en-AU"/>
        </w:rPr>
      </w:pPr>
    </w:p>
    <w:p w14:paraId="00E4137A" w14:textId="57021993" w:rsidR="00D93AD6" w:rsidRPr="00DB68FF" w:rsidRDefault="00D93AD6" w:rsidP="00D93AD6">
      <w:pPr>
        <w:rPr>
          <w:lang w:eastAsia="en-AU"/>
        </w:rPr>
      </w:pPr>
      <w:r>
        <w:rPr>
          <w:b/>
          <w:bCs/>
          <w:lang w:eastAsia="en-AU"/>
        </w:rPr>
        <w:t xml:space="preserve">Judgment delivered: </w:t>
      </w:r>
      <w:r w:rsidR="0052533A">
        <w:rPr>
          <w:lang w:eastAsia="en-AU"/>
        </w:rPr>
        <w:t>16 May</w:t>
      </w:r>
      <w:r>
        <w:rPr>
          <w:lang w:eastAsia="en-AU"/>
        </w:rPr>
        <w:t xml:space="preserve"> 2022 </w:t>
      </w:r>
    </w:p>
    <w:p w14:paraId="48CBDFF3" w14:textId="77777777" w:rsidR="00D93AD6" w:rsidRDefault="00D93AD6" w:rsidP="00D93AD6">
      <w:pPr>
        <w:rPr>
          <w:b/>
          <w:bCs/>
          <w:lang w:eastAsia="en-AU"/>
        </w:rPr>
      </w:pPr>
    </w:p>
    <w:p w14:paraId="505B42B2" w14:textId="77777777" w:rsidR="00D93AD6" w:rsidRDefault="00D93AD6" w:rsidP="00D93AD6">
      <w:pPr>
        <w:rPr>
          <w:lang w:eastAsia="en-AU"/>
        </w:rPr>
      </w:pPr>
      <w:r>
        <w:rPr>
          <w:b/>
          <w:bCs/>
          <w:lang w:eastAsia="en-AU"/>
        </w:rPr>
        <w:t>Coram:</w:t>
      </w:r>
      <w:r w:rsidRPr="00DB68FF">
        <w:t xml:space="preserve"> </w:t>
      </w:r>
      <w:r>
        <w:rPr>
          <w:lang w:eastAsia="en-AU"/>
        </w:rPr>
        <w:t xml:space="preserve">Roberts CJ, Thomas, </w:t>
      </w:r>
      <w:proofErr w:type="spellStart"/>
      <w:r>
        <w:rPr>
          <w:lang w:eastAsia="en-AU"/>
        </w:rPr>
        <w:t>Breyer</w:t>
      </w:r>
      <w:proofErr w:type="spellEnd"/>
      <w:r>
        <w:rPr>
          <w:lang w:eastAsia="en-AU"/>
        </w:rPr>
        <w:t>, Alito, Sotomayor, Kagan, Gorsuch,</w:t>
      </w:r>
    </w:p>
    <w:p w14:paraId="581A8EAA" w14:textId="77777777" w:rsidR="00D93AD6" w:rsidRPr="00DB68FF" w:rsidRDefault="00D93AD6" w:rsidP="00D93AD6">
      <w:pPr>
        <w:rPr>
          <w:lang w:eastAsia="en-AU"/>
        </w:rPr>
      </w:pPr>
      <w:r>
        <w:rPr>
          <w:lang w:eastAsia="en-AU"/>
        </w:rPr>
        <w:t>Kavanaugh and Barrett JJ</w:t>
      </w:r>
    </w:p>
    <w:p w14:paraId="0DDFEE19" w14:textId="77777777" w:rsidR="00D93AD6" w:rsidRDefault="00D93AD6" w:rsidP="00D93AD6">
      <w:pPr>
        <w:rPr>
          <w:b/>
          <w:bCs/>
          <w:lang w:eastAsia="en-AU"/>
        </w:rPr>
      </w:pPr>
    </w:p>
    <w:p w14:paraId="62BDDC7E" w14:textId="77777777" w:rsidR="00D93AD6" w:rsidRDefault="00D93AD6" w:rsidP="00D93AD6">
      <w:pPr>
        <w:rPr>
          <w:b/>
          <w:bCs/>
          <w:lang w:eastAsia="en-AU"/>
        </w:rPr>
      </w:pPr>
      <w:r>
        <w:rPr>
          <w:b/>
          <w:bCs/>
          <w:lang w:eastAsia="en-AU"/>
        </w:rPr>
        <w:t>Catchwords:</w:t>
      </w:r>
    </w:p>
    <w:p w14:paraId="28C0BC72" w14:textId="77777777" w:rsidR="00D93AD6" w:rsidRDefault="00D93AD6" w:rsidP="00D93AD6">
      <w:pPr>
        <w:rPr>
          <w:b/>
          <w:bCs/>
          <w:lang w:eastAsia="en-AU"/>
        </w:rPr>
      </w:pPr>
    </w:p>
    <w:p w14:paraId="050A1FC2" w14:textId="50C2809A" w:rsidR="00D93AD6" w:rsidRPr="00287D30" w:rsidRDefault="0052533A" w:rsidP="00D93AD6">
      <w:pPr>
        <w:pStyle w:val="Catchwords"/>
      </w:pPr>
      <w:r>
        <w:t xml:space="preserve">Election law – Campaign financing – Repayment of campaign loan – Where during 2018 Senate </w:t>
      </w:r>
      <w:proofErr w:type="spellStart"/>
      <w:r>
        <w:t>reelection</w:t>
      </w:r>
      <w:proofErr w:type="spellEnd"/>
      <w:r>
        <w:t xml:space="preserve"> campaign, consistent with federal law</w:t>
      </w:r>
      <w:r w:rsidR="00A74661">
        <w:t xml:space="preserve"> (</w:t>
      </w:r>
      <w:r>
        <w:t>11 CFR §110.10; 52 USC §30101(9)(A)(</w:t>
      </w:r>
      <w:proofErr w:type="spellStart"/>
      <w:r>
        <w:t>i</w:t>
      </w:r>
      <w:proofErr w:type="spellEnd"/>
      <w:r>
        <w:t>)</w:t>
      </w:r>
      <w:r w:rsidR="00A74661">
        <w:t>)</w:t>
      </w:r>
      <w:r>
        <w:t xml:space="preserve"> </w:t>
      </w:r>
      <w:proofErr w:type="spellStart"/>
      <w:r>
        <w:t>appellee</w:t>
      </w:r>
      <w:proofErr w:type="spellEnd"/>
      <w:r>
        <w:t xml:space="preserve"> loaned $260,000 to campaign committee, Ted Cruz for Senate (</w:t>
      </w:r>
      <w:r w:rsidR="00A74661">
        <w:t>"</w:t>
      </w:r>
      <w:r>
        <w:t>Committee</w:t>
      </w:r>
      <w:r w:rsidR="00A74661">
        <w:t>"</w:t>
      </w:r>
      <w:r>
        <w:t>) – Where</w:t>
      </w:r>
      <w:r w:rsidR="000E0B90">
        <w:t>,</w:t>
      </w:r>
      <w:r>
        <w:t xml:space="preserve"> to repay campaign debts, campaigns</w:t>
      </w:r>
      <w:r w:rsidR="000E0B90">
        <w:t xml:space="preserve"> </w:t>
      </w:r>
      <w:r>
        <w:t>may continue to receive contributions after election day</w:t>
      </w:r>
      <w:r w:rsidR="000E0B90">
        <w:t xml:space="preserve">: </w:t>
      </w:r>
      <w:r>
        <w:t>11 CFR</w:t>
      </w:r>
      <w:r w:rsidR="000E0B90">
        <w:t xml:space="preserve"> </w:t>
      </w:r>
      <w:r>
        <w:t>§110.1(b)(3)(</w:t>
      </w:r>
      <w:proofErr w:type="spellStart"/>
      <w:r>
        <w:t>i</w:t>
      </w:r>
      <w:proofErr w:type="spellEnd"/>
      <w:r>
        <w:t>)</w:t>
      </w:r>
      <w:r w:rsidR="000E0B90">
        <w:t xml:space="preserve"> – Where </w:t>
      </w:r>
      <w:r w:rsidR="00585E05">
        <w:t xml:space="preserve">section </w:t>
      </w:r>
      <w:r>
        <w:t xml:space="preserve">304 of </w:t>
      </w:r>
      <w:r w:rsidRPr="000E0B90">
        <w:rPr>
          <w:i/>
          <w:iCs/>
        </w:rPr>
        <w:t>Bipartisan Campaign Reform Act of</w:t>
      </w:r>
      <w:r w:rsidR="000E0B90" w:rsidRPr="000E0B90">
        <w:rPr>
          <w:i/>
          <w:iCs/>
        </w:rPr>
        <w:t xml:space="preserve"> </w:t>
      </w:r>
      <w:r w:rsidRPr="000E0B90">
        <w:rPr>
          <w:i/>
          <w:iCs/>
        </w:rPr>
        <w:t>2002</w:t>
      </w:r>
      <w:r>
        <w:t xml:space="preserve"> (</w:t>
      </w:r>
      <w:r w:rsidR="00A74661">
        <w:t>"</w:t>
      </w:r>
      <w:r>
        <w:t>BCRA</w:t>
      </w:r>
      <w:r w:rsidR="00A74661">
        <w:t>"</w:t>
      </w:r>
      <w:r>
        <w:t>) restrict</w:t>
      </w:r>
      <w:r w:rsidR="000E0B90">
        <w:t>ed</w:t>
      </w:r>
      <w:r>
        <w:t xml:space="preserve"> use of post-election contributions by limiting</w:t>
      </w:r>
      <w:r w:rsidR="000E0B90">
        <w:t xml:space="preserve"> </w:t>
      </w:r>
      <w:r>
        <w:t xml:space="preserve">amount candidate </w:t>
      </w:r>
      <w:r w:rsidR="000E0B90">
        <w:t>could</w:t>
      </w:r>
      <w:r>
        <w:t xml:space="preserve"> be repaid to</w:t>
      </w:r>
      <w:r w:rsidR="000E0B90">
        <w:t xml:space="preserve"> </w:t>
      </w:r>
      <w:r>
        <w:t>$250,000</w:t>
      </w:r>
      <w:r w:rsidR="000E0B90">
        <w:t xml:space="preserve">: </w:t>
      </w:r>
      <w:r>
        <w:t xml:space="preserve">52 </w:t>
      </w:r>
      <w:r w:rsidR="000E0B90">
        <w:t>USC</w:t>
      </w:r>
      <w:r>
        <w:t xml:space="preserve"> §30116(j)</w:t>
      </w:r>
      <w:r w:rsidR="000E0B90">
        <w:t xml:space="preserve"> – Where </w:t>
      </w:r>
      <w:r>
        <w:t>Federal Election</w:t>
      </w:r>
      <w:r w:rsidR="000E0B90">
        <w:t xml:space="preserve"> </w:t>
      </w:r>
      <w:r>
        <w:t>Commission (</w:t>
      </w:r>
      <w:r w:rsidR="00A74661">
        <w:t>"</w:t>
      </w:r>
      <w:r>
        <w:t>FEC</w:t>
      </w:r>
      <w:r w:rsidR="00A74661">
        <w:t>"</w:t>
      </w:r>
      <w:r>
        <w:t>) promulgated regulations establishing three</w:t>
      </w:r>
      <w:r w:rsidR="00D115BE">
        <w:t xml:space="preserve"> </w:t>
      </w:r>
      <w:r>
        <w:t xml:space="preserve">rules to implement limitation: </w:t>
      </w:r>
      <w:r w:rsidR="00D115BE">
        <w:t>fi</w:t>
      </w:r>
      <w:r>
        <w:t>rst, campaign may repay up to</w:t>
      </w:r>
      <w:r w:rsidR="00D115BE">
        <w:t xml:space="preserve"> </w:t>
      </w:r>
      <w:r>
        <w:t xml:space="preserve">$250,000 in candidate loans using contributions </w:t>
      </w:r>
      <w:r w:rsidR="00A74661">
        <w:t>"</w:t>
      </w:r>
      <w:r>
        <w:t>at any time</w:t>
      </w:r>
      <w:r w:rsidR="00A74661">
        <w:t>"</w:t>
      </w:r>
      <w:r w:rsidR="00D115BE">
        <w:t xml:space="preserve"> (</w:t>
      </w:r>
      <w:r>
        <w:t>11 CFR §116.12(a)</w:t>
      </w:r>
      <w:r w:rsidR="00D115BE">
        <w:t>); s</w:t>
      </w:r>
      <w:r>
        <w:t>econd</w:t>
      </w:r>
      <w:r w:rsidR="00D115BE">
        <w:t>ly</w:t>
      </w:r>
      <w:r>
        <w:t xml:space="preserve">, </w:t>
      </w:r>
      <w:r w:rsidR="00D115BE">
        <w:t>to</w:t>
      </w:r>
      <w:r>
        <w:t xml:space="preserve"> extent loans exceed</w:t>
      </w:r>
      <w:r w:rsidR="00D115BE">
        <w:t>ed</w:t>
      </w:r>
      <w:r>
        <w:t xml:space="preserve"> $250,000,</w:t>
      </w:r>
      <w:r w:rsidR="00261F48">
        <w:t xml:space="preserve"> </w:t>
      </w:r>
      <w:r>
        <w:t>campaign may use pre-election funds to repay portion exceeding</w:t>
      </w:r>
      <w:r w:rsidR="00D115BE">
        <w:t xml:space="preserve"> </w:t>
      </w:r>
      <w:r>
        <w:t xml:space="preserve">$250,000 only if repayment occurs </w:t>
      </w:r>
      <w:r w:rsidR="00A74661">
        <w:t>"</w:t>
      </w:r>
      <w:r>
        <w:t>within 20 days of election</w:t>
      </w:r>
      <w:r w:rsidR="00A74661">
        <w:t>"</w:t>
      </w:r>
      <w:r w:rsidR="00D115BE">
        <w:t xml:space="preserve"> (</w:t>
      </w:r>
      <w:r>
        <w:t>§116.11(c)(1)</w:t>
      </w:r>
      <w:r w:rsidR="00D115BE">
        <w:t>); t</w:t>
      </w:r>
      <w:r>
        <w:t>hird</w:t>
      </w:r>
      <w:r w:rsidR="00D115BE">
        <w:t>ly</w:t>
      </w:r>
      <w:r>
        <w:t>, when 20-day post-election deadline expires, campaign must treat any portion above $250,000 as contribution</w:t>
      </w:r>
      <w:r w:rsidR="00D115BE">
        <w:t xml:space="preserve"> </w:t>
      </w:r>
      <w:r>
        <w:t xml:space="preserve">to campaign </w:t>
      </w:r>
      <w:r w:rsidR="00D115BE">
        <w:t>(</w:t>
      </w:r>
      <w:r>
        <w:t>§116.11(c)(2)</w:t>
      </w:r>
      <w:r w:rsidR="00D115BE">
        <w:t xml:space="preserve">) – Where </w:t>
      </w:r>
      <w:r>
        <w:t xml:space="preserve">Committee began repaying </w:t>
      </w:r>
      <w:proofErr w:type="spellStart"/>
      <w:r w:rsidR="00D115BE">
        <w:t>appell</w:t>
      </w:r>
      <w:r w:rsidR="00585E05">
        <w:t>ee</w:t>
      </w:r>
      <w:proofErr w:type="spellEnd"/>
      <w:r>
        <w:t xml:space="preserve"> loans after 20-day post</w:t>
      </w:r>
      <w:r w:rsidR="00585E05">
        <w:t>-</w:t>
      </w:r>
      <w:r>
        <w:t>election window closed</w:t>
      </w:r>
      <w:r w:rsidR="00585E05">
        <w:t xml:space="preserve"> – Where Committee </w:t>
      </w:r>
      <w:r>
        <w:t xml:space="preserve">repaid only $250,000, leaving $10,000 of </w:t>
      </w:r>
      <w:proofErr w:type="spellStart"/>
      <w:r w:rsidR="00585E05">
        <w:t>appellee</w:t>
      </w:r>
      <w:r w:rsidR="00A74661">
        <w:t>'</w:t>
      </w:r>
      <w:r w:rsidR="00585E05">
        <w:t>s</w:t>
      </w:r>
      <w:proofErr w:type="spellEnd"/>
      <w:r>
        <w:t xml:space="preserve"> personal</w:t>
      </w:r>
      <w:r w:rsidR="00585E05">
        <w:t xml:space="preserve"> </w:t>
      </w:r>
      <w:r>
        <w:t>loans unpaid</w:t>
      </w:r>
      <w:r w:rsidR="00585E05">
        <w:t xml:space="preserve"> – Where </w:t>
      </w:r>
      <w:proofErr w:type="spellStart"/>
      <w:r w:rsidR="00585E05">
        <w:t>appellee</w:t>
      </w:r>
      <w:proofErr w:type="spellEnd"/>
      <w:r w:rsidR="00585E05">
        <w:t xml:space="preserve"> </w:t>
      </w:r>
      <w:r>
        <w:t>and Committee filed action in Federal</w:t>
      </w:r>
      <w:r w:rsidR="00585E05">
        <w:t xml:space="preserve"> </w:t>
      </w:r>
      <w:r>
        <w:t xml:space="preserve">District Court, alleging </w:t>
      </w:r>
      <w:r w:rsidR="00585E05">
        <w:t>section</w:t>
      </w:r>
      <w:r>
        <w:t xml:space="preserve"> 304 of BCRA violate</w:t>
      </w:r>
      <w:r w:rsidR="00585E05">
        <w:t>d</w:t>
      </w:r>
      <w:r>
        <w:t xml:space="preserve"> First</w:t>
      </w:r>
      <w:r w:rsidR="00585E05">
        <w:t xml:space="preserve"> </w:t>
      </w:r>
      <w:r>
        <w:t xml:space="preserve">Amendment and </w:t>
      </w:r>
      <w:r w:rsidR="00585E05">
        <w:t>raised</w:t>
      </w:r>
      <w:r>
        <w:t xml:space="preserve"> challenges to FEC</w:t>
      </w:r>
      <w:r w:rsidR="00A74661">
        <w:t>'</w:t>
      </w:r>
      <w:r>
        <w:t>s implementing regulation, §116.11</w:t>
      </w:r>
      <w:r w:rsidR="00585E05">
        <w:t xml:space="preserve"> – Where </w:t>
      </w:r>
      <w:r>
        <w:t xml:space="preserve">District Court </w:t>
      </w:r>
      <w:r w:rsidR="00585E05">
        <w:t xml:space="preserve">awarded </w:t>
      </w:r>
      <w:r>
        <w:t>summary judgment on constitutional claim, holding</w:t>
      </w:r>
      <w:r w:rsidR="00585E05">
        <w:t xml:space="preserve"> </w:t>
      </w:r>
      <w:r>
        <w:t>loan-repayment limitation burden</w:t>
      </w:r>
      <w:r w:rsidR="00585E05">
        <w:t>ed</w:t>
      </w:r>
      <w:r>
        <w:t xml:space="preserve"> political speech without sufficient</w:t>
      </w:r>
      <w:r w:rsidR="00585E05">
        <w:t xml:space="preserve"> </w:t>
      </w:r>
      <w:r w:rsidR="00585E05" w:rsidRPr="00585E05">
        <w:t>justification</w:t>
      </w:r>
      <w:r w:rsidR="00585E05">
        <w:t xml:space="preserve">, dismissing as moot challenges to regulation – Whether </w:t>
      </w:r>
      <w:r w:rsidR="00585E05" w:rsidRPr="00585E05">
        <w:t>loan-repayment limitation</w:t>
      </w:r>
      <w:r w:rsidR="00585E05">
        <w:t>s violate First Amendment rights of candidates and campaigns to engage in political speech.</w:t>
      </w:r>
    </w:p>
    <w:p w14:paraId="70710DBF" w14:textId="77777777" w:rsidR="00D93AD6" w:rsidRDefault="00D93AD6" w:rsidP="00D93AD6">
      <w:pPr>
        <w:rPr>
          <w:b/>
          <w:bCs/>
          <w:lang w:eastAsia="en-AU"/>
        </w:rPr>
      </w:pPr>
    </w:p>
    <w:p w14:paraId="3C294209" w14:textId="0A6A172F" w:rsidR="00D93AD6" w:rsidRDefault="00D93AD6" w:rsidP="00D93AD6">
      <w:pPr>
        <w:rPr>
          <w:lang w:eastAsia="en-AU"/>
        </w:rPr>
      </w:pPr>
      <w:r>
        <w:rPr>
          <w:b/>
          <w:bCs/>
          <w:lang w:eastAsia="en-AU"/>
        </w:rPr>
        <w:t>Held (</w:t>
      </w:r>
      <w:r w:rsidR="0052533A">
        <w:rPr>
          <w:b/>
          <w:bCs/>
          <w:lang w:eastAsia="en-AU"/>
        </w:rPr>
        <w:t>6:3</w:t>
      </w:r>
      <w:r>
        <w:rPr>
          <w:b/>
          <w:bCs/>
          <w:lang w:eastAsia="en-AU"/>
        </w:rPr>
        <w:t>):</w:t>
      </w:r>
      <w:r>
        <w:rPr>
          <w:lang w:eastAsia="en-AU"/>
        </w:rPr>
        <w:t xml:space="preserve"> </w:t>
      </w:r>
      <w:r w:rsidRPr="006C3EC7">
        <w:rPr>
          <w:lang w:eastAsia="en-AU"/>
        </w:rPr>
        <w:t xml:space="preserve">Judgment of </w:t>
      </w:r>
      <w:r w:rsidR="0052533A">
        <w:rPr>
          <w:lang w:eastAsia="en-AU"/>
        </w:rPr>
        <w:t>United States District Court for the District of Colombia affirmed</w:t>
      </w:r>
      <w:r>
        <w:rPr>
          <w:lang w:eastAsia="en-AU"/>
        </w:rPr>
        <w:t xml:space="preserve">. </w:t>
      </w:r>
    </w:p>
    <w:p w14:paraId="23081163" w14:textId="33F48F4A" w:rsidR="00EB6080" w:rsidRDefault="00EB6080" w:rsidP="00EB6080">
      <w:pPr>
        <w:pStyle w:val="BullDivider1"/>
      </w:pPr>
    </w:p>
    <w:p w14:paraId="4829E4D8" w14:textId="77777777" w:rsidR="00EB6080" w:rsidRPr="00EB6080" w:rsidRDefault="00EB6080" w:rsidP="00EB6080">
      <w:pPr>
        <w:rPr>
          <w:lang w:eastAsia="en-AU"/>
        </w:rPr>
      </w:pPr>
      <w:bookmarkStart w:id="8" w:name="_Hlk104985913"/>
    </w:p>
    <w:p w14:paraId="2C11DB45" w14:textId="77777777" w:rsidR="00EB6080" w:rsidRDefault="00EB6080" w:rsidP="00EB6080">
      <w:pPr>
        <w:pStyle w:val="Heading2"/>
      </w:pPr>
      <w:r>
        <w:t xml:space="preserve">R v Minister for the Cabinet Office </w:t>
      </w:r>
    </w:p>
    <w:p w14:paraId="4415A59B" w14:textId="77777777" w:rsidR="00EB6080" w:rsidRDefault="00EB6080" w:rsidP="00EB6080">
      <w:pPr>
        <w:rPr>
          <w:lang w:eastAsia="en-AU"/>
        </w:rPr>
      </w:pPr>
      <w:r>
        <w:rPr>
          <w:b/>
          <w:bCs/>
          <w:lang w:eastAsia="en-AU"/>
        </w:rPr>
        <w:t>Supreme Court of the United Kingdom</w:t>
      </w:r>
      <w:r w:rsidRPr="006B0D58">
        <w:rPr>
          <w:b/>
          <w:bCs/>
          <w:lang w:eastAsia="en-AU"/>
        </w:rPr>
        <w:t>:</w:t>
      </w:r>
      <w:r>
        <w:rPr>
          <w:lang w:eastAsia="en-AU"/>
        </w:rPr>
        <w:t xml:space="preserve"> </w:t>
      </w:r>
      <w:hyperlink r:id="rId32" w:history="1">
        <w:r>
          <w:rPr>
            <w:rStyle w:val="Hyperlink"/>
          </w:rPr>
          <w:t>[2022] UKSC 11</w:t>
        </w:r>
      </w:hyperlink>
      <w:r>
        <w:t xml:space="preserve"> </w:t>
      </w:r>
    </w:p>
    <w:p w14:paraId="0D7F065A" w14:textId="77777777" w:rsidR="00EB6080" w:rsidRDefault="00EB6080" w:rsidP="00EB6080">
      <w:pPr>
        <w:rPr>
          <w:lang w:eastAsia="en-AU"/>
        </w:rPr>
      </w:pPr>
    </w:p>
    <w:p w14:paraId="5D235268" w14:textId="77777777" w:rsidR="00EB6080" w:rsidRPr="00DB68FF" w:rsidRDefault="00EB6080" w:rsidP="00EB6080">
      <w:pPr>
        <w:rPr>
          <w:lang w:eastAsia="en-AU"/>
        </w:rPr>
      </w:pPr>
      <w:r>
        <w:rPr>
          <w:b/>
          <w:bCs/>
          <w:lang w:eastAsia="en-AU"/>
        </w:rPr>
        <w:t xml:space="preserve">Judgment delivered: </w:t>
      </w:r>
      <w:r>
        <w:rPr>
          <w:lang w:eastAsia="en-AU"/>
        </w:rPr>
        <w:t>27 April 2022</w:t>
      </w:r>
    </w:p>
    <w:p w14:paraId="2F1D43F6" w14:textId="77777777" w:rsidR="00EB6080" w:rsidRDefault="00EB6080" w:rsidP="00EB6080">
      <w:pPr>
        <w:rPr>
          <w:b/>
          <w:bCs/>
          <w:lang w:eastAsia="en-AU"/>
        </w:rPr>
      </w:pPr>
    </w:p>
    <w:p w14:paraId="10C50897" w14:textId="16CF931C" w:rsidR="00EB6080" w:rsidRDefault="00EB6080" w:rsidP="00EB6080">
      <w:pPr>
        <w:rPr>
          <w:lang w:eastAsia="en-AU"/>
        </w:rPr>
      </w:pPr>
      <w:r>
        <w:rPr>
          <w:b/>
          <w:bCs/>
          <w:lang w:eastAsia="en-AU"/>
        </w:rPr>
        <w:t>Coram:</w:t>
      </w:r>
      <w:r w:rsidRPr="00DB68FF">
        <w:t xml:space="preserve"> </w:t>
      </w:r>
      <w:r w:rsidRPr="002717B0">
        <w:rPr>
          <w:lang w:eastAsia="en-AU"/>
        </w:rPr>
        <w:t xml:space="preserve">Lord </w:t>
      </w:r>
      <w:r>
        <w:rPr>
          <w:lang w:eastAsia="en-AU"/>
        </w:rPr>
        <w:t>Reed</w:t>
      </w:r>
      <w:r w:rsidRPr="002717B0">
        <w:rPr>
          <w:lang w:eastAsia="en-AU"/>
        </w:rPr>
        <w:t xml:space="preserve">, </w:t>
      </w:r>
      <w:r>
        <w:rPr>
          <w:lang w:eastAsia="en-AU"/>
        </w:rPr>
        <w:t xml:space="preserve">Lord Sales, Lord </w:t>
      </w:r>
      <w:proofErr w:type="spellStart"/>
      <w:r>
        <w:rPr>
          <w:lang w:eastAsia="en-AU"/>
        </w:rPr>
        <w:t>Hamblen</w:t>
      </w:r>
      <w:proofErr w:type="spellEnd"/>
      <w:r>
        <w:rPr>
          <w:lang w:eastAsia="en-AU"/>
        </w:rPr>
        <w:t xml:space="preserve">, Lord Stephens and Dame </w:t>
      </w:r>
      <w:r w:rsidRPr="00342708">
        <w:rPr>
          <w:lang w:eastAsia="en-AU"/>
        </w:rPr>
        <w:t>Keegan</w:t>
      </w:r>
    </w:p>
    <w:p w14:paraId="71E7429F" w14:textId="77777777" w:rsidR="00EB6080" w:rsidRDefault="00EB6080" w:rsidP="00EB6080">
      <w:pPr>
        <w:rPr>
          <w:b/>
          <w:bCs/>
          <w:lang w:eastAsia="en-AU"/>
        </w:rPr>
      </w:pPr>
    </w:p>
    <w:p w14:paraId="4FF3CFB0" w14:textId="77777777" w:rsidR="00EB6080" w:rsidRDefault="00EB6080" w:rsidP="00EB6080">
      <w:pPr>
        <w:rPr>
          <w:b/>
          <w:bCs/>
          <w:lang w:eastAsia="en-AU"/>
        </w:rPr>
      </w:pPr>
      <w:r>
        <w:rPr>
          <w:b/>
          <w:bCs/>
          <w:lang w:eastAsia="en-AU"/>
        </w:rPr>
        <w:t>Catchwords:</w:t>
      </w:r>
    </w:p>
    <w:p w14:paraId="57736B94" w14:textId="77777777" w:rsidR="00EB6080" w:rsidRDefault="00EB6080" w:rsidP="00EB6080">
      <w:pPr>
        <w:rPr>
          <w:b/>
          <w:bCs/>
          <w:lang w:eastAsia="en-AU"/>
        </w:rPr>
      </w:pPr>
    </w:p>
    <w:p w14:paraId="5DD641DE" w14:textId="37AA8240" w:rsidR="00EB6080" w:rsidRDefault="00EB6080" w:rsidP="00EB6080">
      <w:pPr>
        <w:pStyle w:val="Catchwords"/>
      </w:pPr>
      <w:r>
        <w:t xml:space="preserve">Election law – Voting rights – Voter identification – Where respondent announced intention to authorise </w:t>
      </w:r>
      <w:r w:rsidR="00E266BB">
        <w:t xml:space="preserve">pilot schemes temporarily changing rules </w:t>
      </w:r>
      <w:r w:rsidR="00E266BB" w:rsidRPr="00E266BB">
        <w:t>set out in secondary legislation governing local elections</w:t>
      </w:r>
      <w:r w:rsidR="00E266BB">
        <w:t xml:space="preserve"> – Where changes were to occur in respect of local government elections in May 2019 – Where respondent ordered implementation of pilot schemes in 10 local authorities (</w:t>
      </w:r>
      <w:r w:rsidR="00A74661">
        <w:t>"</w:t>
      </w:r>
      <w:r w:rsidR="00E266BB">
        <w:t>Pilot Orders</w:t>
      </w:r>
      <w:r w:rsidR="00A74661">
        <w:t>"</w:t>
      </w:r>
      <w:r w:rsidR="00E266BB">
        <w:t xml:space="preserve">) – Where pilot scheme introduced new requirement for form of voter identification – </w:t>
      </w:r>
      <w:r w:rsidR="005F5920">
        <w:t xml:space="preserve">Where s 10(1) of </w:t>
      </w:r>
      <w:r w:rsidR="005F5920" w:rsidRPr="00E266BB">
        <w:rPr>
          <w:i/>
          <w:iCs/>
        </w:rPr>
        <w:t>Representation of the People Act 2000</w:t>
      </w:r>
      <w:r w:rsidR="005F5920">
        <w:t xml:space="preserve"> (</w:t>
      </w:r>
      <w:r w:rsidR="00A74661">
        <w:t>"</w:t>
      </w:r>
      <w:r w:rsidR="005F5920">
        <w:t>RPA 2000</w:t>
      </w:r>
      <w:r w:rsidR="00A74661">
        <w:t>"</w:t>
      </w:r>
      <w:r w:rsidR="005F5920">
        <w:t>) enable</w:t>
      </w:r>
      <w:r w:rsidR="00A243F4">
        <w:t>d</w:t>
      </w:r>
      <w:r w:rsidR="005F5920">
        <w:t xml:space="preserve"> Secretary of State by subordinate legislation to make such provision for and in connection with implementation of scheme as consider</w:t>
      </w:r>
      <w:r w:rsidR="00A243F4">
        <w:t>ed</w:t>
      </w:r>
      <w:r w:rsidR="005F5920">
        <w:t xml:space="preserve"> appropriate – Where Secretary of State</w:t>
      </w:r>
      <w:r w:rsidR="00A74661">
        <w:t>'</w:t>
      </w:r>
      <w:r w:rsidR="005F5920">
        <w:t>s power limited to scheme within meaning of s 10(2) which relevantly provide</w:t>
      </w:r>
      <w:r w:rsidR="00A243F4">
        <w:t>d</w:t>
      </w:r>
      <w:r w:rsidR="005F5920">
        <w:t xml:space="preserve"> for schemes regards how voting at elections to take place</w:t>
      </w:r>
      <w:r w:rsidR="00A243F4">
        <w:t xml:space="preserve"> (s 10(2)(a))</w:t>
      </w:r>
      <w:r w:rsidR="005F5920">
        <w:t xml:space="preserve"> – </w:t>
      </w:r>
      <w:r w:rsidR="00E266BB">
        <w:t xml:space="preserve">Whether Pilot Orders ultra vires, because pilot schemes not </w:t>
      </w:r>
      <w:r w:rsidR="00A74661">
        <w:t>"</w:t>
      </w:r>
      <w:r w:rsidR="00E266BB">
        <w:t>schemes</w:t>
      </w:r>
      <w:r w:rsidR="00A74661">
        <w:t>"</w:t>
      </w:r>
      <w:r w:rsidR="00E266BB">
        <w:t xml:space="preserve"> within meaning of s 10(2)(a) of</w:t>
      </w:r>
      <w:r w:rsidR="005F5920">
        <w:t xml:space="preserve"> RPA 2000</w:t>
      </w:r>
      <w:r w:rsidR="00E266BB">
        <w:t xml:space="preserve"> – Whether pilot schemes authorised for lawful purpose under s 10(1) of RPA 2000, consistent with policy and objects of Act.</w:t>
      </w:r>
    </w:p>
    <w:p w14:paraId="7FA9D03E" w14:textId="77777777" w:rsidR="00EB6080" w:rsidRDefault="00EB6080" w:rsidP="00EB6080">
      <w:pPr>
        <w:rPr>
          <w:b/>
          <w:bCs/>
          <w:lang w:eastAsia="en-AU"/>
        </w:rPr>
      </w:pPr>
    </w:p>
    <w:p w14:paraId="30A6CF43" w14:textId="77777777" w:rsidR="00EB6080" w:rsidRDefault="00EB6080" w:rsidP="00EB6080">
      <w:pPr>
        <w:rPr>
          <w:lang w:eastAsia="en-AU"/>
        </w:rPr>
      </w:pPr>
      <w:r>
        <w:rPr>
          <w:b/>
          <w:bCs/>
          <w:lang w:eastAsia="en-AU"/>
        </w:rPr>
        <w:t>Held (5:0):</w:t>
      </w:r>
      <w:r>
        <w:rPr>
          <w:lang w:eastAsia="en-AU"/>
        </w:rPr>
        <w:t xml:space="preserve"> Appeal dismissed. </w:t>
      </w:r>
    </w:p>
    <w:p w14:paraId="15D7319B" w14:textId="77777777" w:rsidR="00D93AD6" w:rsidRDefault="00D93AD6" w:rsidP="00D93AD6">
      <w:pPr>
        <w:pStyle w:val="BullDivider2"/>
      </w:pPr>
    </w:p>
    <w:bookmarkEnd w:id="8"/>
    <w:p w14:paraId="7945525B" w14:textId="77777777" w:rsidR="00D93AD6" w:rsidRPr="00D93AD6" w:rsidRDefault="00D93AD6" w:rsidP="00D93AD6">
      <w:pPr>
        <w:rPr>
          <w:lang w:eastAsia="en-AU"/>
        </w:rPr>
      </w:pPr>
    </w:p>
    <w:p w14:paraId="48B72DE1" w14:textId="1AAE0948" w:rsidR="00441FFE" w:rsidRDefault="00441FFE" w:rsidP="009556B8">
      <w:pPr>
        <w:pStyle w:val="Heading1"/>
      </w:pPr>
      <w:r>
        <w:t xml:space="preserve">Employment Law </w:t>
      </w:r>
    </w:p>
    <w:p w14:paraId="07110D0A" w14:textId="07D61AE4" w:rsidR="00441FFE" w:rsidRDefault="00441FFE" w:rsidP="00441FFE">
      <w:pPr>
        <w:rPr>
          <w:lang w:eastAsia="en-AU"/>
        </w:rPr>
      </w:pPr>
    </w:p>
    <w:p w14:paraId="0C34CAF9" w14:textId="0394697E" w:rsidR="00441FFE" w:rsidRPr="00367779" w:rsidRDefault="003557BE" w:rsidP="00441FFE">
      <w:pPr>
        <w:keepNext/>
        <w:outlineLvl w:val="1"/>
        <w:rPr>
          <w:rFonts w:ascii="Arial" w:hAnsi="Arial" w:cs="Arial"/>
          <w:bCs/>
          <w:i/>
          <w:iCs/>
          <w:sz w:val="28"/>
          <w:szCs w:val="28"/>
          <w:lang w:eastAsia="en-AU"/>
        </w:rPr>
      </w:pPr>
      <w:r w:rsidRPr="003557BE">
        <w:rPr>
          <w:rFonts w:ascii="Arial" w:hAnsi="Arial" w:cs="Arial"/>
          <w:bCs/>
          <w:i/>
          <w:iCs/>
          <w:sz w:val="28"/>
          <w:szCs w:val="28"/>
          <w:lang w:eastAsia="en-AU"/>
        </w:rPr>
        <w:t xml:space="preserve">Solidarity obo Members v Barloworld Equipment Southern Africa </w:t>
      </w:r>
      <w:r>
        <w:rPr>
          <w:rFonts w:ascii="Arial" w:hAnsi="Arial" w:cs="Arial"/>
          <w:bCs/>
          <w:i/>
          <w:iCs/>
          <w:sz w:val="28"/>
          <w:szCs w:val="28"/>
          <w:lang w:eastAsia="en-AU"/>
        </w:rPr>
        <w:t xml:space="preserve">&amp; </w:t>
      </w:r>
      <w:proofErr w:type="spellStart"/>
      <w:r>
        <w:rPr>
          <w:rFonts w:ascii="Arial" w:hAnsi="Arial" w:cs="Arial"/>
          <w:bCs/>
          <w:i/>
          <w:iCs/>
          <w:sz w:val="28"/>
          <w:szCs w:val="28"/>
          <w:lang w:eastAsia="en-AU"/>
        </w:rPr>
        <w:t>Ors</w:t>
      </w:r>
      <w:proofErr w:type="spellEnd"/>
    </w:p>
    <w:p w14:paraId="605B5B37" w14:textId="47CCF5A6" w:rsidR="00441FFE" w:rsidRPr="00367779" w:rsidRDefault="00441FFE" w:rsidP="00441FFE">
      <w:pPr>
        <w:rPr>
          <w:lang w:eastAsia="en-AU"/>
        </w:rPr>
      </w:pPr>
      <w:r w:rsidRPr="00367779">
        <w:rPr>
          <w:b/>
          <w:lang w:eastAsia="en-AU"/>
        </w:rPr>
        <w:t xml:space="preserve">Constitutional Court of South Africa: </w:t>
      </w:r>
      <w:hyperlink r:id="rId33" w:history="1">
        <w:r w:rsidR="003557BE" w:rsidRPr="003557BE">
          <w:rPr>
            <w:rStyle w:val="Hyperlink"/>
            <w:bCs/>
            <w:lang w:eastAsia="en-AU"/>
          </w:rPr>
          <w:t>[2022] ZACC 15</w:t>
        </w:r>
      </w:hyperlink>
    </w:p>
    <w:p w14:paraId="2BC745FE" w14:textId="77777777" w:rsidR="00441FFE" w:rsidRPr="00367779" w:rsidRDefault="00441FFE" w:rsidP="00441FFE">
      <w:pPr>
        <w:rPr>
          <w:lang w:eastAsia="en-AU"/>
        </w:rPr>
      </w:pPr>
    </w:p>
    <w:p w14:paraId="16D4E22A" w14:textId="689B1971" w:rsidR="00441FFE" w:rsidRPr="00367779" w:rsidRDefault="00441FFE" w:rsidP="00441FFE">
      <w:pPr>
        <w:rPr>
          <w:lang w:eastAsia="en-AU"/>
        </w:rPr>
      </w:pPr>
      <w:r w:rsidRPr="00367779">
        <w:rPr>
          <w:b/>
          <w:lang w:eastAsia="en-AU"/>
        </w:rPr>
        <w:t>Judgment delivered:</w:t>
      </w:r>
      <w:r w:rsidRPr="00367779">
        <w:rPr>
          <w:lang w:eastAsia="en-AU"/>
        </w:rPr>
        <w:t xml:space="preserve"> </w:t>
      </w:r>
      <w:r w:rsidR="003557BE">
        <w:rPr>
          <w:lang w:eastAsia="en-AU"/>
        </w:rPr>
        <w:t>6 May</w:t>
      </w:r>
      <w:r w:rsidRPr="00367779">
        <w:rPr>
          <w:lang w:eastAsia="en-AU"/>
        </w:rPr>
        <w:t xml:space="preserve"> 2022</w:t>
      </w:r>
    </w:p>
    <w:p w14:paraId="7FF52445" w14:textId="77777777" w:rsidR="00441FFE" w:rsidRPr="00367779" w:rsidRDefault="00441FFE" w:rsidP="00441FFE">
      <w:pPr>
        <w:rPr>
          <w:lang w:eastAsia="en-AU"/>
        </w:rPr>
      </w:pPr>
    </w:p>
    <w:p w14:paraId="7A7D620D" w14:textId="55B34182" w:rsidR="00441FFE" w:rsidRPr="00367779" w:rsidRDefault="00441FFE" w:rsidP="00441FFE">
      <w:pPr>
        <w:rPr>
          <w:lang w:eastAsia="en-AU"/>
        </w:rPr>
      </w:pPr>
      <w:r w:rsidRPr="00367779">
        <w:rPr>
          <w:b/>
          <w:lang w:eastAsia="en-AU"/>
        </w:rPr>
        <w:t xml:space="preserve">Coram: </w:t>
      </w:r>
      <w:proofErr w:type="spellStart"/>
      <w:r w:rsidR="003557BE" w:rsidRPr="003557BE">
        <w:rPr>
          <w:lang w:eastAsia="en-AU"/>
        </w:rPr>
        <w:t>Madlanga</w:t>
      </w:r>
      <w:proofErr w:type="spellEnd"/>
      <w:r w:rsidR="003557BE" w:rsidRPr="003557BE">
        <w:rPr>
          <w:lang w:eastAsia="en-AU"/>
        </w:rPr>
        <w:t xml:space="preserve"> J, </w:t>
      </w:r>
      <w:proofErr w:type="spellStart"/>
      <w:r w:rsidR="003557BE" w:rsidRPr="003557BE">
        <w:rPr>
          <w:lang w:eastAsia="en-AU"/>
        </w:rPr>
        <w:t>Madondo</w:t>
      </w:r>
      <w:proofErr w:type="spellEnd"/>
      <w:r w:rsidR="003557BE" w:rsidRPr="003557BE">
        <w:rPr>
          <w:lang w:eastAsia="en-AU"/>
        </w:rPr>
        <w:t xml:space="preserve"> AJ, </w:t>
      </w:r>
      <w:proofErr w:type="spellStart"/>
      <w:r w:rsidR="003557BE" w:rsidRPr="003557BE">
        <w:rPr>
          <w:lang w:eastAsia="en-AU"/>
        </w:rPr>
        <w:t>Mhlantla</w:t>
      </w:r>
      <w:proofErr w:type="spellEnd"/>
      <w:r w:rsidR="003557BE" w:rsidRPr="003557BE">
        <w:rPr>
          <w:lang w:eastAsia="en-AU"/>
        </w:rPr>
        <w:t xml:space="preserve">, </w:t>
      </w:r>
      <w:proofErr w:type="spellStart"/>
      <w:r w:rsidR="003557BE" w:rsidRPr="003557BE">
        <w:rPr>
          <w:lang w:eastAsia="en-AU"/>
        </w:rPr>
        <w:t>Majiedt</w:t>
      </w:r>
      <w:proofErr w:type="spellEnd"/>
      <w:r w:rsidR="003557BE" w:rsidRPr="003557BE">
        <w:rPr>
          <w:lang w:eastAsia="en-AU"/>
        </w:rPr>
        <w:t xml:space="preserve"> </w:t>
      </w:r>
      <w:r w:rsidR="003557BE">
        <w:rPr>
          <w:lang w:eastAsia="en-AU"/>
        </w:rPr>
        <w:t>J</w:t>
      </w:r>
      <w:r w:rsidR="003557BE" w:rsidRPr="003557BE">
        <w:rPr>
          <w:lang w:eastAsia="en-AU"/>
        </w:rPr>
        <w:t>J, Pillay, Rogers A</w:t>
      </w:r>
      <w:r w:rsidR="003557BE">
        <w:rPr>
          <w:lang w:eastAsia="en-AU"/>
        </w:rPr>
        <w:t>J</w:t>
      </w:r>
      <w:r w:rsidR="003557BE" w:rsidRPr="003557BE">
        <w:rPr>
          <w:lang w:eastAsia="en-AU"/>
        </w:rPr>
        <w:t xml:space="preserve">J, Theron J, </w:t>
      </w:r>
      <w:proofErr w:type="spellStart"/>
      <w:r w:rsidR="003557BE" w:rsidRPr="003557BE">
        <w:rPr>
          <w:lang w:eastAsia="en-AU"/>
        </w:rPr>
        <w:t>Tlaletsi</w:t>
      </w:r>
      <w:proofErr w:type="spellEnd"/>
      <w:r w:rsidR="003557BE" w:rsidRPr="003557BE">
        <w:rPr>
          <w:lang w:eastAsia="en-AU"/>
        </w:rPr>
        <w:t xml:space="preserve"> AJ and </w:t>
      </w:r>
      <w:proofErr w:type="spellStart"/>
      <w:r w:rsidR="003557BE" w:rsidRPr="003557BE">
        <w:rPr>
          <w:lang w:eastAsia="en-AU"/>
        </w:rPr>
        <w:t>Tshiqi</w:t>
      </w:r>
      <w:proofErr w:type="spellEnd"/>
      <w:r w:rsidR="003557BE" w:rsidRPr="003557BE">
        <w:rPr>
          <w:lang w:eastAsia="en-AU"/>
        </w:rPr>
        <w:t xml:space="preserve"> J</w:t>
      </w:r>
    </w:p>
    <w:p w14:paraId="372777A5" w14:textId="77777777" w:rsidR="00441FFE" w:rsidRPr="00367779" w:rsidRDefault="00441FFE" w:rsidP="00441FFE">
      <w:pPr>
        <w:rPr>
          <w:lang w:eastAsia="en-AU"/>
        </w:rPr>
      </w:pPr>
    </w:p>
    <w:p w14:paraId="0025D694" w14:textId="77777777" w:rsidR="00441FFE" w:rsidRPr="00367779" w:rsidRDefault="00441FFE" w:rsidP="00441FFE">
      <w:pPr>
        <w:rPr>
          <w:b/>
          <w:lang w:eastAsia="en-AU"/>
        </w:rPr>
      </w:pPr>
      <w:r w:rsidRPr="00367779">
        <w:rPr>
          <w:b/>
          <w:lang w:eastAsia="en-AU"/>
        </w:rPr>
        <w:t>Catchwords:</w:t>
      </w:r>
    </w:p>
    <w:p w14:paraId="46A592E1" w14:textId="77777777" w:rsidR="00441FFE" w:rsidRPr="00367779" w:rsidRDefault="00441FFE" w:rsidP="00441FFE">
      <w:pPr>
        <w:rPr>
          <w:b/>
          <w:highlight w:val="yellow"/>
          <w:lang w:eastAsia="en-AU"/>
        </w:rPr>
      </w:pPr>
    </w:p>
    <w:p w14:paraId="59009489" w14:textId="3D7B447F" w:rsidR="00441FFE" w:rsidRPr="00367779" w:rsidRDefault="003557BE" w:rsidP="001C4ACB">
      <w:pPr>
        <w:ind w:left="720"/>
        <w:rPr>
          <w:lang w:eastAsia="en-AU"/>
        </w:rPr>
      </w:pPr>
      <w:r>
        <w:rPr>
          <w:lang w:eastAsia="en-AU"/>
        </w:rPr>
        <w:t xml:space="preserve">Employment law – Labour – </w:t>
      </w:r>
      <w:r w:rsidR="00A74661">
        <w:rPr>
          <w:lang w:eastAsia="en-AU"/>
        </w:rPr>
        <w:t xml:space="preserve">Consultation process </w:t>
      </w:r>
      <w:r w:rsidR="00A30E2E">
        <w:rPr>
          <w:lang w:eastAsia="en-AU"/>
        </w:rPr>
        <w:t xml:space="preserve">– Where s </w:t>
      </w:r>
      <w:r w:rsidR="00A30E2E" w:rsidRPr="00506E8A">
        <w:rPr>
          <w:lang w:eastAsia="en-AU"/>
        </w:rPr>
        <w:t xml:space="preserve">189(3) </w:t>
      </w:r>
      <w:r w:rsidR="00A30E2E" w:rsidRPr="00735027">
        <w:rPr>
          <w:lang w:eastAsia="en-AU"/>
        </w:rPr>
        <w:t xml:space="preserve">of </w:t>
      </w:r>
      <w:r w:rsidR="00A30E2E" w:rsidRPr="003B7630">
        <w:rPr>
          <w:i/>
          <w:iCs/>
          <w:lang w:eastAsia="en-AU"/>
        </w:rPr>
        <w:t>Labour Relations Act</w:t>
      </w:r>
      <w:r w:rsidR="00A30E2E">
        <w:rPr>
          <w:lang w:eastAsia="en-AU"/>
        </w:rPr>
        <w:t xml:space="preserve"> 66 of 1995 </w:t>
      </w:r>
      <w:r w:rsidR="00A30E2E" w:rsidRPr="00506E8A">
        <w:rPr>
          <w:lang w:eastAsia="en-AU"/>
        </w:rPr>
        <w:t>state</w:t>
      </w:r>
      <w:r w:rsidR="00A30E2E">
        <w:rPr>
          <w:lang w:eastAsia="en-AU"/>
        </w:rPr>
        <w:t>d</w:t>
      </w:r>
      <w:r w:rsidR="00A30E2E" w:rsidRPr="00506E8A">
        <w:rPr>
          <w:lang w:eastAsia="en-AU"/>
        </w:rPr>
        <w:t xml:space="preserve"> employer must issue written notice inviting other consulting party to consult and disclose in writing all relevant information pertaining to proposed dismissals</w:t>
      </w:r>
      <w:r w:rsidR="00A30E2E">
        <w:rPr>
          <w:lang w:eastAsia="en-AU"/>
        </w:rPr>
        <w:t xml:space="preserve"> – Where s 189A(13) provided consulting party may approach Labour Court for certain orders where e</w:t>
      </w:r>
      <w:r w:rsidR="00A30E2E" w:rsidRPr="001C4ACB">
        <w:rPr>
          <w:lang w:eastAsia="en-AU"/>
        </w:rPr>
        <w:t>mployer does not comply with fair procedure</w:t>
      </w:r>
      <w:r w:rsidR="00A30E2E">
        <w:rPr>
          <w:lang w:eastAsia="en-AU"/>
        </w:rPr>
        <w:t xml:space="preserve"> </w:t>
      </w:r>
      <w:r w:rsidR="00A74661">
        <w:rPr>
          <w:lang w:eastAsia="en-AU"/>
        </w:rPr>
        <w:t>–</w:t>
      </w:r>
      <w:r w:rsidR="00A30E2E">
        <w:rPr>
          <w:lang w:eastAsia="en-AU"/>
        </w:rPr>
        <w:t xml:space="preserve"> </w:t>
      </w:r>
      <w:r w:rsidR="00735027">
        <w:rPr>
          <w:lang w:eastAsia="en-AU"/>
        </w:rPr>
        <w:t xml:space="preserve">Where </w:t>
      </w:r>
      <w:r w:rsidR="00735027" w:rsidRPr="00735027">
        <w:rPr>
          <w:lang w:eastAsia="en-AU"/>
        </w:rPr>
        <w:t xml:space="preserve">Barloworld sent notice, as envisaged by </w:t>
      </w:r>
      <w:r w:rsidR="003B7630">
        <w:rPr>
          <w:lang w:eastAsia="en-AU"/>
        </w:rPr>
        <w:t>s</w:t>
      </w:r>
      <w:r w:rsidR="00735027" w:rsidRPr="00735027">
        <w:rPr>
          <w:lang w:eastAsia="en-AU"/>
        </w:rPr>
        <w:t xml:space="preserve"> 189(3), to employees</w:t>
      </w:r>
      <w:r w:rsidR="003B7630">
        <w:rPr>
          <w:lang w:eastAsia="en-AU"/>
        </w:rPr>
        <w:t xml:space="preserve"> </w:t>
      </w:r>
      <w:r w:rsidR="00735027" w:rsidRPr="00735027">
        <w:rPr>
          <w:lang w:eastAsia="en-AU"/>
        </w:rPr>
        <w:t>relating to restructuring of operations</w:t>
      </w:r>
      <w:r w:rsidR="003B7630">
        <w:rPr>
          <w:lang w:eastAsia="en-AU"/>
        </w:rPr>
        <w:t>, allegedly resulting from</w:t>
      </w:r>
      <w:r w:rsidR="00735027" w:rsidRPr="00735027">
        <w:rPr>
          <w:lang w:eastAsia="en-AU"/>
        </w:rPr>
        <w:t xml:space="preserve"> impact of Covid-19 on entity</w:t>
      </w:r>
      <w:r w:rsidR="003B7630">
        <w:rPr>
          <w:lang w:eastAsia="en-AU"/>
        </w:rPr>
        <w:t xml:space="preserve"> – Where </w:t>
      </w:r>
      <w:r w:rsidR="00735027" w:rsidRPr="00735027">
        <w:rPr>
          <w:lang w:eastAsia="en-AU"/>
        </w:rPr>
        <w:lastRenderedPageBreak/>
        <w:t xml:space="preserve">Barloworld approached </w:t>
      </w:r>
      <w:r w:rsidR="001C4ACB" w:rsidRPr="001C4ACB">
        <w:rPr>
          <w:lang w:eastAsia="en-AU"/>
        </w:rPr>
        <w:t>Commission for Conciliation, Mediation and Arbitration</w:t>
      </w:r>
      <w:r w:rsidR="00735027" w:rsidRPr="00735027">
        <w:rPr>
          <w:lang w:eastAsia="en-AU"/>
        </w:rPr>
        <w:t xml:space="preserve"> and requested </w:t>
      </w:r>
      <w:r w:rsidR="001C4ACB">
        <w:rPr>
          <w:lang w:eastAsia="en-AU"/>
        </w:rPr>
        <w:t xml:space="preserve">appointment of </w:t>
      </w:r>
      <w:r w:rsidR="00735027" w:rsidRPr="00735027">
        <w:rPr>
          <w:lang w:eastAsia="en-AU"/>
        </w:rPr>
        <w:t xml:space="preserve">facilitator in terms of </w:t>
      </w:r>
      <w:r w:rsidR="001C4ACB">
        <w:rPr>
          <w:lang w:eastAsia="en-AU"/>
        </w:rPr>
        <w:t>s</w:t>
      </w:r>
      <w:r w:rsidR="00735027" w:rsidRPr="00735027">
        <w:rPr>
          <w:lang w:eastAsia="en-AU"/>
        </w:rPr>
        <w:t xml:space="preserve"> 189A(13) to facilitate joint consensus-seeking process between affected parties</w:t>
      </w:r>
      <w:r w:rsidR="001C4ACB">
        <w:rPr>
          <w:lang w:eastAsia="en-AU"/>
        </w:rPr>
        <w:t xml:space="preserve"> – </w:t>
      </w:r>
      <w:r w:rsidR="00A30E2E">
        <w:rPr>
          <w:lang w:eastAsia="en-AU"/>
        </w:rPr>
        <w:t>Where,</w:t>
      </w:r>
      <w:r w:rsidR="001C4ACB">
        <w:rPr>
          <w:lang w:eastAsia="en-AU"/>
        </w:rPr>
        <w:t xml:space="preserve"> after</w:t>
      </w:r>
      <w:r w:rsidR="00735027" w:rsidRPr="00735027">
        <w:rPr>
          <w:lang w:eastAsia="en-AU"/>
        </w:rPr>
        <w:t xml:space="preserve"> facilitator appointed, several letters exchanged between Solidarity</w:t>
      </w:r>
      <w:r w:rsidR="001C4ACB">
        <w:rPr>
          <w:lang w:eastAsia="en-AU"/>
        </w:rPr>
        <w:t>, t</w:t>
      </w:r>
      <w:r w:rsidR="001C4ACB" w:rsidRPr="001C4ACB">
        <w:rPr>
          <w:lang w:eastAsia="en-AU"/>
        </w:rPr>
        <w:t>rade union acting on behalf of former employees of Barloworld</w:t>
      </w:r>
      <w:r w:rsidR="001C4ACB">
        <w:rPr>
          <w:lang w:eastAsia="en-AU"/>
        </w:rPr>
        <w:t>,</w:t>
      </w:r>
      <w:r w:rsidR="00735027" w:rsidRPr="00735027">
        <w:rPr>
          <w:lang w:eastAsia="en-AU"/>
        </w:rPr>
        <w:t xml:space="preserve"> and Barloworld and various consultation meetings were held</w:t>
      </w:r>
      <w:r w:rsidR="00A30E2E">
        <w:rPr>
          <w:lang w:eastAsia="en-AU"/>
        </w:rPr>
        <w:t xml:space="preserve"> </w:t>
      </w:r>
      <w:r w:rsidR="001C4ACB">
        <w:rPr>
          <w:lang w:eastAsia="en-AU"/>
        </w:rPr>
        <w:t>– W</w:t>
      </w:r>
      <w:r w:rsidR="001C4ACB" w:rsidRPr="001C4ACB">
        <w:rPr>
          <w:lang w:eastAsia="en-AU"/>
        </w:rPr>
        <w:t xml:space="preserve">hether meaningful consultation between parties as required in terms of </w:t>
      </w:r>
      <w:r w:rsidR="001C4ACB">
        <w:rPr>
          <w:lang w:eastAsia="en-AU"/>
        </w:rPr>
        <w:t>s</w:t>
      </w:r>
      <w:r w:rsidR="001C4ACB" w:rsidRPr="001C4ACB">
        <w:rPr>
          <w:lang w:eastAsia="en-AU"/>
        </w:rPr>
        <w:t xml:space="preserve"> 189(2) of LRA</w:t>
      </w:r>
      <w:r w:rsidR="001C4ACB">
        <w:rPr>
          <w:lang w:eastAsia="en-AU"/>
        </w:rPr>
        <w:t xml:space="preserve"> – Whether </w:t>
      </w:r>
      <w:r w:rsidR="001C4ACB" w:rsidRPr="001C4ACB">
        <w:rPr>
          <w:lang w:eastAsia="en-AU"/>
        </w:rPr>
        <w:t xml:space="preserve">Labour Court correct in refusing to grant order in terms of </w:t>
      </w:r>
      <w:r w:rsidR="001C4ACB">
        <w:rPr>
          <w:lang w:eastAsia="en-AU"/>
        </w:rPr>
        <w:t>s</w:t>
      </w:r>
      <w:r w:rsidR="001C4ACB" w:rsidRPr="001C4ACB">
        <w:rPr>
          <w:lang w:eastAsia="en-AU"/>
        </w:rPr>
        <w:t xml:space="preserve"> 189A(13)</w:t>
      </w:r>
      <w:r w:rsidR="001C4ACB">
        <w:rPr>
          <w:lang w:eastAsia="en-AU"/>
        </w:rPr>
        <w:t xml:space="preserve"> – Proper </w:t>
      </w:r>
      <w:r w:rsidR="001C4ACB" w:rsidRPr="001C4ACB">
        <w:rPr>
          <w:lang w:eastAsia="en-AU"/>
        </w:rPr>
        <w:t xml:space="preserve">order to remedy defect in consultation process. </w:t>
      </w:r>
    </w:p>
    <w:p w14:paraId="064F28FC" w14:textId="77777777" w:rsidR="00441FFE" w:rsidRPr="00367779" w:rsidRDefault="00441FFE" w:rsidP="00441FFE">
      <w:pPr>
        <w:rPr>
          <w:b/>
          <w:lang w:eastAsia="en-AU"/>
        </w:rPr>
      </w:pPr>
    </w:p>
    <w:p w14:paraId="25E3FD87" w14:textId="08C2577F" w:rsidR="00441FFE" w:rsidRPr="00367779" w:rsidRDefault="00441FFE" w:rsidP="00441FFE">
      <w:pPr>
        <w:rPr>
          <w:lang w:eastAsia="en-AU"/>
        </w:rPr>
      </w:pPr>
      <w:r w:rsidRPr="00367779">
        <w:rPr>
          <w:b/>
          <w:lang w:eastAsia="en-AU"/>
        </w:rPr>
        <w:t>Held (</w:t>
      </w:r>
      <w:r w:rsidR="003557BE">
        <w:rPr>
          <w:b/>
          <w:lang w:eastAsia="en-AU"/>
        </w:rPr>
        <w:t>9:0</w:t>
      </w:r>
      <w:r w:rsidRPr="00367779">
        <w:rPr>
          <w:b/>
          <w:lang w:eastAsia="en-AU"/>
        </w:rPr>
        <w:t xml:space="preserve">): </w:t>
      </w:r>
      <w:r w:rsidRPr="00367779">
        <w:rPr>
          <w:lang w:eastAsia="en-AU"/>
        </w:rPr>
        <w:t xml:space="preserve">Leave to appeal granted; appeal </w:t>
      </w:r>
      <w:r w:rsidR="003557BE">
        <w:rPr>
          <w:lang w:eastAsia="en-AU"/>
        </w:rPr>
        <w:t>dismissed</w:t>
      </w:r>
      <w:r w:rsidRPr="00367779">
        <w:rPr>
          <w:lang w:eastAsia="en-AU"/>
        </w:rPr>
        <w:t>.</w:t>
      </w:r>
    </w:p>
    <w:p w14:paraId="3BD241D8" w14:textId="77777777" w:rsidR="00441FFE" w:rsidRDefault="00441FFE" w:rsidP="00441FFE">
      <w:pPr>
        <w:pStyle w:val="BullDivider2"/>
      </w:pPr>
    </w:p>
    <w:p w14:paraId="5F8B8E11" w14:textId="77777777" w:rsidR="00441FFE" w:rsidRPr="00441FFE" w:rsidRDefault="00441FFE" w:rsidP="00441FFE">
      <w:pPr>
        <w:rPr>
          <w:lang w:eastAsia="en-AU"/>
        </w:rPr>
      </w:pPr>
    </w:p>
    <w:p w14:paraId="437C3909" w14:textId="27FDA532" w:rsidR="00731B84" w:rsidRDefault="00731B84" w:rsidP="009556B8">
      <w:pPr>
        <w:pStyle w:val="Heading1"/>
      </w:pPr>
      <w:r>
        <w:t xml:space="preserve">Extradition </w:t>
      </w:r>
    </w:p>
    <w:p w14:paraId="71347A89" w14:textId="5E536003" w:rsidR="00731B84" w:rsidRDefault="00731B84" w:rsidP="00731B84">
      <w:pPr>
        <w:rPr>
          <w:lang w:eastAsia="en-AU"/>
        </w:rPr>
      </w:pPr>
    </w:p>
    <w:p w14:paraId="275E2438" w14:textId="59D53F72" w:rsidR="00731B84" w:rsidRDefault="00731B84" w:rsidP="00731B84">
      <w:pPr>
        <w:pStyle w:val="Heading2"/>
      </w:pPr>
      <w:r>
        <w:t xml:space="preserve">Minister of Justice v Kyung Yup Kim </w:t>
      </w:r>
    </w:p>
    <w:p w14:paraId="61A03CE7" w14:textId="3C70343C" w:rsidR="00731B84" w:rsidRDefault="00731B84" w:rsidP="00731B84">
      <w:pPr>
        <w:rPr>
          <w:lang w:eastAsia="en-AU"/>
        </w:rPr>
      </w:pPr>
      <w:r>
        <w:rPr>
          <w:b/>
          <w:bCs/>
          <w:lang w:eastAsia="en-AU"/>
        </w:rPr>
        <w:t>Supreme Court of New Zealand</w:t>
      </w:r>
      <w:r w:rsidRPr="006B0D58">
        <w:rPr>
          <w:b/>
          <w:bCs/>
          <w:lang w:eastAsia="en-AU"/>
        </w:rPr>
        <w:t>:</w:t>
      </w:r>
      <w:r>
        <w:rPr>
          <w:lang w:eastAsia="en-AU"/>
        </w:rPr>
        <w:t xml:space="preserve"> </w:t>
      </w:r>
      <w:hyperlink r:id="rId34" w:history="1">
        <w:r>
          <w:rPr>
            <w:rStyle w:val="Hyperlink"/>
            <w:lang w:eastAsia="en-AU"/>
          </w:rPr>
          <w:t>[2022] NZSC 44</w:t>
        </w:r>
      </w:hyperlink>
    </w:p>
    <w:p w14:paraId="5B4D4B79" w14:textId="77777777" w:rsidR="00731B84" w:rsidRDefault="00731B84" w:rsidP="00731B84">
      <w:pPr>
        <w:rPr>
          <w:lang w:eastAsia="en-AU"/>
        </w:rPr>
      </w:pPr>
    </w:p>
    <w:p w14:paraId="3F554DD4" w14:textId="458F787E" w:rsidR="00731B84" w:rsidRPr="00DB68FF" w:rsidRDefault="00731B84" w:rsidP="00731B84">
      <w:pPr>
        <w:rPr>
          <w:lang w:eastAsia="en-AU"/>
        </w:rPr>
      </w:pPr>
      <w:r>
        <w:rPr>
          <w:b/>
          <w:bCs/>
          <w:lang w:eastAsia="en-AU"/>
        </w:rPr>
        <w:t xml:space="preserve">Judgment delivered: </w:t>
      </w:r>
      <w:r>
        <w:rPr>
          <w:lang w:eastAsia="en-AU"/>
        </w:rPr>
        <w:t>13 April 2022</w:t>
      </w:r>
    </w:p>
    <w:p w14:paraId="469794EF" w14:textId="77777777" w:rsidR="00731B84" w:rsidRDefault="00731B84" w:rsidP="00731B84">
      <w:pPr>
        <w:rPr>
          <w:b/>
          <w:bCs/>
          <w:lang w:eastAsia="en-AU"/>
        </w:rPr>
      </w:pPr>
    </w:p>
    <w:p w14:paraId="40396346" w14:textId="0420B36B" w:rsidR="00731B84" w:rsidRDefault="00731B84" w:rsidP="00731B84">
      <w:pPr>
        <w:rPr>
          <w:lang w:eastAsia="en-AU"/>
        </w:rPr>
      </w:pPr>
      <w:r>
        <w:rPr>
          <w:b/>
          <w:bCs/>
          <w:lang w:eastAsia="en-AU"/>
        </w:rPr>
        <w:t>Coram:</w:t>
      </w:r>
      <w:r w:rsidRPr="00DB68FF">
        <w:t xml:space="preserve"> </w:t>
      </w:r>
      <w:proofErr w:type="spellStart"/>
      <w:r w:rsidRPr="00731B84">
        <w:rPr>
          <w:lang w:eastAsia="en-AU"/>
        </w:rPr>
        <w:t>Glazebrook</w:t>
      </w:r>
      <w:proofErr w:type="spellEnd"/>
      <w:r w:rsidRPr="00731B84">
        <w:rPr>
          <w:lang w:eastAsia="en-AU"/>
        </w:rPr>
        <w:t xml:space="preserve">, </w:t>
      </w:r>
      <w:proofErr w:type="spellStart"/>
      <w:r w:rsidRPr="00731B84">
        <w:rPr>
          <w:lang w:eastAsia="en-AU"/>
        </w:rPr>
        <w:t>O</w:t>
      </w:r>
      <w:r w:rsidR="00A74661">
        <w:rPr>
          <w:lang w:eastAsia="en-AU"/>
        </w:rPr>
        <w:t>'</w:t>
      </w:r>
      <w:r w:rsidRPr="00731B84">
        <w:rPr>
          <w:lang w:eastAsia="en-AU"/>
        </w:rPr>
        <w:t>Regan</w:t>
      </w:r>
      <w:proofErr w:type="spellEnd"/>
      <w:r w:rsidRPr="00731B84">
        <w:rPr>
          <w:lang w:eastAsia="en-AU"/>
        </w:rPr>
        <w:t xml:space="preserve">, </w:t>
      </w:r>
      <w:r w:rsidR="00556045">
        <w:rPr>
          <w:lang w:eastAsia="en-AU"/>
        </w:rPr>
        <w:t xml:space="preserve">Ellen </w:t>
      </w:r>
      <w:r w:rsidRPr="00731B84">
        <w:rPr>
          <w:lang w:eastAsia="en-AU"/>
        </w:rPr>
        <w:t>France, Arnold and French JJ</w:t>
      </w:r>
    </w:p>
    <w:p w14:paraId="74A25516" w14:textId="77777777" w:rsidR="00731B84" w:rsidRDefault="00731B84" w:rsidP="00731B84">
      <w:pPr>
        <w:rPr>
          <w:b/>
          <w:bCs/>
          <w:lang w:eastAsia="en-AU"/>
        </w:rPr>
      </w:pPr>
    </w:p>
    <w:p w14:paraId="12A712F9" w14:textId="77777777" w:rsidR="00731B84" w:rsidRDefault="00731B84" w:rsidP="00731B84">
      <w:pPr>
        <w:rPr>
          <w:b/>
          <w:bCs/>
          <w:lang w:eastAsia="en-AU"/>
        </w:rPr>
      </w:pPr>
      <w:r>
        <w:rPr>
          <w:b/>
          <w:bCs/>
          <w:lang w:eastAsia="en-AU"/>
        </w:rPr>
        <w:t>Catchwords:</w:t>
      </w:r>
    </w:p>
    <w:p w14:paraId="2E8F962D" w14:textId="77777777" w:rsidR="00731B84" w:rsidRDefault="00731B84" w:rsidP="00731B84">
      <w:pPr>
        <w:rPr>
          <w:b/>
          <w:bCs/>
          <w:lang w:eastAsia="en-AU"/>
        </w:rPr>
      </w:pPr>
    </w:p>
    <w:p w14:paraId="55810D45" w14:textId="51DF90FE" w:rsidR="00731B84" w:rsidRDefault="00731B84" w:rsidP="00731B84">
      <w:pPr>
        <w:pStyle w:val="Catchwords"/>
      </w:pPr>
      <w:r w:rsidRPr="00FB6965">
        <w:t xml:space="preserve">Extradition – </w:t>
      </w:r>
      <w:r w:rsidR="000C73D2" w:rsidRPr="00FB6965">
        <w:t xml:space="preserve">Judicial review – Risks of torture and unfair </w:t>
      </w:r>
      <w:r w:rsidR="00C2585B">
        <w:t>trial</w:t>
      </w:r>
      <w:r w:rsidR="000C73D2" w:rsidRPr="00FB6965">
        <w:t xml:space="preserve"> upon surrender –</w:t>
      </w:r>
      <w:r w:rsidR="00C2585B">
        <w:t xml:space="preserve"> A</w:t>
      </w:r>
      <w:r w:rsidR="000C73D2" w:rsidRPr="00FB6965">
        <w:t>ppeal from Court of Appeal</w:t>
      </w:r>
      <w:r w:rsidR="00A74661">
        <w:t>'</w:t>
      </w:r>
      <w:r w:rsidR="000C73D2" w:rsidRPr="00FB6965">
        <w:t>s decision allowing appeal by respondent</w:t>
      </w:r>
      <w:r w:rsidR="000C73D2">
        <w:t xml:space="preserve"> in judicial review of decision of Minister of Justice, under s 30 of </w:t>
      </w:r>
      <w:r w:rsidR="000C73D2">
        <w:rPr>
          <w:i/>
          <w:iCs/>
        </w:rPr>
        <w:t>Extradition Act 1999</w:t>
      </w:r>
      <w:r w:rsidR="000C73D2">
        <w:t>, surrendering appellant to People</w:t>
      </w:r>
      <w:r w:rsidR="00A74661">
        <w:t>'</w:t>
      </w:r>
      <w:r w:rsidR="000C73D2">
        <w:t>s Republic of Chi</w:t>
      </w:r>
      <w:r w:rsidR="005502AC">
        <w:t>na</w:t>
      </w:r>
      <w:r w:rsidR="00FB6965">
        <w:t xml:space="preserve"> (</w:t>
      </w:r>
      <w:r w:rsidR="00A74661">
        <w:t>"</w:t>
      </w:r>
      <w:r w:rsidR="00FB6965">
        <w:t>PRC</w:t>
      </w:r>
      <w:r w:rsidR="00A74661">
        <w:t>"</w:t>
      </w:r>
      <w:r w:rsidR="00FB6965">
        <w:t>)</w:t>
      </w:r>
      <w:r w:rsidR="000C73D2">
        <w:t xml:space="preserve"> to face trial o</w:t>
      </w:r>
      <w:r w:rsidR="00FB6965">
        <w:t>n one count of intentional homicide – Where Court of Appeal quashed Minister</w:t>
      </w:r>
      <w:r w:rsidR="00A74661">
        <w:t>'</w:t>
      </w:r>
      <w:r w:rsidR="00FB6965">
        <w:t>s decision on basis of risks to appellant – Where Supreme Court adjourned appeal to give parties opportunity to make further inquiries of PRC on risks of appellant experiencing torture or unfair trial – Whether responses from PRC satisfactorily address concerns of torture and unfair trial.</w:t>
      </w:r>
    </w:p>
    <w:p w14:paraId="52E6F080" w14:textId="77777777" w:rsidR="00731B84" w:rsidRDefault="00731B84" w:rsidP="00731B84">
      <w:pPr>
        <w:rPr>
          <w:b/>
          <w:bCs/>
          <w:lang w:eastAsia="en-AU"/>
        </w:rPr>
      </w:pPr>
    </w:p>
    <w:p w14:paraId="00A52F94" w14:textId="08CA3792" w:rsidR="00731B84" w:rsidRDefault="00731B84" w:rsidP="00731B84">
      <w:pPr>
        <w:rPr>
          <w:lang w:eastAsia="en-AU"/>
        </w:rPr>
      </w:pPr>
      <w:r>
        <w:rPr>
          <w:b/>
          <w:bCs/>
          <w:lang w:eastAsia="en-AU"/>
        </w:rPr>
        <w:t>Held (5:0):</w:t>
      </w:r>
      <w:r>
        <w:rPr>
          <w:lang w:eastAsia="en-AU"/>
        </w:rPr>
        <w:t xml:space="preserve"> Appeal allowed and Minister of Justice</w:t>
      </w:r>
      <w:r w:rsidR="00A74661">
        <w:rPr>
          <w:lang w:eastAsia="en-AU"/>
        </w:rPr>
        <w:t>'</w:t>
      </w:r>
      <w:r>
        <w:rPr>
          <w:lang w:eastAsia="en-AU"/>
        </w:rPr>
        <w:t xml:space="preserve">s decision to surrender the respondent reinstated. </w:t>
      </w:r>
    </w:p>
    <w:p w14:paraId="3F973878" w14:textId="77777777" w:rsidR="00731B84" w:rsidRDefault="00731B84" w:rsidP="00731B84">
      <w:pPr>
        <w:pStyle w:val="BullDivider2"/>
      </w:pPr>
    </w:p>
    <w:p w14:paraId="1514E9A0" w14:textId="77777777" w:rsidR="00731B84" w:rsidRPr="00731B84" w:rsidRDefault="00731B84" w:rsidP="00731B84">
      <w:pPr>
        <w:rPr>
          <w:lang w:eastAsia="en-AU"/>
        </w:rPr>
      </w:pPr>
    </w:p>
    <w:p w14:paraId="6BBC8F48" w14:textId="65BA9F40" w:rsidR="00C61262" w:rsidRDefault="00C61262" w:rsidP="009556B8">
      <w:pPr>
        <w:pStyle w:val="Heading1"/>
      </w:pPr>
      <w:r>
        <w:t>Family Law</w:t>
      </w:r>
    </w:p>
    <w:p w14:paraId="2D0040FC" w14:textId="77777777" w:rsidR="00C61262" w:rsidRPr="00A2764D" w:rsidRDefault="00C61262" w:rsidP="00C61262">
      <w:pPr>
        <w:rPr>
          <w:lang w:eastAsia="en-AU"/>
        </w:rPr>
      </w:pPr>
    </w:p>
    <w:p w14:paraId="7DC9C3E8" w14:textId="035BCFC0" w:rsidR="00C61262" w:rsidRPr="00DD0272" w:rsidRDefault="00C61262" w:rsidP="00C61262">
      <w:pPr>
        <w:keepNext/>
        <w:outlineLvl w:val="1"/>
        <w:rPr>
          <w:rFonts w:ascii="Arial" w:hAnsi="Arial" w:cs="Arial"/>
          <w:bCs/>
          <w:i/>
          <w:iCs/>
          <w:sz w:val="28"/>
          <w:szCs w:val="28"/>
          <w:lang w:eastAsia="en-AU"/>
        </w:rPr>
      </w:pPr>
      <w:proofErr w:type="spellStart"/>
      <w:r w:rsidRPr="00C61262">
        <w:rPr>
          <w:rFonts w:ascii="Arial" w:hAnsi="Arial" w:cs="Arial"/>
          <w:bCs/>
          <w:i/>
          <w:iCs/>
          <w:sz w:val="28"/>
          <w:szCs w:val="28"/>
          <w:lang w:eastAsia="en-AU"/>
        </w:rPr>
        <w:t>Barendregt</w:t>
      </w:r>
      <w:proofErr w:type="spellEnd"/>
      <w:r w:rsidRPr="00C61262">
        <w:rPr>
          <w:rFonts w:ascii="Arial" w:hAnsi="Arial" w:cs="Arial"/>
          <w:bCs/>
          <w:i/>
          <w:iCs/>
          <w:sz w:val="28"/>
          <w:szCs w:val="28"/>
          <w:lang w:eastAsia="en-AU"/>
        </w:rPr>
        <w:t xml:space="preserve"> v </w:t>
      </w:r>
      <w:proofErr w:type="spellStart"/>
      <w:r w:rsidRPr="00C61262">
        <w:rPr>
          <w:rFonts w:ascii="Arial" w:hAnsi="Arial" w:cs="Arial"/>
          <w:bCs/>
          <w:i/>
          <w:iCs/>
          <w:sz w:val="28"/>
          <w:szCs w:val="28"/>
          <w:lang w:eastAsia="en-AU"/>
        </w:rPr>
        <w:t>Grebliunas</w:t>
      </w:r>
      <w:proofErr w:type="spellEnd"/>
    </w:p>
    <w:p w14:paraId="406D9C9C" w14:textId="2665423D" w:rsidR="00C61262" w:rsidRPr="00DD0272" w:rsidRDefault="00C61262" w:rsidP="00C61262">
      <w:pPr>
        <w:rPr>
          <w:lang w:eastAsia="en-AU"/>
        </w:rPr>
      </w:pPr>
      <w:r w:rsidRPr="00DD0272">
        <w:rPr>
          <w:b/>
          <w:bCs/>
          <w:lang w:eastAsia="en-AU"/>
        </w:rPr>
        <w:t>Supreme Court of Canada:</w:t>
      </w:r>
      <w:r w:rsidRPr="00DD0272">
        <w:rPr>
          <w:lang w:eastAsia="en-AU"/>
        </w:rPr>
        <w:t xml:space="preserve"> </w:t>
      </w:r>
      <w:hyperlink r:id="rId35" w:history="1">
        <w:r>
          <w:rPr>
            <w:rStyle w:val="Hyperlink"/>
            <w:lang w:eastAsia="en-AU"/>
          </w:rPr>
          <w:t>[2022] SCC 22</w:t>
        </w:r>
      </w:hyperlink>
    </w:p>
    <w:p w14:paraId="481DD3EE" w14:textId="77777777" w:rsidR="00C61262" w:rsidRPr="00DD0272" w:rsidRDefault="00C61262" w:rsidP="00C61262">
      <w:pPr>
        <w:rPr>
          <w:lang w:eastAsia="en-AU"/>
        </w:rPr>
      </w:pPr>
    </w:p>
    <w:p w14:paraId="3B582156" w14:textId="7D7BA768" w:rsidR="00C61262" w:rsidRPr="00DD0272" w:rsidRDefault="00C61262" w:rsidP="00C61262">
      <w:pPr>
        <w:rPr>
          <w:lang w:eastAsia="en-AU"/>
        </w:rPr>
      </w:pPr>
      <w:r w:rsidRPr="00DD0272">
        <w:rPr>
          <w:b/>
          <w:bCs/>
          <w:lang w:eastAsia="en-AU"/>
        </w:rPr>
        <w:t xml:space="preserve">Judgment delivered: </w:t>
      </w:r>
      <w:r>
        <w:rPr>
          <w:lang w:eastAsia="en-AU"/>
        </w:rPr>
        <w:t>20 May 2022</w:t>
      </w:r>
      <w:r w:rsidR="00983C4D">
        <w:rPr>
          <w:lang w:eastAsia="en-AU"/>
        </w:rPr>
        <w:t xml:space="preserve"> </w:t>
      </w:r>
    </w:p>
    <w:p w14:paraId="3F03ABD8" w14:textId="77777777" w:rsidR="00C61262" w:rsidRPr="00DD0272" w:rsidRDefault="00C61262" w:rsidP="00C61262">
      <w:pPr>
        <w:rPr>
          <w:b/>
          <w:bCs/>
          <w:lang w:eastAsia="en-AU"/>
        </w:rPr>
      </w:pPr>
    </w:p>
    <w:p w14:paraId="0AE461E0" w14:textId="77777777" w:rsidR="00C61262" w:rsidRDefault="00C61262" w:rsidP="00C61262">
      <w:pPr>
        <w:rPr>
          <w:lang w:eastAsia="en-AU"/>
        </w:rPr>
      </w:pPr>
      <w:r w:rsidRPr="00DD0272">
        <w:rPr>
          <w:b/>
          <w:bCs/>
          <w:lang w:eastAsia="en-AU"/>
        </w:rPr>
        <w:t>Coram:</w:t>
      </w:r>
      <w:r w:rsidRPr="00DD0272">
        <w:t xml:space="preserve"> </w:t>
      </w:r>
      <w:r w:rsidRPr="00A2764D">
        <w:rPr>
          <w:lang w:eastAsia="en-AU"/>
        </w:rPr>
        <w:t xml:space="preserve">Wagner CJ, </w:t>
      </w:r>
      <w:proofErr w:type="spellStart"/>
      <w:r w:rsidRPr="00A2764D">
        <w:rPr>
          <w:lang w:eastAsia="en-AU"/>
        </w:rPr>
        <w:t>Moldaver</w:t>
      </w:r>
      <w:proofErr w:type="spellEnd"/>
      <w:r w:rsidRPr="00A2764D">
        <w:rPr>
          <w:lang w:eastAsia="en-AU"/>
        </w:rPr>
        <w:t xml:space="preserve">, Karakatsanis, </w:t>
      </w:r>
      <w:proofErr w:type="spellStart"/>
      <w:r w:rsidRPr="00A2764D">
        <w:rPr>
          <w:lang w:eastAsia="en-AU"/>
        </w:rPr>
        <w:t>Côté</w:t>
      </w:r>
      <w:proofErr w:type="spellEnd"/>
      <w:r w:rsidRPr="00A2764D">
        <w:rPr>
          <w:lang w:eastAsia="en-AU"/>
        </w:rPr>
        <w:t xml:space="preserve">, Brown, Rowe, Martin, </w:t>
      </w:r>
      <w:proofErr w:type="spellStart"/>
      <w:r w:rsidRPr="00A2764D">
        <w:rPr>
          <w:lang w:eastAsia="en-AU"/>
        </w:rPr>
        <w:t>Kasirer</w:t>
      </w:r>
      <w:proofErr w:type="spellEnd"/>
      <w:r w:rsidRPr="00A2764D">
        <w:rPr>
          <w:lang w:eastAsia="en-AU"/>
        </w:rPr>
        <w:t xml:space="preserve"> and Jamal JJ</w:t>
      </w:r>
    </w:p>
    <w:p w14:paraId="768B9122" w14:textId="77777777" w:rsidR="00C61262" w:rsidRPr="00DD0272" w:rsidRDefault="00C61262" w:rsidP="00C61262">
      <w:pPr>
        <w:rPr>
          <w:b/>
          <w:bCs/>
          <w:lang w:eastAsia="en-AU"/>
        </w:rPr>
      </w:pPr>
    </w:p>
    <w:p w14:paraId="634BBF7C" w14:textId="77777777" w:rsidR="00C61262" w:rsidRPr="00DD0272" w:rsidRDefault="00C61262" w:rsidP="00C61262">
      <w:pPr>
        <w:rPr>
          <w:b/>
          <w:bCs/>
          <w:lang w:eastAsia="en-AU"/>
        </w:rPr>
      </w:pPr>
      <w:r w:rsidRPr="00DD0272">
        <w:rPr>
          <w:b/>
          <w:bCs/>
          <w:lang w:eastAsia="en-AU"/>
        </w:rPr>
        <w:lastRenderedPageBreak/>
        <w:t>Catchwords:</w:t>
      </w:r>
    </w:p>
    <w:p w14:paraId="6BFDD4E1" w14:textId="77777777" w:rsidR="00C61262" w:rsidRPr="00DD0272" w:rsidRDefault="00C61262" w:rsidP="00C61262">
      <w:pPr>
        <w:rPr>
          <w:b/>
          <w:bCs/>
          <w:lang w:eastAsia="en-AU"/>
        </w:rPr>
      </w:pPr>
    </w:p>
    <w:p w14:paraId="0C1C58C6" w14:textId="5046CA39" w:rsidR="00C61262" w:rsidRDefault="00C61262" w:rsidP="00C61262">
      <w:pPr>
        <w:ind w:left="720"/>
        <w:rPr>
          <w:lang w:eastAsia="en-AU"/>
        </w:rPr>
      </w:pPr>
      <w:r>
        <w:rPr>
          <w:lang w:eastAsia="en-AU"/>
        </w:rPr>
        <w:t xml:space="preserve">Family law </w:t>
      </w:r>
      <w:r w:rsidR="00983C4D">
        <w:rPr>
          <w:lang w:eastAsia="en-AU"/>
        </w:rPr>
        <w:t>–</w:t>
      </w:r>
      <w:r>
        <w:rPr>
          <w:lang w:eastAsia="en-AU"/>
        </w:rPr>
        <w:t xml:space="preserve"> Custody </w:t>
      </w:r>
      <w:r w:rsidR="00983C4D">
        <w:rPr>
          <w:lang w:eastAsia="en-AU"/>
        </w:rPr>
        <w:t>–</w:t>
      </w:r>
      <w:r>
        <w:rPr>
          <w:lang w:eastAsia="en-AU"/>
        </w:rPr>
        <w:t xml:space="preserve"> Change of residence </w:t>
      </w:r>
      <w:r w:rsidR="00983C4D">
        <w:rPr>
          <w:lang w:eastAsia="en-AU"/>
        </w:rPr>
        <w:t>–</w:t>
      </w:r>
      <w:r>
        <w:rPr>
          <w:lang w:eastAsia="en-AU"/>
        </w:rPr>
        <w:t xml:space="preserve"> Best interests of child </w:t>
      </w:r>
      <w:r w:rsidR="00983C4D">
        <w:rPr>
          <w:lang w:eastAsia="en-AU"/>
        </w:rPr>
        <w:t>–</w:t>
      </w:r>
      <w:r>
        <w:rPr>
          <w:lang w:eastAsia="en-AU"/>
        </w:rPr>
        <w:t xml:space="preserve"> Where primary residence of children awarded to mother at trial, allowing children to relocate some ten hours away from father</w:t>
      </w:r>
      <w:r w:rsidR="00A74661">
        <w:rPr>
          <w:lang w:eastAsia="en-AU"/>
        </w:rPr>
        <w:t>'</w:t>
      </w:r>
      <w:r>
        <w:rPr>
          <w:lang w:eastAsia="en-AU"/>
        </w:rPr>
        <w:t xml:space="preserve">s residence </w:t>
      </w:r>
      <w:r w:rsidR="00983C4D">
        <w:rPr>
          <w:lang w:eastAsia="en-AU"/>
        </w:rPr>
        <w:t>–</w:t>
      </w:r>
      <w:r>
        <w:rPr>
          <w:lang w:eastAsia="en-AU"/>
        </w:rPr>
        <w:t xml:space="preserve"> Where father successfully appealed relocation order </w:t>
      </w:r>
      <w:r w:rsidR="00983C4D">
        <w:rPr>
          <w:lang w:eastAsia="en-AU"/>
        </w:rPr>
        <w:t>–</w:t>
      </w:r>
      <w:r>
        <w:rPr>
          <w:lang w:eastAsia="en-AU"/>
        </w:rPr>
        <w:t xml:space="preserve"> Whether trial judge erred in relocation analysis such appellate intervention warranted </w:t>
      </w:r>
      <w:r w:rsidR="00983C4D">
        <w:rPr>
          <w:lang w:eastAsia="en-AU"/>
        </w:rPr>
        <w:t>–</w:t>
      </w:r>
      <w:r>
        <w:rPr>
          <w:lang w:eastAsia="en-AU"/>
        </w:rPr>
        <w:t xml:space="preserve"> Proper approach to framework governing determination as to whether relocation in child</w:t>
      </w:r>
      <w:r w:rsidR="00A74661">
        <w:rPr>
          <w:lang w:eastAsia="en-AU"/>
        </w:rPr>
        <w:t>'</w:t>
      </w:r>
      <w:r>
        <w:rPr>
          <w:lang w:eastAsia="en-AU"/>
        </w:rPr>
        <w:t>s best interests.</w:t>
      </w:r>
    </w:p>
    <w:p w14:paraId="368650AA" w14:textId="77777777" w:rsidR="00C61262" w:rsidRDefault="00C61262" w:rsidP="00C61262">
      <w:pPr>
        <w:ind w:left="720"/>
        <w:rPr>
          <w:lang w:eastAsia="en-AU"/>
        </w:rPr>
      </w:pPr>
    </w:p>
    <w:p w14:paraId="1EBE5840" w14:textId="03F913E9" w:rsidR="00C61262" w:rsidRDefault="00C61262" w:rsidP="00C61262">
      <w:pPr>
        <w:ind w:left="720"/>
        <w:rPr>
          <w:lang w:eastAsia="en-AU"/>
        </w:rPr>
      </w:pPr>
      <w:r>
        <w:rPr>
          <w:lang w:eastAsia="en-AU"/>
        </w:rPr>
        <w:t xml:space="preserve">Evidence </w:t>
      </w:r>
      <w:r w:rsidR="00983C4D">
        <w:rPr>
          <w:lang w:eastAsia="en-AU"/>
        </w:rPr>
        <w:t>–</w:t>
      </w:r>
      <w:r>
        <w:rPr>
          <w:lang w:eastAsia="en-AU"/>
        </w:rPr>
        <w:t xml:space="preserve"> Additional evidence on appeal </w:t>
      </w:r>
      <w:r w:rsidR="00983C4D">
        <w:rPr>
          <w:lang w:eastAsia="en-AU"/>
        </w:rPr>
        <w:t>–</w:t>
      </w:r>
      <w:r>
        <w:rPr>
          <w:lang w:eastAsia="en-AU"/>
        </w:rPr>
        <w:t xml:space="preserve"> Where father appealed relocation order awarding primary residence of children to mother </w:t>
      </w:r>
      <w:r w:rsidR="00983C4D">
        <w:rPr>
          <w:lang w:eastAsia="en-AU"/>
        </w:rPr>
        <w:t>–</w:t>
      </w:r>
      <w:r>
        <w:rPr>
          <w:lang w:eastAsia="en-AU"/>
        </w:rPr>
        <w:t xml:space="preserve"> Where Court of Appeal admitted new evidence adduced by father about financial situation </w:t>
      </w:r>
      <w:r w:rsidR="00983C4D">
        <w:rPr>
          <w:lang w:eastAsia="en-AU"/>
        </w:rPr>
        <w:t>–</w:t>
      </w:r>
      <w:r>
        <w:rPr>
          <w:lang w:eastAsia="en-AU"/>
        </w:rPr>
        <w:t xml:space="preserve"> Whether Court of Appeal erred in admitting new evidence </w:t>
      </w:r>
      <w:r w:rsidR="00983C4D">
        <w:rPr>
          <w:lang w:eastAsia="en-AU"/>
        </w:rPr>
        <w:t>–</w:t>
      </w:r>
      <w:r>
        <w:rPr>
          <w:lang w:eastAsia="en-AU"/>
        </w:rPr>
        <w:t xml:space="preserve"> Proper test governing admission of additional evidence on appeal.</w:t>
      </w:r>
    </w:p>
    <w:p w14:paraId="46707AE1" w14:textId="77777777" w:rsidR="00C61262" w:rsidRPr="00DD0272" w:rsidRDefault="00C61262" w:rsidP="00C61262">
      <w:pPr>
        <w:ind w:left="720"/>
        <w:rPr>
          <w:b/>
          <w:bCs/>
          <w:lang w:eastAsia="en-AU"/>
        </w:rPr>
      </w:pPr>
    </w:p>
    <w:p w14:paraId="6426F4E2" w14:textId="15ACD83E" w:rsidR="00C61262" w:rsidRPr="00DD0272" w:rsidRDefault="00C61262" w:rsidP="00C61262">
      <w:pPr>
        <w:rPr>
          <w:lang w:eastAsia="en-AU"/>
        </w:rPr>
      </w:pPr>
      <w:r w:rsidRPr="00DD0272">
        <w:rPr>
          <w:b/>
          <w:bCs/>
          <w:lang w:eastAsia="en-AU"/>
        </w:rPr>
        <w:t>Held (</w:t>
      </w:r>
      <w:r w:rsidR="00D16E16">
        <w:rPr>
          <w:b/>
          <w:bCs/>
          <w:lang w:eastAsia="en-AU"/>
        </w:rPr>
        <w:t xml:space="preserve">9:0; </w:t>
      </w:r>
      <w:r>
        <w:rPr>
          <w:b/>
          <w:bCs/>
          <w:lang w:eastAsia="en-AU"/>
        </w:rPr>
        <w:t>8</w:t>
      </w:r>
      <w:r w:rsidRPr="00DD0272">
        <w:rPr>
          <w:b/>
          <w:bCs/>
          <w:lang w:eastAsia="en-AU"/>
        </w:rPr>
        <w:t>:</w:t>
      </w:r>
      <w:r>
        <w:rPr>
          <w:b/>
          <w:bCs/>
          <w:lang w:eastAsia="en-AU"/>
        </w:rPr>
        <w:t>1</w:t>
      </w:r>
      <w:r w:rsidR="00D16E16">
        <w:rPr>
          <w:b/>
          <w:bCs/>
          <w:lang w:eastAsia="en-AU"/>
        </w:rPr>
        <w:t xml:space="preserve"> (</w:t>
      </w:r>
      <w:proofErr w:type="spellStart"/>
      <w:r w:rsidR="00D16E16" w:rsidRPr="00D16E16">
        <w:rPr>
          <w:b/>
          <w:bCs/>
          <w:lang w:eastAsia="en-AU"/>
        </w:rPr>
        <w:t>Côté</w:t>
      </w:r>
      <w:proofErr w:type="spellEnd"/>
      <w:r w:rsidR="00D16E16">
        <w:rPr>
          <w:b/>
          <w:bCs/>
          <w:lang w:eastAsia="en-AU"/>
        </w:rPr>
        <w:t xml:space="preserve"> J dissenting in part)</w:t>
      </w:r>
      <w:r w:rsidRPr="00DD0272">
        <w:rPr>
          <w:b/>
          <w:bCs/>
          <w:lang w:eastAsia="en-AU"/>
        </w:rPr>
        <w:t>):</w:t>
      </w:r>
      <w:r w:rsidRPr="00DD0272">
        <w:rPr>
          <w:lang w:eastAsia="en-AU"/>
        </w:rPr>
        <w:t xml:space="preserve"> Appeal </w:t>
      </w:r>
      <w:r>
        <w:rPr>
          <w:lang w:eastAsia="en-AU"/>
        </w:rPr>
        <w:t>allowed</w:t>
      </w:r>
      <w:r w:rsidRPr="00DD0272">
        <w:rPr>
          <w:lang w:eastAsia="en-AU"/>
        </w:rPr>
        <w:t xml:space="preserve">. </w:t>
      </w:r>
    </w:p>
    <w:p w14:paraId="458D7890" w14:textId="440E429F" w:rsidR="00C61262" w:rsidRDefault="00C61262" w:rsidP="00C61262">
      <w:pPr>
        <w:pStyle w:val="BullDivider2"/>
      </w:pPr>
    </w:p>
    <w:p w14:paraId="721E97A3" w14:textId="77777777" w:rsidR="00A06529" w:rsidRPr="00A06529" w:rsidRDefault="00A06529" w:rsidP="00A06529">
      <w:pPr>
        <w:rPr>
          <w:lang w:eastAsia="en-AU"/>
        </w:rPr>
      </w:pPr>
    </w:p>
    <w:p w14:paraId="22F55E23" w14:textId="4B7C1802" w:rsidR="00A06529" w:rsidRDefault="00A06529" w:rsidP="00A06529">
      <w:pPr>
        <w:pStyle w:val="Heading1"/>
      </w:pPr>
      <w:r>
        <w:t>Foreign State Immunity</w:t>
      </w:r>
    </w:p>
    <w:p w14:paraId="3A292B26" w14:textId="77777777" w:rsidR="00A06529" w:rsidRDefault="00A06529" w:rsidP="00A06529">
      <w:pPr>
        <w:rPr>
          <w:lang w:eastAsia="en-AU"/>
        </w:rPr>
      </w:pPr>
    </w:p>
    <w:p w14:paraId="586920C1" w14:textId="77777777" w:rsidR="00A06529" w:rsidRPr="00297E73" w:rsidRDefault="00A06529" w:rsidP="00A06529">
      <w:pPr>
        <w:pStyle w:val="Heading2"/>
        <w:rPr>
          <w:i w:val="0"/>
          <w:iCs w:val="0"/>
        </w:rPr>
      </w:pPr>
      <w:bookmarkStart w:id="9" w:name="_Hlk104905037"/>
      <w:r w:rsidRPr="00FD6C82">
        <w:t>Cassirer v Thyssen-</w:t>
      </w:r>
      <w:proofErr w:type="spellStart"/>
      <w:r w:rsidRPr="00FD6C82">
        <w:t>Bornemisza</w:t>
      </w:r>
      <w:proofErr w:type="spellEnd"/>
      <w:r w:rsidRPr="00FD6C82">
        <w:t xml:space="preserve"> Collection Foundation</w:t>
      </w:r>
    </w:p>
    <w:p w14:paraId="541A5EAF" w14:textId="02B15CB3" w:rsidR="00A06529" w:rsidRDefault="00A06529" w:rsidP="00A06529">
      <w:pPr>
        <w:rPr>
          <w:lang w:eastAsia="en-AU"/>
        </w:rPr>
      </w:pPr>
      <w:r>
        <w:rPr>
          <w:b/>
          <w:bCs/>
          <w:lang w:eastAsia="en-AU"/>
        </w:rPr>
        <w:t>Supreme Court of the United States</w:t>
      </w:r>
      <w:r w:rsidRPr="006B0D58">
        <w:rPr>
          <w:b/>
          <w:bCs/>
          <w:lang w:eastAsia="en-AU"/>
        </w:rPr>
        <w:t>:</w:t>
      </w:r>
      <w:r>
        <w:rPr>
          <w:lang w:eastAsia="en-AU"/>
        </w:rPr>
        <w:t xml:space="preserve"> </w:t>
      </w:r>
      <w:hyperlink r:id="rId36" w:history="1">
        <w:r>
          <w:rPr>
            <w:rStyle w:val="Hyperlink"/>
          </w:rPr>
          <w:t>Docket No. 20</w:t>
        </w:r>
        <w:r w:rsidR="00515F52" w:rsidRPr="00515F52">
          <w:rPr>
            <w:rStyle w:val="Hyperlink"/>
          </w:rPr>
          <w:t>–</w:t>
        </w:r>
        <w:r>
          <w:rPr>
            <w:rStyle w:val="Hyperlink"/>
          </w:rPr>
          <w:t>1566</w:t>
        </w:r>
      </w:hyperlink>
    </w:p>
    <w:p w14:paraId="12AF3FDC" w14:textId="77777777" w:rsidR="00A06529" w:rsidRDefault="00A06529" w:rsidP="00A06529">
      <w:pPr>
        <w:rPr>
          <w:lang w:eastAsia="en-AU"/>
        </w:rPr>
      </w:pPr>
    </w:p>
    <w:p w14:paraId="68319E0E" w14:textId="77777777" w:rsidR="00A06529" w:rsidRPr="00DB68FF" w:rsidRDefault="00A06529" w:rsidP="00A06529">
      <w:pPr>
        <w:rPr>
          <w:lang w:eastAsia="en-AU"/>
        </w:rPr>
      </w:pPr>
      <w:r>
        <w:rPr>
          <w:b/>
          <w:bCs/>
          <w:lang w:eastAsia="en-AU"/>
        </w:rPr>
        <w:t xml:space="preserve">Judgment delivered: </w:t>
      </w:r>
      <w:r>
        <w:rPr>
          <w:lang w:eastAsia="en-AU"/>
        </w:rPr>
        <w:t xml:space="preserve">21 April 2022 </w:t>
      </w:r>
    </w:p>
    <w:p w14:paraId="528975B2" w14:textId="77777777" w:rsidR="00A06529" w:rsidRDefault="00A06529" w:rsidP="00A06529">
      <w:pPr>
        <w:rPr>
          <w:b/>
          <w:bCs/>
          <w:lang w:eastAsia="en-AU"/>
        </w:rPr>
      </w:pPr>
    </w:p>
    <w:p w14:paraId="7E751C1B" w14:textId="77777777" w:rsidR="00A06529" w:rsidRDefault="00A06529" w:rsidP="00A06529">
      <w:pPr>
        <w:rPr>
          <w:lang w:eastAsia="en-AU"/>
        </w:rPr>
      </w:pPr>
      <w:r>
        <w:rPr>
          <w:b/>
          <w:bCs/>
          <w:lang w:eastAsia="en-AU"/>
        </w:rPr>
        <w:t>Coram:</w:t>
      </w:r>
      <w:r w:rsidRPr="00DB68FF">
        <w:t xml:space="preserve"> </w:t>
      </w:r>
      <w:r>
        <w:rPr>
          <w:lang w:eastAsia="en-AU"/>
        </w:rPr>
        <w:t xml:space="preserve">Roberts CJ, Thomas, </w:t>
      </w:r>
      <w:proofErr w:type="spellStart"/>
      <w:r>
        <w:rPr>
          <w:lang w:eastAsia="en-AU"/>
        </w:rPr>
        <w:t>Breyer</w:t>
      </w:r>
      <w:proofErr w:type="spellEnd"/>
      <w:r>
        <w:rPr>
          <w:lang w:eastAsia="en-AU"/>
        </w:rPr>
        <w:t>, Alito, Sotomayor, Kagan, Gorsuch,</w:t>
      </w:r>
    </w:p>
    <w:p w14:paraId="6DC42DF8" w14:textId="77777777" w:rsidR="00A06529" w:rsidRPr="00DB68FF" w:rsidRDefault="00A06529" w:rsidP="00A06529">
      <w:pPr>
        <w:rPr>
          <w:lang w:eastAsia="en-AU"/>
        </w:rPr>
      </w:pPr>
      <w:r>
        <w:rPr>
          <w:lang w:eastAsia="en-AU"/>
        </w:rPr>
        <w:t>Kavanaugh and Barrett JJ</w:t>
      </w:r>
    </w:p>
    <w:p w14:paraId="1A246E2B" w14:textId="77777777" w:rsidR="00A06529" w:rsidRDefault="00A06529" w:rsidP="00A06529">
      <w:pPr>
        <w:rPr>
          <w:b/>
          <w:bCs/>
          <w:lang w:eastAsia="en-AU"/>
        </w:rPr>
      </w:pPr>
    </w:p>
    <w:p w14:paraId="02A330D5" w14:textId="77777777" w:rsidR="00A06529" w:rsidRDefault="00A06529" w:rsidP="00A06529">
      <w:pPr>
        <w:rPr>
          <w:b/>
          <w:bCs/>
          <w:lang w:eastAsia="en-AU"/>
        </w:rPr>
      </w:pPr>
      <w:r>
        <w:rPr>
          <w:b/>
          <w:bCs/>
          <w:lang w:eastAsia="en-AU"/>
        </w:rPr>
        <w:t>Catchwords:</w:t>
      </w:r>
    </w:p>
    <w:p w14:paraId="4994FA40" w14:textId="77777777" w:rsidR="00A06529" w:rsidRDefault="00A06529" w:rsidP="00A06529">
      <w:pPr>
        <w:rPr>
          <w:b/>
          <w:bCs/>
          <w:lang w:eastAsia="en-AU"/>
        </w:rPr>
      </w:pPr>
    </w:p>
    <w:p w14:paraId="73513CCB" w14:textId="1F2B13C7" w:rsidR="00A06529" w:rsidRPr="008650AA" w:rsidRDefault="00A06529" w:rsidP="00A06529">
      <w:pPr>
        <w:pStyle w:val="Catchwords"/>
      </w:pPr>
      <w:r>
        <w:t xml:space="preserve">Foreign state immunity – Choice-of-law rule – Expropriated property – Where </w:t>
      </w:r>
      <w:r w:rsidRPr="00E27CA6">
        <w:rPr>
          <w:i/>
          <w:iCs/>
        </w:rPr>
        <w:t>Foreign Sovereign Immunities Act of 1976</w:t>
      </w:r>
      <w:r>
        <w:t>, 28 USC §1602</w:t>
      </w:r>
      <w:r w:rsidR="00E26DE6">
        <w:t xml:space="preserve"> ("FSIA")</w:t>
      </w:r>
      <w:r>
        <w:t xml:space="preserve"> governed whether foreign state or instrumentality amenable to suit in American court – Where Cassirer owned </w:t>
      </w:r>
      <w:r w:rsidRPr="00A32A18">
        <w:t>Pissarro</w:t>
      </w:r>
      <w:r w:rsidR="00A74661">
        <w:t>'</w:t>
      </w:r>
      <w:r w:rsidRPr="00A32A18">
        <w:t xml:space="preserve">s </w:t>
      </w:r>
      <w:r w:rsidRPr="00A32A18">
        <w:rPr>
          <w:i/>
          <w:iCs/>
        </w:rPr>
        <w:t>Rue Saint-Honoré in the Afternoon, Effect of Rain</w:t>
      </w:r>
      <w:r>
        <w:t xml:space="preserve"> – Where Cassirer surrendered painting to Nazis to obtain exit visa – Where painting purchased in 1990s by Thyssen-</w:t>
      </w:r>
      <w:proofErr w:type="spellStart"/>
      <w:r>
        <w:t>Bornemisza</w:t>
      </w:r>
      <w:proofErr w:type="spellEnd"/>
      <w:r>
        <w:t xml:space="preserve"> Collection Foundation, entity created and controlled by Kingdom of Spain – Where </w:t>
      </w:r>
      <w:r w:rsidR="00C2585B" w:rsidRPr="00C2585B">
        <w:t>Cassirer</w:t>
      </w:r>
      <w:r w:rsidR="00C2585B">
        <w:t>'s</w:t>
      </w:r>
      <w:r w:rsidR="00C2585B" w:rsidRPr="00C2585B">
        <w:t xml:space="preserve"> </w:t>
      </w:r>
      <w:r>
        <w:t>grandson</w:t>
      </w:r>
      <w:r w:rsidR="00C2585B">
        <w:t xml:space="preserve"> </w:t>
      </w:r>
      <w:r>
        <w:t>sued Foundation</w:t>
      </w:r>
      <w:r w:rsidRPr="00A32A18">
        <w:t>, asserting property-law</w:t>
      </w:r>
      <w:r>
        <w:t xml:space="preserve"> claims and seeking return of painting – Where, because Foundation </w:t>
      </w:r>
      <w:r w:rsidR="00A74661">
        <w:t>"</w:t>
      </w:r>
      <w:r>
        <w:t>instrumentality</w:t>
      </w:r>
      <w:r w:rsidR="00A74661">
        <w:t>"</w:t>
      </w:r>
      <w:r>
        <w:t xml:space="preserve"> of Kingdom of Spain, complaint invoked FISA to establish court</w:t>
      </w:r>
      <w:r w:rsidR="00A74661">
        <w:t>'</w:t>
      </w:r>
      <w:r>
        <w:t xml:space="preserve">s jurisdiction – Where FSIA provided foreign states and instrumentalities with immunity from suit unless claim fell within specified exception – Where courts below held Nazi confiscation brought painting within FISA </w:t>
      </w:r>
      <w:r w:rsidRPr="00DE46DB">
        <w:t>§1605(a)(3)</w:t>
      </w:r>
      <w:r>
        <w:t xml:space="preserve"> exception for expropriated property – Where courts below applied choice-of-law rule to determine what property law governed dispute – Where courts below adopted federal common law, commanding use of Spain</w:t>
      </w:r>
      <w:r w:rsidR="00A74661">
        <w:t>'</w:t>
      </w:r>
      <w:r>
        <w:t xml:space="preserve">s property law, and determining Foundation owner of painting – Proper approach to choice-of-law rule in FISA case raising non-federal claims. </w:t>
      </w:r>
    </w:p>
    <w:p w14:paraId="0E963CE6" w14:textId="77777777" w:rsidR="00A06529" w:rsidRDefault="00A06529" w:rsidP="00A06529">
      <w:pPr>
        <w:rPr>
          <w:b/>
          <w:bCs/>
          <w:lang w:eastAsia="en-AU"/>
        </w:rPr>
      </w:pPr>
    </w:p>
    <w:p w14:paraId="34AAEE7D" w14:textId="77777777" w:rsidR="00A06529" w:rsidRDefault="00A06529" w:rsidP="00A06529">
      <w:pPr>
        <w:rPr>
          <w:lang w:eastAsia="en-AU"/>
        </w:rPr>
      </w:pPr>
      <w:r>
        <w:rPr>
          <w:b/>
          <w:bCs/>
          <w:lang w:eastAsia="en-AU"/>
        </w:rPr>
        <w:t>Held (9:0):</w:t>
      </w:r>
      <w:r w:rsidRPr="00FD6C82">
        <w:rPr>
          <w:lang w:eastAsia="en-AU"/>
        </w:rPr>
        <w:t xml:space="preserve"> Judgment of Court of Appeals for the </w:t>
      </w:r>
      <w:r>
        <w:rPr>
          <w:lang w:eastAsia="en-AU"/>
        </w:rPr>
        <w:t>Ninth</w:t>
      </w:r>
      <w:r w:rsidRPr="00FD6C82">
        <w:rPr>
          <w:lang w:eastAsia="en-AU"/>
        </w:rPr>
        <w:t xml:space="preserve"> Circuit </w:t>
      </w:r>
      <w:proofErr w:type="gramStart"/>
      <w:r>
        <w:rPr>
          <w:lang w:eastAsia="en-AU"/>
        </w:rPr>
        <w:t>vacated</w:t>
      </w:r>
      <w:proofErr w:type="gramEnd"/>
      <w:r w:rsidRPr="00FD6C82">
        <w:rPr>
          <w:lang w:eastAsia="en-AU"/>
        </w:rPr>
        <w:t xml:space="preserve"> and case remanded.</w:t>
      </w:r>
    </w:p>
    <w:p w14:paraId="1C8C0E53" w14:textId="77777777" w:rsidR="00A06529" w:rsidRDefault="00A06529" w:rsidP="00A06529">
      <w:pPr>
        <w:pStyle w:val="BullDivider2"/>
      </w:pPr>
    </w:p>
    <w:bookmarkEnd w:id="9"/>
    <w:p w14:paraId="433D291A" w14:textId="77777777" w:rsidR="00367779" w:rsidRPr="00367779" w:rsidRDefault="00367779" w:rsidP="00367779">
      <w:pPr>
        <w:rPr>
          <w:lang w:eastAsia="en-AU"/>
        </w:rPr>
      </w:pPr>
    </w:p>
    <w:p w14:paraId="66499F99" w14:textId="5DD6FEEB" w:rsidR="00585E05" w:rsidRDefault="00585E05" w:rsidP="009556B8">
      <w:pPr>
        <w:pStyle w:val="Heading1"/>
      </w:pPr>
      <w:r>
        <w:t xml:space="preserve">Immigration </w:t>
      </w:r>
    </w:p>
    <w:p w14:paraId="1BFE6C91" w14:textId="0A97BF6F" w:rsidR="00585E05" w:rsidRDefault="00585E05" w:rsidP="00585E05">
      <w:pPr>
        <w:rPr>
          <w:lang w:eastAsia="en-AU"/>
        </w:rPr>
      </w:pPr>
    </w:p>
    <w:p w14:paraId="6BC5DC36" w14:textId="60DEDF5D" w:rsidR="00585E05" w:rsidRDefault="00585E05" w:rsidP="00585E05">
      <w:pPr>
        <w:pStyle w:val="Heading2"/>
      </w:pPr>
      <w:r>
        <w:t xml:space="preserve">Patel v Garland </w:t>
      </w:r>
    </w:p>
    <w:p w14:paraId="209DE6AD" w14:textId="7C4C12C3" w:rsidR="00585E05" w:rsidRDefault="00585E05" w:rsidP="00585E05">
      <w:pPr>
        <w:rPr>
          <w:lang w:eastAsia="en-AU"/>
        </w:rPr>
      </w:pPr>
      <w:r>
        <w:rPr>
          <w:b/>
          <w:bCs/>
          <w:lang w:eastAsia="en-AU"/>
        </w:rPr>
        <w:t>Supreme Court of the United States</w:t>
      </w:r>
      <w:r w:rsidRPr="006B0D58">
        <w:rPr>
          <w:b/>
          <w:bCs/>
          <w:lang w:eastAsia="en-AU"/>
        </w:rPr>
        <w:t>:</w:t>
      </w:r>
      <w:r>
        <w:rPr>
          <w:lang w:eastAsia="en-AU"/>
        </w:rPr>
        <w:t xml:space="preserve"> </w:t>
      </w:r>
      <w:hyperlink r:id="rId37" w:history="1">
        <w:r w:rsidRPr="00287D30">
          <w:rPr>
            <w:rStyle w:val="Hyperlink"/>
          </w:rPr>
          <w:t>Docket No. 20</w:t>
        </w:r>
        <w:r w:rsidR="00515F52" w:rsidRPr="00515F52">
          <w:rPr>
            <w:rStyle w:val="Hyperlink"/>
          </w:rPr>
          <w:t>–</w:t>
        </w:r>
        <w:r>
          <w:rPr>
            <w:rStyle w:val="Hyperlink"/>
          </w:rPr>
          <w:t>979</w:t>
        </w:r>
      </w:hyperlink>
    </w:p>
    <w:p w14:paraId="64A7336B" w14:textId="77777777" w:rsidR="00585E05" w:rsidRDefault="00585E05" w:rsidP="00585E05">
      <w:pPr>
        <w:rPr>
          <w:lang w:eastAsia="en-AU"/>
        </w:rPr>
      </w:pPr>
    </w:p>
    <w:p w14:paraId="7D6C6F07" w14:textId="2F126864" w:rsidR="00585E05" w:rsidRPr="00DB68FF" w:rsidRDefault="00585E05" w:rsidP="00585E05">
      <w:pPr>
        <w:rPr>
          <w:lang w:eastAsia="en-AU"/>
        </w:rPr>
      </w:pPr>
      <w:r>
        <w:rPr>
          <w:b/>
          <w:bCs/>
          <w:lang w:eastAsia="en-AU"/>
        </w:rPr>
        <w:t xml:space="preserve">Judgment delivered: </w:t>
      </w:r>
      <w:r>
        <w:rPr>
          <w:lang w:eastAsia="en-AU"/>
        </w:rPr>
        <w:t xml:space="preserve">16 May 2022 </w:t>
      </w:r>
    </w:p>
    <w:p w14:paraId="43EC539B" w14:textId="77777777" w:rsidR="00585E05" w:rsidRDefault="00585E05" w:rsidP="00585E05">
      <w:pPr>
        <w:rPr>
          <w:b/>
          <w:bCs/>
          <w:lang w:eastAsia="en-AU"/>
        </w:rPr>
      </w:pPr>
    </w:p>
    <w:p w14:paraId="5C504915" w14:textId="77777777" w:rsidR="00585E05" w:rsidRDefault="00585E05" w:rsidP="00585E05">
      <w:pPr>
        <w:rPr>
          <w:lang w:eastAsia="en-AU"/>
        </w:rPr>
      </w:pPr>
      <w:r>
        <w:rPr>
          <w:b/>
          <w:bCs/>
          <w:lang w:eastAsia="en-AU"/>
        </w:rPr>
        <w:t>Coram:</w:t>
      </w:r>
      <w:r w:rsidRPr="00DB68FF">
        <w:t xml:space="preserve"> </w:t>
      </w:r>
      <w:r>
        <w:rPr>
          <w:lang w:eastAsia="en-AU"/>
        </w:rPr>
        <w:t xml:space="preserve">Roberts CJ, Thomas, </w:t>
      </w:r>
      <w:proofErr w:type="spellStart"/>
      <w:r>
        <w:rPr>
          <w:lang w:eastAsia="en-AU"/>
        </w:rPr>
        <w:t>Breyer</w:t>
      </w:r>
      <w:proofErr w:type="spellEnd"/>
      <w:r>
        <w:rPr>
          <w:lang w:eastAsia="en-AU"/>
        </w:rPr>
        <w:t>, Alito, Sotomayor, Kagan, Gorsuch,</w:t>
      </w:r>
    </w:p>
    <w:p w14:paraId="0F109A6D" w14:textId="77777777" w:rsidR="00585E05" w:rsidRPr="00DB68FF" w:rsidRDefault="00585E05" w:rsidP="00585E05">
      <w:pPr>
        <w:rPr>
          <w:lang w:eastAsia="en-AU"/>
        </w:rPr>
      </w:pPr>
      <w:r>
        <w:rPr>
          <w:lang w:eastAsia="en-AU"/>
        </w:rPr>
        <w:t>Kavanaugh and Barrett JJ</w:t>
      </w:r>
    </w:p>
    <w:p w14:paraId="0B00FB60" w14:textId="77777777" w:rsidR="00585E05" w:rsidRDefault="00585E05" w:rsidP="00585E05">
      <w:pPr>
        <w:rPr>
          <w:b/>
          <w:bCs/>
          <w:lang w:eastAsia="en-AU"/>
        </w:rPr>
      </w:pPr>
    </w:p>
    <w:p w14:paraId="3FB8590F" w14:textId="77777777" w:rsidR="00585E05" w:rsidRDefault="00585E05" w:rsidP="00585E05">
      <w:pPr>
        <w:rPr>
          <w:b/>
          <w:bCs/>
          <w:lang w:eastAsia="en-AU"/>
        </w:rPr>
      </w:pPr>
      <w:r>
        <w:rPr>
          <w:b/>
          <w:bCs/>
          <w:lang w:eastAsia="en-AU"/>
        </w:rPr>
        <w:t>Catchwords:</w:t>
      </w:r>
    </w:p>
    <w:p w14:paraId="1E3D5D5B" w14:textId="77777777" w:rsidR="00585E05" w:rsidRDefault="00585E05" w:rsidP="00585E05">
      <w:pPr>
        <w:rPr>
          <w:b/>
          <w:bCs/>
          <w:lang w:eastAsia="en-AU"/>
        </w:rPr>
      </w:pPr>
    </w:p>
    <w:p w14:paraId="33333BC9" w14:textId="5998ED69" w:rsidR="00585E05" w:rsidRPr="00287D30" w:rsidRDefault="00585E05" w:rsidP="00A81B65">
      <w:pPr>
        <w:pStyle w:val="Catchwords"/>
      </w:pPr>
      <w:r>
        <w:t>Immigration</w:t>
      </w:r>
      <w:r w:rsidR="00A81B65">
        <w:t xml:space="preserve"> – Noncitizens – Application for lawful permanent residency – Where petitioner, who entered United States illegally with wife, applied to United States Citizenship and Immigration Services (</w:t>
      </w:r>
      <w:r w:rsidR="00A74661">
        <w:t>"</w:t>
      </w:r>
      <w:r w:rsidR="00A81B65">
        <w:t>USCIS</w:t>
      </w:r>
      <w:r w:rsidR="00A74661">
        <w:t>"</w:t>
      </w:r>
      <w:r w:rsidR="00A81B65">
        <w:t>) for discretionary adjustment of status</w:t>
      </w:r>
      <w:r w:rsidR="008760A6">
        <w:t>,</w:t>
      </w:r>
      <w:r w:rsidR="00A81B65">
        <w:t xml:space="preserve"> under 8 </w:t>
      </w:r>
      <w:r w:rsidR="008760A6">
        <w:t>USC</w:t>
      </w:r>
      <w:r w:rsidR="00A81B65">
        <w:t xml:space="preserve"> §1255, </w:t>
      </w:r>
      <w:r w:rsidR="008760A6">
        <w:t xml:space="preserve">for </w:t>
      </w:r>
      <w:r w:rsidR="00A81B65">
        <w:t xml:space="preserve">lawful permanent </w:t>
      </w:r>
      <w:r w:rsidR="008760A6">
        <w:t xml:space="preserve">residency – Where, because </w:t>
      </w:r>
      <w:r w:rsidR="00A81B65">
        <w:t>USCIS aware Patel had previously checked box on Georgia</w:t>
      </w:r>
      <w:r w:rsidR="00DA3FF2">
        <w:t>n</w:t>
      </w:r>
      <w:r w:rsidR="00A81B65">
        <w:t xml:space="preserve"> driver</w:t>
      </w:r>
      <w:r w:rsidR="00A74661">
        <w:t>'</w:t>
      </w:r>
      <w:r w:rsidR="00A81B65">
        <w:t>s license</w:t>
      </w:r>
      <w:r w:rsidR="008760A6">
        <w:t xml:space="preserve"> </w:t>
      </w:r>
      <w:r w:rsidR="00A81B65">
        <w:t xml:space="preserve">application falsely stating United States citizen, </w:t>
      </w:r>
      <w:r w:rsidR="008760A6">
        <w:t>USCIS</w:t>
      </w:r>
      <w:r w:rsidR="00A81B65">
        <w:t xml:space="preserve"> denied Patel</w:t>
      </w:r>
      <w:r w:rsidR="00A74661">
        <w:t>'</w:t>
      </w:r>
      <w:r w:rsidR="00A81B65">
        <w:t>s application for failure to satisfy threshold requirement</w:t>
      </w:r>
      <w:r w:rsidR="008760A6">
        <w:t xml:space="preserve"> </w:t>
      </w:r>
      <w:r w:rsidR="00A81B65">
        <w:t>noncitizen be statutorily admissible for permanent residence</w:t>
      </w:r>
      <w:r w:rsidR="008760A6">
        <w:t xml:space="preserve"> (</w:t>
      </w:r>
      <w:r w:rsidR="00A81B65">
        <w:t>§1255(</w:t>
      </w:r>
      <w:proofErr w:type="spellStart"/>
      <w:r w:rsidR="00A81B65">
        <w:t>i</w:t>
      </w:r>
      <w:proofErr w:type="spellEnd"/>
      <w:r w:rsidR="00A81B65">
        <w:t>)(2)(A)</w:t>
      </w:r>
      <w:r w:rsidR="008760A6">
        <w:t>) –</w:t>
      </w:r>
      <w:r w:rsidR="00A81B65">
        <w:t xml:space="preserve"> </w:t>
      </w:r>
      <w:r w:rsidR="008760A6">
        <w:t xml:space="preserve">Where </w:t>
      </w:r>
      <w:r w:rsidR="00A81B65">
        <w:t xml:space="preserve">§1182(a)(6)(C)(ii)(I) </w:t>
      </w:r>
      <w:r w:rsidR="008760A6">
        <w:t>rendered</w:t>
      </w:r>
      <w:r w:rsidR="00A81B65">
        <w:t xml:space="preserve"> inadmissible</w:t>
      </w:r>
      <w:r w:rsidR="008760A6">
        <w:t xml:space="preserve"> </w:t>
      </w:r>
      <w:r w:rsidR="00A81B65">
        <w:t>noncitizen who falsely represents to be a citizen</w:t>
      </w:r>
      <w:r w:rsidR="008760A6">
        <w:t xml:space="preserve"> </w:t>
      </w:r>
      <w:r w:rsidR="00A81B65">
        <w:t>of United States</w:t>
      </w:r>
      <w:r w:rsidR="00A74661">
        <w:t>"</w:t>
      </w:r>
      <w:r w:rsidR="008760A6">
        <w:t xml:space="preserve"> under state or federal law – Where, y</w:t>
      </w:r>
      <w:r w:rsidR="00A81B65">
        <w:t>ears later, Government initiated removal proceedings against</w:t>
      </w:r>
      <w:r w:rsidR="008760A6">
        <w:t xml:space="preserve"> petitioner and wife due to</w:t>
      </w:r>
      <w:r w:rsidR="00A81B65">
        <w:t xml:space="preserve"> illegal entry</w:t>
      </w:r>
      <w:r w:rsidR="008760A6">
        <w:t xml:space="preserve"> – Where</w:t>
      </w:r>
      <w:r w:rsidR="00A81B65">
        <w:t xml:space="preserve"> </w:t>
      </w:r>
      <w:r w:rsidR="00FD5519">
        <w:t>petitioner</w:t>
      </w:r>
      <w:r w:rsidR="00A81B65">
        <w:t xml:space="preserve"> sought relief from</w:t>
      </w:r>
      <w:r w:rsidR="008760A6">
        <w:t xml:space="preserve"> </w:t>
      </w:r>
      <w:r w:rsidR="00A81B65">
        <w:t>removal by renewing adjustment of status request</w:t>
      </w:r>
      <w:r w:rsidR="008760A6">
        <w:t xml:space="preserve"> – Where</w:t>
      </w:r>
      <w:r w:rsidR="00A81B65">
        <w:t xml:space="preserve"> </w:t>
      </w:r>
      <w:r w:rsidR="00FD5519">
        <w:t>petitioner</w:t>
      </w:r>
      <w:r w:rsidR="00A81B65">
        <w:t xml:space="preserve"> argued</w:t>
      </w:r>
      <w:r w:rsidR="008760A6">
        <w:t xml:space="preserve"> </w:t>
      </w:r>
      <w:r w:rsidR="00A81B65">
        <w:t xml:space="preserve">before Immigration Judge mistakenly checked </w:t>
      </w:r>
      <w:r w:rsidR="00A74661">
        <w:t>"</w:t>
      </w:r>
      <w:r w:rsidR="00A81B65">
        <w:t>citizen</w:t>
      </w:r>
      <w:r w:rsidR="00A74661">
        <w:t>"</w:t>
      </w:r>
      <w:r w:rsidR="00A81B65">
        <w:t xml:space="preserve"> box on state application and thus lacked subjective intent</w:t>
      </w:r>
      <w:r w:rsidR="00FD5519">
        <w:t xml:space="preserve"> </w:t>
      </w:r>
      <w:r w:rsidR="00A81B65">
        <w:t>necessary to violate federal statute</w:t>
      </w:r>
      <w:r w:rsidR="00FD5519">
        <w:t xml:space="preserve"> – Where </w:t>
      </w:r>
      <w:r w:rsidR="00A81B65">
        <w:t xml:space="preserve">Immigration Judge disagreed, denied </w:t>
      </w:r>
      <w:r w:rsidR="00FD5519">
        <w:t>petitioner</w:t>
      </w:r>
      <w:r w:rsidR="00A74661">
        <w:t>'</w:t>
      </w:r>
      <w:r w:rsidR="00FD5519">
        <w:t>s</w:t>
      </w:r>
      <w:r w:rsidR="00A81B65">
        <w:t xml:space="preserve"> application for adjustment of status, and ordered</w:t>
      </w:r>
      <w:r w:rsidR="00FD5519">
        <w:t xml:space="preserve"> removal – Where </w:t>
      </w:r>
      <w:r w:rsidR="00A81B65">
        <w:t>Board of</w:t>
      </w:r>
      <w:r w:rsidR="00FD5519">
        <w:t xml:space="preserve"> </w:t>
      </w:r>
      <w:r w:rsidR="00A81B65">
        <w:t>Immigration Appeals dismissed appeal</w:t>
      </w:r>
      <w:r w:rsidR="00FD5519">
        <w:t xml:space="preserve"> – Where </w:t>
      </w:r>
      <w:r w:rsidR="00A81B65">
        <w:t>Eleventh Circuit held lacked jurisdiction to consider claim</w:t>
      </w:r>
      <w:r w:rsidR="00FD5519">
        <w:t xml:space="preserve"> as federal</w:t>
      </w:r>
      <w:r w:rsidR="00A81B65">
        <w:t xml:space="preserve"> law prohibit</w:t>
      </w:r>
      <w:r w:rsidR="00FD5519">
        <w:t>ed</w:t>
      </w:r>
      <w:r w:rsidR="00A81B65">
        <w:t xml:space="preserve"> judicial review of </w:t>
      </w:r>
      <w:r w:rsidR="00A74661">
        <w:t>"</w:t>
      </w:r>
      <w:r w:rsidR="00A81B65">
        <w:t>judgment regarding</w:t>
      </w:r>
      <w:r w:rsidR="00FD5519">
        <w:t xml:space="preserve"> </w:t>
      </w:r>
      <w:r w:rsidR="00A81B65">
        <w:t>granting of relief</w:t>
      </w:r>
      <w:r w:rsidR="00A74661">
        <w:t>"</w:t>
      </w:r>
      <w:r w:rsidR="00A81B65">
        <w:t xml:space="preserve"> under §1252(a)(2)(B)(</w:t>
      </w:r>
      <w:proofErr w:type="spellStart"/>
      <w:r w:rsidR="00A81B65">
        <w:t>i</w:t>
      </w:r>
      <w:proofErr w:type="spellEnd"/>
      <w:r w:rsidR="00A81B65">
        <w:t>)</w:t>
      </w:r>
      <w:r w:rsidR="00FD5519">
        <w:t xml:space="preserve"> – Where </w:t>
      </w:r>
      <w:r w:rsidR="00FD5519" w:rsidRPr="00FD5519">
        <w:t>Eleventh Circuit</w:t>
      </w:r>
      <w:r w:rsidR="00FD5519">
        <w:t xml:space="preserve"> considered determinations which petitioner sought review, being whether testified credibly and subjectively intended to misrepresent as citizen, each qualified as unreviewable judgment – Whether </w:t>
      </w:r>
      <w:r w:rsidR="00FD5519" w:rsidRPr="00FD5519">
        <w:t>§1252(a)(2)(B)(</w:t>
      </w:r>
      <w:proofErr w:type="spellStart"/>
      <w:r w:rsidR="00FD5519" w:rsidRPr="00FD5519">
        <w:t>i</w:t>
      </w:r>
      <w:proofErr w:type="spellEnd"/>
      <w:r w:rsidR="00FD5519" w:rsidRPr="00FD5519">
        <w:t>) precludes judicial review of factual findings that underlie denial of relief</w:t>
      </w:r>
      <w:r>
        <w:t>.</w:t>
      </w:r>
    </w:p>
    <w:p w14:paraId="4F894BAF" w14:textId="77777777" w:rsidR="00585E05" w:rsidRDefault="00585E05" w:rsidP="00585E05">
      <w:pPr>
        <w:rPr>
          <w:b/>
          <w:bCs/>
          <w:lang w:eastAsia="en-AU"/>
        </w:rPr>
      </w:pPr>
    </w:p>
    <w:p w14:paraId="61296538" w14:textId="1C2304AF" w:rsidR="00585E05" w:rsidRDefault="00585E05" w:rsidP="00585E05">
      <w:pPr>
        <w:rPr>
          <w:lang w:eastAsia="en-AU"/>
        </w:rPr>
      </w:pPr>
      <w:r>
        <w:rPr>
          <w:b/>
          <w:bCs/>
          <w:lang w:eastAsia="en-AU"/>
        </w:rPr>
        <w:t>Held (5:4):</w:t>
      </w:r>
      <w:r>
        <w:rPr>
          <w:lang w:eastAsia="en-AU"/>
        </w:rPr>
        <w:t xml:space="preserve"> </w:t>
      </w:r>
      <w:r w:rsidRPr="006C3EC7">
        <w:rPr>
          <w:lang w:eastAsia="en-AU"/>
        </w:rPr>
        <w:t xml:space="preserve">Judgment of </w:t>
      </w:r>
      <w:r>
        <w:rPr>
          <w:lang w:eastAsia="en-AU"/>
        </w:rPr>
        <w:t xml:space="preserve">Court of Appeals for the Eleventh Circuit affirmed. </w:t>
      </w:r>
    </w:p>
    <w:p w14:paraId="0C1CFDB9" w14:textId="77777777" w:rsidR="00585E05" w:rsidRDefault="00585E05" w:rsidP="00585E05">
      <w:pPr>
        <w:pStyle w:val="BullDivider2"/>
      </w:pPr>
    </w:p>
    <w:p w14:paraId="4F3E56A8" w14:textId="77777777" w:rsidR="00585E05" w:rsidRPr="00CE512F" w:rsidRDefault="00585E05" w:rsidP="00585E05">
      <w:pPr>
        <w:rPr>
          <w:lang w:eastAsia="en-AU"/>
        </w:rPr>
      </w:pPr>
    </w:p>
    <w:p w14:paraId="5F50D77A" w14:textId="722DE8D1" w:rsidR="00C80E0E" w:rsidRDefault="00C80E0E" w:rsidP="009556B8">
      <w:pPr>
        <w:pStyle w:val="Heading1"/>
      </w:pPr>
      <w:r>
        <w:t xml:space="preserve">Property </w:t>
      </w:r>
    </w:p>
    <w:p w14:paraId="5B41D45C" w14:textId="77777777" w:rsidR="003840DF" w:rsidRPr="003840DF" w:rsidRDefault="003840DF" w:rsidP="003840DF">
      <w:pPr>
        <w:rPr>
          <w:lang w:eastAsia="en-AU"/>
        </w:rPr>
      </w:pPr>
    </w:p>
    <w:p w14:paraId="4C7BEA93" w14:textId="4CD7253F" w:rsidR="003840DF" w:rsidRDefault="003840DF" w:rsidP="003840DF">
      <w:pPr>
        <w:pStyle w:val="Heading2"/>
      </w:pPr>
      <w:r>
        <w:lastRenderedPageBreak/>
        <w:t xml:space="preserve">Melco Property Holdings (NZ) 2012 Limited v Anthony John Hall </w:t>
      </w:r>
    </w:p>
    <w:p w14:paraId="48E2DFA5" w14:textId="602B543D" w:rsidR="003840DF" w:rsidRDefault="003840DF" w:rsidP="003840DF">
      <w:pPr>
        <w:rPr>
          <w:lang w:eastAsia="en-AU"/>
        </w:rPr>
      </w:pPr>
      <w:r>
        <w:rPr>
          <w:b/>
          <w:bCs/>
          <w:lang w:eastAsia="en-AU"/>
        </w:rPr>
        <w:t>Supreme Court of New Zealand</w:t>
      </w:r>
      <w:r w:rsidRPr="006B0D58">
        <w:rPr>
          <w:b/>
          <w:bCs/>
          <w:lang w:eastAsia="en-AU"/>
        </w:rPr>
        <w:t>:</w:t>
      </w:r>
      <w:r>
        <w:rPr>
          <w:lang w:eastAsia="en-AU"/>
        </w:rPr>
        <w:t xml:space="preserve"> </w:t>
      </w:r>
      <w:hyperlink r:id="rId38" w:history="1">
        <w:r w:rsidRPr="003840DF">
          <w:rPr>
            <w:rStyle w:val="Hyperlink"/>
            <w:lang w:eastAsia="en-AU"/>
          </w:rPr>
          <w:t>[2022] NZSC 60</w:t>
        </w:r>
      </w:hyperlink>
    </w:p>
    <w:p w14:paraId="42AA9967" w14:textId="77777777" w:rsidR="003840DF" w:rsidRDefault="003840DF" w:rsidP="003840DF">
      <w:pPr>
        <w:rPr>
          <w:lang w:eastAsia="en-AU"/>
        </w:rPr>
      </w:pPr>
    </w:p>
    <w:p w14:paraId="25CBE3CE" w14:textId="5EA9ED15" w:rsidR="003840DF" w:rsidRPr="00DB68FF" w:rsidRDefault="003840DF" w:rsidP="003840DF">
      <w:pPr>
        <w:rPr>
          <w:lang w:eastAsia="en-AU"/>
        </w:rPr>
      </w:pPr>
      <w:r>
        <w:rPr>
          <w:b/>
          <w:bCs/>
          <w:lang w:eastAsia="en-AU"/>
        </w:rPr>
        <w:t xml:space="preserve">Judgment delivered: </w:t>
      </w:r>
      <w:r>
        <w:rPr>
          <w:lang w:eastAsia="en-AU"/>
        </w:rPr>
        <w:t>12 May 2022</w:t>
      </w:r>
    </w:p>
    <w:p w14:paraId="19EF1215" w14:textId="77777777" w:rsidR="003840DF" w:rsidRDefault="003840DF" w:rsidP="003840DF">
      <w:pPr>
        <w:rPr>
          <w:b/>
          <w:bCs/>
          <w:lang w:eastAsia="en-AU"/>
        </w:rPr>
      </w:pPr>
    </w:p>
    <w:p w14:paraId="0395649B" w14:textId="176945D3" w:rsidR="003840DF" w:rsidRDefault="003840DF" w:rsidP="003840DF">
      <w:pPr>
        <w:rPr>
          <w:lang w:eastAsia="en-AU"/>
        </w:rPr>
      </w:pPr>
      <w:r>
        <w:rPr>
          <w:b/>
          <w:bCs/>
          <w:lang w:eastAsia="en-AU"/>
        </w:rPr>
        <w:t>Coram:</w:t>
      </w:r>
      <w:r w:rsidRPr="00DB68FF">
        <w:t xml:space="preserve"> </w:t>
      </w:r>
      <w:r>
        <w:t xml:space="preserve">William </w:t>
      </w:r>
      <w:r>
        <w:rPr>
          <w:lang w:eastAsia="en-AU"/>
        </w:rPr>
        <w:t xml:space="preserve">Young, </w:t>
      </w:r>
      <w:proofErr w:type="spellStart"/>
      <w:r>
        <w:rPr>
          <w:lang w:eastAsia="en-AU"/>
        </w:rPr>
        <w:t>Glazebrook</w:t>
      </w:r>
      <w:proofErr w:type="spellEnd"/>
      <w:r>
        <w:rPr>
          <w:lang w:eastAsia="en-AU"/>
        </w:rPr>
        <w:t xml:space="preserve">, </w:t>
      </w:r>
      <w:proofErr w:type="spellStart"/>
      <w:r>
        <w:rPr>
          <w:lang w:eastAsia="en-AU"/>
        </w:rPr>
        <w:t>O</w:t>
      </w:r>
      <w:r w:rsidR="00A74661">
        <w:rPr>
          <w:lang w:eastAsia="en-AU"/>
        </w:rPr>
        <w:t>'</w:t>
      </w:r>
      <w:r>
        <w:rPr>
          <w:lang w:eastAsia="en-AU"/>
        </w:rPr>
        <w:t>Regan</w:t>
      </w:r>
      <w:proofErr w:type="spellEnd"/>
      <w:r>
        <w:rPr>
          <w:lang w:eastAsia="en-AU"/>
        </w:rPr>
        <w:t>, Ellen France and Williams JJ</w:t>
      </w:r>
    </w:p>
    <w:p w14:paraId="154151E6" w14:textId="77777777" w:rsidR="003840DF" w:rsidRDefault="003840DF" w:rsidP="003840DF">
      <w:pPr>
        <w:rPr>
          <w:b/>
          <w:bCs/>
          <w:lang w:eastAsia="en-AU"/>
        </w:rPr>
      </w:pPr>
    </w:p>
    <w:p w14:paraId="05EF91E4" w14:textId="77777777" w:rsidR="003840DF" w:rsidRDefault="003840DF" w:rsidP="003840DF">
      <w:pPr>
        <w:rPr>
          <w:b/>
          <w:bCs/>
          <w:lang w:eastAsia="en-AU"/>
        </w:rPr>
      </w:pPr>
      <w:r>
        <w:rPr>
          <w:b/>
          <w:bCs/>
          <w:lang w:eastAsia="en-AU"/>
        </w:rPr>
        <w:t>Catchwords:</w:t>
      </w:r>
    </w:p>
    <w:p w14:paraId="52BC872F" w14:textId="77777777" w:rsidR="003840DF" w:rsidRDefault="003840DF" w:rsidP="003840DF">
      <w:pPr>
        <w:rPr>
          <w:b/>
          <w:bCs/>
          <w:lang w:eastAsia="en-AU"/>
        </w:rPr>
      </w:pPr>
    </w:p>
    <w:p w14:paraId="259AE81F" w14:textId="271A2AAF" w:rsidR="003840DF" w:rsidRDefault="003840DF" w:rsidP="005A00F7">
      <w:pPr>
        <w:pStyle w:val="Catchwords"/>
      </w:pPr>
      <w:r w:rsidRPr="008313C6">
        <w:t xml:space="preserve">Property – </w:t>
      </w:r>
      <w:r w:rsidR="00E90183" w:rsidRPr="008313C6">
        <w:t xml:space="preserve">Sale and purchase agreement – Due diligence condition – Non-fulfillment of condition precedent </w:t>
      </w:r>
      <w:r w:rsidR="005A00F7" w:rsidRPr="008313C6">
        <w:t>–</w:t>
      </w:r>
      <w:r w:rsidR="00E90183" w:rsidRPr="008313C6">
        <w:t xml:space="preserve"> </w:t>
      </w:r>
      <w:r w:rsidR="005A00F7" w:rsidRPr="008313C6">
        <w:t xml:space="preserve">Where respondent agreed to sell commercial property to appellant under agreement for sale and purchase – Where agreement contained due diligence clause under which appellant to be satisfied property suitable for requirements or waive compliance – Where respondent purported to cancel agreement when, on date for fulfilment, appellant neither given notice of fulfilment nor waived requirement – Where appellant lodged caveat, purporting to waive due diligence requirement and sought settlement of agreement – Where appellant applied to High Court for order under s 143 of </w:t>
      </w:r>
      <w:r w:rsidR="005A00F7" w:rsidRPr="008313C6">
        <w:rPr>
          <w:i/>
          <w:iCs/>
        </w:rPr>
        <w:t>Land Transfer Act 2017</w:t>
      </w:r>
      <w:r w:rsidR="005A00F7" w:rsidRPr="008313C6">
        <w:t xml:space="preserve"> that caveat not lapse – Whether </w:t>
      </w:r>
      <w:r w:rsidR="008313C6" w:rsidRPr="008313C6">
        <w:t>caveat lapsed – Whether respondent validly terminated agreement – Proper nexus required between respondent</w:t>
      </w:r>
      <w:r w:rsidR="00A74661">
        <w:t>'</w:t>
      </w:r>
      <w:r w:rsidR="008313C6" w:rsidRPr="008313C6">
        <w:t>s actions and ability to comply with condition precedent</w:t>
      </w:r>
      <w:r w:rsidR="008313C6">
        <w:t>.</w:t>
      </w:r>
    </w:p>
    <w:p w14:paraId="42C7C321" w14:textId="77777777" w:rsidR="003840DF" w:rsidRDefault="003840DF" w:rsidP="003840DF">
      <w:pPr>
        <w:rPr>
          <w:b/>
          <w:bCs/>
          <w:lang w:eastAsia="en-AU"/>
        </w:rPr>
      </w:pPr>
    </w:p>
    <w:p w14:paraId="0495A8FA" w14:textId="35E64FDB" w:rsidR="003840DF" w:rsidRDefault="003840DF" w:rsidP="003840DF">
      <w:pPr>
        <w:rPr>
          <w:lang w:eastAsia="en-AU"/>
        </w:rPr>
      </w:pPr>
      <w:r>
        <w:rPr>
          <w:b/>
          <w:bCs/>
          <w:lang w:eastAsia="en-AU"/>
        </w:rPr>
        <w:t>Held (5:0):</w:t>
      </w:r>
      <w:r>
        <w:rPr>
          <w:lang w:eastAsia="en-AU"/>
        </w:rPr>
        <w:t xml:space="preserve"> Appeal allowed. </w:t>
      </w:r>
    </w:p>
    <w:p w14:paraId="3AF7B8DE" w14:textId="77777777" w:rsidR="003840DF" w:rsidRDefault="003840DF" w:rsidP="00C80E0E">
      <w:pPr>
        <w:rPr>
          <w:lang w:eastAsia="en-AU"/>
        </w:rPr>
      </w:pPr>
    </w:p>
    <w:p w14:paraId="46EA5D4B" w14:textId="77777777" w:rsidR="00C80E0E" w:rsidRDefault="00C80E0E" w:rsidP="00C80E0E">
      <w:pPr>
        <w:pStyle w:val="BullDivider2"/>
      </w:pPr>
    </w:p>
    <w:p w14:paraId="34F73D55" w14:textId="77777777" w:rsidR="00C80E0E" w:rsidRPr="00C80E0E" w:rsidRDefault="00C80E0E" w:rsidP="00C80E0E">
      <w:pPr>
        <w:rPr>
          <w:lang w:eastAsia="en-AU"/>
        </w:rPr>
      </w:pPr>
    </w:p>
    <w:p w14:paraId="51D483DB" w14:textId="6F4AE2D8" w:rsidR="00BE4775" w:rsidRDefault="00BE4775" w:rsidP="009556B8">
      <w:pPr>
        <w:pStyle w:val="Heading1"/>
      </w:pPr>
      <w:r>
        <w:t xml:space="preserve">Statutory Interpretation </w:t>
      </w:r>
    </w:p>
    <w:p w14:paraId="26ED79CC" w14:textId="77777777" w:rsidR="00DA3FF2" w:rsidRPr="00DA3FF2" w:rsidRDefault="00DA3FF2" w:rsidP="00DA3FF2">
      <w:pPr>
        <w:rPr>
          <w:lang w:eastAsia="en-AU"/>
        </w:rPr>
      </w:pPr>
    </w:p>
    <w:p w14:paraId="1B1EC600" w14:textId="4B08E6C4" w:rsidR="00BE4775" w:rsidRPr="00367779" w:rsidRDefault="00F37ACB" w:rsidP="00BE4775">
      <w:pPr>
        <w:keepNext/>
        <w:outlineLvl w:val="1"/>
        <w:rPr>
          <w:rFonts w:ascii="Arial" w:hAnsi="Arial" w:cs="Arial"/>
          <w:bCs/>
          <w:i/>
          <w:iCs/>
          <w:sz w:val="28"/>
          <w:szCs w:val="28"/>
          <w:lang w:eastAsia="en-AU"/>
        </w:rPr>
      </w:pPr>
      <w:r w:rsidRPr="00F37ACB">
        <w:rPr>
          <w:rFonts w:ascii="Arial" w:hAnsi="Arial" w:cs="Arial"/>
          <w:bCs/>
          <w:i/>
          <w:iCs/>
          <w:sz w:val="28"/>
          <w:szCs w:val="28"/>
          <w:lang w:eastAsia="en-AU"/>
        </w:rPr>
        <w:t xml:space="preserve">Minister of Police </w:t>
      </w:r>
      <w:r>
        <w:rPr>
          <w:rFonts w:ascii="Arial" w:hAnsi="Arial" w:cs="Arial"/>
          <w:bCs/>
          <w:i/>
          <w:iCs/>
          <w:sz w:val="28"/>
          <w:szCs w:val="28"/>
          <w:lang w:eastAsia="en-AU"/>
        </w:rPr>
        <w:t xml:space="preserve">&amp; </w:t>
      </w:r>
      <w:proofErr w:type="spellStart"/>
      <w:r>
        <w:rPr>
          <w:rFonts w:ascii="Arial" w:hAnsi="Arial" w:cs="Arial"/>
          <w:bCs/>
          <w:i/>
          <w:iCs/>
          <w:sz w:val="28"/>
          <w:szCs w:val="28"/>
          <w:lang w:eastAsia="en-AU"/>
        </w:rPr>
        <w:t>Ors</w:t>
      </w:r>
      <w:proofErr w:type="spellEnd"/>
      <w:r>
        <w:rPr>
          <w:rFonts w:ascii="Arial" w:hAnsi="Arial" w:cs="Arial"/>
          <w:bCs/>
          <w:i/>
          <w:iCs/>
          <w:sz w:val="28"/>
          <w:szCs w:val="28"/>
          <w:lang w:eastAsia="en-AU"/>
        </w:rPr>
        <w:t xml:space="preserve"> </w:t>
      </w:r>
      <w:r w:rsidRPr="00F37ACB">
        <w:rPr>
          <w:rFonts w:ascii="Arial" w:hAnsi="Arial" w:cs="Arial"/>
          <w:bCs/>
          <w:i/>
          <w:iCs/>
          <w:sz w:val="28"/>
          <w:szCs w:val="28"/>
          <w:lang w:eastAsia="en-AU"/>
        </w:rPr>
        <w:t>v Fidelity Security Services (Pty) Limited</w:t>
      </w:r>
    </w:p>
    <w:p w14:paraId="069EB76F" w14:textId="596D6A7D" w:rsidR="00BE4775" w:rsidRPr="00367779" w:rsidRDefault="00BE4775" w:rsidP="00BE4775">
      <w:pPr>
        <w:rPr>
          <w:lang w:eastAsia="en-AU"/>
        </w:rPr>
      </w:pPr>
      <w:r w:rsidRPr="00367779">
        <w:rPr>
          <w:b/>
          <w:lang w:eastAsia="en-AU"/>
        </w:rPr>
        <w:t xml:space="preserve">Constitutional Court of South Africa: </w:t>
      </w:r>
      <w:hyperlink r:id="rId39" w:history="1">
        <w:r w:rsidR="00F37ACB" w:rsidRPr="00F37ACB">
          <w:rPr>
            <w:rStyle w:val="Hyperlink"/>
          </w:rPr>
          <w:t>[2022] ZACC 16</w:t>
        </w:r>
      </w:hyperlink>
    </w:p>
    <w:p w14:paraId="11EFD11A" w14:textId="77777777" w:rsidR="00BE4775" w:rsidRPr="00367779" w:rsidRDefault="00BE4775" w:rsidP="00BE4775">
      <w:pPr>
        <w:rPr>
          <w:lang w:eastAsia="en-AU"/>
        </w:rPr>
      </w:pPr>
    </w:p>
    <w:p w14:paraId="383599A1" w14:textId="77777777" w:rsidR="00BE4775" w:rsidRPr="00367779" w:rsidRDefault="00BE4775" w:rsidP="00BE4775">
      <w:pPr>
        <w:rPr>
          <w:lang w:eastAsia="en-AU"/>
        </w:rPr>
      </w:pPr>
      <w:r w:rsidRPr="00367779">
        <w:rPr>
          <w:b/>
          <w:lang w:eastAsia="en-AU"/>
        </w:rPr>
        <w:t>Judgment delivered:</w:t>
      </w:r>
      <w:r w:rsidRPr="00367779">
        <w:rPr>
          <w:lang w:eastAsia="en-AU"/>
        </w:rPr>
        <w:t xml:space="preserve"> </w:t>
      </w:r>
      <w:r>
        <w:rPr>
          <w:lang w:eastAsia="en-AU"/>
        </w:rPr>
        <w:t>6 May</w:t>
      </w:r>
      <w:r w:rsidRPr="00367779">
        <w:rPr>
          <w:lang w:eastAsia="en-AU"/>
        </w:rPr>
        <w:t xml:space="preserve"> 2022</w:t>
      </w:r>
    </w:p>
    <w:p w14:paraId="7B537E64" w14:textId="77777777" w:rsidR="00BE4775" w:rsidRPr="00367779" w:rsidRDefault="00BE4775" w:rsidP="00BE4775">
      <w:pPr>
        <w:rPr>
          <w:lang w:eastAsia="en-AU"/>
        </w:rPr>
      </w:pPr>
    </w:p>
    <w:p w14:paraId="4D24B86A" w14:textId="6E6DF9CF" w:rsidR="00BE4775" w:rsidRPr="00367779" w:rsidRDefault="00BE4775" w:rsidP="00BE4775">
      <w:pPr>
        <w:rPr>
          <w:lang w:eastAsia="en-AU"/>
        </w:rPr>
      </w:pPr>
      <w:r w:rsidRPr="00367779">
        <w:rPr>
          <w:b/>
          <w:lang w:eastAsia="en-AU"/>
        </w:rPr>
        <w:t xml:space="preserve">Coram: </w:t>
      </w:r>
      <w:proofErr w:type="spellStart"/>
      <w:r w:rsidR="00F37ACB" w:rsidRPr="00F37ACB">
        <w:rPr>
          <w:lang w:eastAsia="en-AU"/>
        </w:rPr>
        <w:t>Zondo</w:t>
      </w:r>
      <w:proofErr w:type="spellEnd"/>
      <w:r w:rsidR="00F37ACB" w:rsidRPr="00F37ACB">
        <w:rPr>
          <w:lang w:eastAsia="en-AU"/>
        </w:rPr>
        <w:t xml:space="preserve"> ACJ, </w:t>
      </w:r>
      <w:proofErr w:type="spellStart"/>
      <w:r w:rsidR="00F37ACB" w:rsidRPr="00F37ACB">
        <w:rPr>
          <w:lang w:eastAsia="en-AU"/>
        </w:rPr>
        <w:t>Madondo</w:t>
      </w:r>
      <w:proofErr w:type="spellEnd"/>
      <w:r w:rsidR="00F37ACB" w:rsidRPr="00F37ACB">
        <w:rPr>
          <w:lang w:eastAsia="en-AU"/>
        </w:rPr>
        <w:t xml:space="preserve"> AJ, </w:t>
      </w:r>
      <w:proofErr w:type="spellStart"/>
      <w:r w:rsidR="00F37ACB" w:rsidRPr="00F37ACB">
        <w:rPr>
          <w:lang w:eastAsia="en-AU"/>
        </w:rPr>
        <w:t>Majiedt</w:t>
      </w:r>
      <w:proofErr w:type="spellEnd"/>
      <w:r w:rsidR="00F37ACB" w:rsidRPr="00F37ACB">
        <w:rPr>
          <w:lang w:eastAsia="en-AU"/>
        </w:rPr>
        <w:t xml:space="preserve">, </w:t>
      </w:r>
      <w:proofErr w:type="spellStart"/>
      <w:r w:rsidR="00F37ACB" w:rsidRPr="00F37ACB">
        <w:rPr>
          <w:lang w:eastAsia="en-AU"/>
        </w:rPr>
        <w:t>Mhlantla</w:t>
      </w:r>
      <w:proofErr w:type="spellEnd"/>
      <w:r w:rsidR="00F37ACB" w:rsidRPr="00F37ACB">
        <w:rPr>
          <w:lang w:eastAsia="en-AU"/>
        </w:rPr>
        <w:t xml:space="preserve"> J</w:t>
      </w:r>
      <w:r w:rsidR="00F37ACB">
        <w:rPr>
          <w:lang w:eastAsia="en-AU"/>
        </w:rPr>
        <w:t>J</w:t>
      </w:r>
      <w:r w:rsidR="00F37ACB" w:rsidRPr="00F37ACB">
        <w:rPr>
          <w:lang w:eastAsia="en-AU"/>
        </w:rPr>
        <w:t>, Pillay, Rogers AJ</w:t>
      </w:r>
      <w:r w:rsidR="00F37ACB">
        <w:rPr>
          <w:lang w:eastAsia="en-AU"/>
        </w:rPr>
        <w:t>J</w:t>
      </w:r>
      <w:r w:rsidR="00F37ACB" w:rsidRPr="00F37ACB">
        <w:rPr>
          <w:lang w:eastAsia="en-AU"/>
        </w:rPr>
        <w:t xml:space="preserve">, Theron and </w:t>
      </w:r>
      <w:proofErr w:type="spellStart"/>
      <w:r w:rsidR="00F37ACB" w:rsidRPr="00F37ACB">
        <w:rPr>
          <w:lang w:eastAsia="en-AU"/>
        </w:rPr>
        <w:t>Tshiqi</w:t>
      </w:r>
      <w:proofErr w:type="spellEnd"/>
      <w:r w:rsidR="00F37ACB" w:rsidRPr="00F37ACB">
        <w:rPr>
          <w:lang w:eastAsia="en-AU"/>
        </w:rPr>
        <w:t xml:space="preserve"> J</w:t>
      </w:r>
      <w:r w:rsidR="00F37ACB">
        <w:rPr>
          <w:lang w:eastAsia="en-AU"/>
        </w:rPr>
        <w:t>J</w:t>
      </w:r>
    </w:p>
    <w:p w14:paraId="14C39E8A" w14:textId="77777777" w:rsidR="00BE4775" w:rsidRPr="00367779" w:rsidRDefault="00BE4775" w:rsidP="00BE4775">
      <w:pPr>
        <w:rPr>
          <w:lang w:eastAsia="en-AU"/>
        </w:rPr>
      </w:pPr>
    </w:p>
    <w:p w14:paraId="2FA5DA6B" w14:textId="77777777" w:rsidR="00BE4775" w:rsidRPr="00367779" w:rsidRDefault="00BE4775" w:rsidP="00BE4775">
      <w:pPr>
        <w:rPr>
          <w:b/>
          <w:lang w:eastAsia="en-AU"/>
        </w:rPr>
      </w:pPr>
      <w:r w:rsidRPr="00367779">
        <w:rPr>
          <w:b/>
          <w:lang w:eastAsia="en-AU"/>
        </w:rPr>
        <w:t>Catchwords:</w:t>
      </w:r>
    </w:p>
    <w:p w14:paraId="08B8FCE3" w14:textId="77777777" w:rsidR="00BE4775" w:rsidRPr="00367779" w:rsidRDefault="00BE4775" w:rsidP="00BE4775">
      <w:pPr>
        <w:rPr>
          <w:b/>
          <w:highlight w:val="yellow"/>
          <w:lang w:eastAsia="en-AU"/>
        </w:rPr>
      </w:pPr>
    </w:p>
    <w:p w14:paraId="3BCA44EA" w14:textId="1AB42E79" w:rsidR="00BE4775" w:rsidRPr="00367779" w:rsidRDefault="00F37ACB" w:rsidP="00BE4775">
      <w:pPr>
        <w:ind w:left="720"/>
        <w:rPr>
          <w:lang w:eastAsia="en-AU"/>
        </w:rPr>
      </w:pPr>
      <w:r>
        <w:rPr>
          <w:lang w:eastAsia="en-AU"/>
        </w:rPr>
        <w:t xml:space="preserve">Statutory interpretation – Statutory licences – Possession of firearms </w:t>
      </w:r>
      <w:r w:rsidR="00CB642A">
        <w:rPr>
          <w:lang w:eastAsia="en-AU"/>
        </w:rPr>
        <w:t>–</w:t>
      </w:r>
      <w:r>
        <w:rPr>
          <w:lang w:eastAsia="en-AU"/>
        </w:rPr>
        <w:t xml:space="preserve"> </w:t>
      </w:r>
      <w:r w:rsidR="00CB642A">
        <w:rPr>
          <w:lang w:eastAsia="en-AU"/>
        </w:rPr>
        <w:t>Where gun owner</w:t>
      </w:r>
      <w:r w:rsidR="00A74661">
        <w:rPr>
          <w:lang w:eastAsia="en-AU"/>
        </w:rPr>
        <w:t>'</w:t>
      </w:r>
      <w:r w:rsidR="00DA3FF2">
        <w:rPr>
          <w:lang w:eastAsia="en-AU"/>
        </w:rPr>
        <w:t>s</w:t>
      </w:r>
      <w:r w:rsidR="00CB642A">
        <w:rPr>
          <w:lang w:eastAsia="en-AU"/>
        </w:rPr>
        <w:t xml:space="preserve"> licence to possess firearm </w:t>
      </w:r>
      <w:r w:rsidR="00DA3FF2">
        <w:rPr>
          <w:lang w:eastAsia="en-AU"/>
        </w:rPr>
        <w:t>lapsed</w:t>
      </w:r>
      <w:r w:rsidR="00CB642A">
        <w:rPr>
          <w:lang w:eastAsia="en-AU"/>
        </w:rPr>
        <w:t xml:space="preserve"> without seeking renewal of licence </w:t>
      </w:r>
      <w:r w:rsidR="00C93EFC">
        <w:rPr>
          <w:lang w:eastAsia="en-AU"/>
        </w:rPr>
        <w:t>–</w:t>
      </w:r>
      <w:r w:rsidR="00CB642A">
        <w:rPr>
          <w:lang w:eastAsia="en-AU"/>
        </w:rPr>
        <w:t xml:space="preserve"> </w:t>
      </w:r>
      <w:r w:rsidR="00C93EFC">
        <w:rPr>
          <w:lang w:eastAsia="en-AU"/>
        </w:rPr>
        <w:t>Where</w:t>
      </w:r>
      <w:r w:rsidR="00135A7F">
        <w:rPr>
          <w:lang w:eastAsia="en-AU"/>
        </w:rPr>
        <w:t xml:space="preserve"> ss 13 to 20 of </w:t>
      </w:r>
      <w:r w:rsidR="00135A7F" w:rsidRPr="00C93EFC">
        <w:rPr>
          <w:i/>
          <w:iCs/>
          <w:lang w:eastAsia="en-AU"/>
        </w:rPr>
        <w:t>Firearms Control Act 60 of 2000</w:t>
      </w:r>
      <w:r w:rsidR="00135A7F">
        <w:rPr>
          <w:lang w:eastAsia="en-AU"/>
        </w:rPr>
        <w:t xml:space="preserve"> regulated issuing possession licenses – Where s 24</w:t>
      </w:r>
      <w:r w:rsidR="00C93EFC">
        <w:rPr>
          <w:lang w:eastAsia="en-AU"/>
        </w:rPr>
        <w:t xml:space="preserve"> </w:t>
      </w:r>
      <w:r w:rsidR="00135A7F">
        <w:rPr>
          <w:lang w:eastAsia="en-AU"/>
        </w:rPr>
        <w:t xml:space="preserve">required licence holder who wished to renew licence to apply to Registrar </w:t>
      </w:r>
      <w:r w:rsidR="00A74661">
        <w:rPr>
          <w:lang w:eastAsia="en-AU"/>
        </w:rPr>
        <w:t>"</w:t>
      </w:r>
      <w:r w:rsidR="00135A7F">
        <w:rPr>
          <w:lang w:eastAsia="en-AU"/>
        </w:rPr>
        <w:t>at least 90 days before</w:t>
      </w:r>
      <w:r w:rsidR="00A74661">
        <w:rPr>
          <w:lang w:eastAsia="en-AU"/>
        </w:rPr>
        <w:t>"</w:t>
      </w:r>
      <w:r w:rsidR="00135A7F">
        <w:rPr>
          <w:lang w:eastAsia="en-AU"/>
        </w:rPr>
        <w:t xml:space="preserve"> expiry – Where s 28 provided licence terminated, relevantly, upon expiry </w:t>
      </w:r>
      <w:r w:rsidR="00A74661">
        <w:rPr>
          <w:lang w:eastAsia="en-AU"/>
        </w:rPr>
        <w:t>"</w:t>
      </w:r>
      <w:r w:rsidR="00135A7F">
        <w:rPr>
          <w:lang w:eastAsia="en-AU"/>
        </w:rPr>
        <w:t>unless renewed</w:t>
      </w:r>
      <w:r w:rsidR="00A74661">
        <w:rPr>
          <w:lang w:eastAsia="en-AU"/>
        </w:rPr>
        <w:t>"</w:t>
      </w:r>
      <w:r w:rsidR="00135A7F">
        <w:rPr>
          <w:lang w:eastAsia="en-AU"/>
        </w:rPr>
        <w:t xml:space="preserve"> – </w:t>
      </w:r>
      <w:r w:rsidR="00C93EFC">
        <w:rPr>
          <w:lang w:eastAsia="en-AU"/>
        </w:rPr>
        <w:t>W</w:t>
      </w:r>
      <w:r w:rsidR="00C93EFC" w:rsidRPr="00C93EFC">
        <w:rPr>
          <w:lang w:eastAsia="en-AU"/>
        </w:rPr>
        <w:t>hether</w:t>
      </w:r>
      <w:r w:rsidR="00C93EFC">
        <w:rPr>
          <w:lang w:eastAsia="en-AU"/>
        </w:rPr>
        <w:t xml:space="preserve"> </w:t>
      </w:r>
      <w:r w:rsidR="00C93EFC" w:rsidRPr="00C93EFC">
        <w:rPr>
          <w:lang w:eastAsia="en-AU"/>
        </w:rPr>
        <w:t>gun owner whose licence expire</w:t>
      </w:r>
      <w:r w:rsidR="00C93EFC">
        <w:rPr>
          <w:lang w:eastAsia="en-AU"/>
        </w:rPr>
        <w:t>s</w:t>
      </w:r>
      <w:r w:rsidR="00C93EFC" w:rsidRPr="00C93EFC">
        <w:rPr>
          <w:lang w:eastAsia="en-AU"/>
        </w:rPr>
        <w:t xml:space="preserve"> entitled to make new application for possession licence</w:t>
      </w:r>
      <w:r w:rsidR="00C93EFC">
        <w:rPr>
          <w:lang w:eastAsia="en-AU"/>
        </w:rPr>
        <w:t>.</w:t>
      </w:r>
    </w:p>
    <w:p w14:paraId="59C2A48A" w14:textId="77777777" w:rsidR="00BE4775" w:rsidRPr="00367779" w:rsidRDefault="00BE4775" w:rsidP="00BE4775">
      <w:pPr>
        <w:rPr>
          <w:b/>
          <w:lang w:eastAsia="en-AU"/>
        </w:rPr>
      </w:pPr>
    </w:p>
    <w:p w14:paraId="1B2F32AD" w14:textId="481E9EA0" w:rsidR="00BE4775" w:rsidRPr="00367779" w:rsidRDefault="00BE4775" w:rsidP="00BE4775">
      <w:pPr>
        <w:rPr>
          <w:lang w:eastAsia="en-AU"/>
        </w:rPr>
      </w:pPr>
      <w:r w:rsidRPr="00367779">
        <w:rPr>
          <w:b/>
          <w:lang w:eastAsia="en-AU"/>
        </w:rPr>
        <w:t>Held (</w:t>
      </w:r>
      <w:r w:rsidR="00F37ACB">
        <w:rPr>
          <w:b/>
          <w:lang w:eastAsia="en-AU"/>
        </w:rPr>
        <w:t>8</w:t>
      </w:r>
      <w:r>
        <w:rPr>
          <w:b/>
          <w:lang w:eastAsia="en-AU"/>
        </w:rPr>
        <w:t>:0</w:t>
      </w:r>
      <w:r w:rsidRPr="00367779">
        <w:rPr>
          <w:b/>
          <w:lang w:eastAsia="en-AU"/>
        </w:rPr>
        <w:t xml:space="preserve">): </w:t>
      </w:r>
      <w:r w:rsidRPr="00367779">
        <w:rPr>
          <w:lang w:eastAsia="en-AU"/>
        </w:rPr>
        <w:t xml:space="preserve">Leave to appeal granted; appeal </w:t>
      </w:r>
      <w:r>
        <w:rPr>
          <w:lang w:eastAsia="en-AU"/>
        </w:rPr>
        <w:t>dismissed</w:t>
      </w:r>
      <w:r w:rsidRPr="00367779">
        <w:rPr>
          <w:lang w:eastAsia="en-AU"/>
        </w:rPr>
        <w:t>.</w:t>
      </w:r>
    </w:p>
    <w:p w14:paraId="22B87F76" w14:textId="7CB7E9F1" w:rsidR="00BE4775" w:rsidRDefault="00BE4775" w:rsidP="00BE4775">
      <w:pPr>
        <w:pStyle w:val="BullDivider2"/>
      </w:pPr>
    </w:p>
    <w:p w14:paraId="3696AD40" w14:textId="77777777" w:rsidR="00BE4775" w:rsidRPr="00BE4775" w:rsidRDefault="00BE4775" w:rsidP="00BE4775">
      <w:pPr>
        <w:rPr>
          <w:lang w:eastAsia="en-AU"/>
        </w:rPr>
      </w:pPr>
    </w:p>
    <w:p w14:paraId="0A6F387A" w14:textId="60D33C2D" w:rsidR="009556B8" w:rsidRDefault="00A70BA5" w:rsidP="009556B8">
      <w:pPr>
        <w:pStyle w:val="Heading1"/>
      </w:pPr>
      <w:r>
        <w:t>Tax</w:t>
      </w:r>
      <w:r w:rsidR="00287D30">
        <w:t>ation</w:t>
      </w:r>
    </w:p>
    <w:p w14:paraId="6557F024" w14:textId="77777777" w:rsidR="009556B8" w:rsidRPr="009556B8" w:rsidRDefault="009556B8" w:rsidP="009556B8">
      <w:pPr>
        <w:rPr>
          <w:lang w:eastAsia="en-AU"/>
        </w:rPr>
      </w:pPr>
    </w:p>
    <w:p w14:paraId="45E28040" w14:textId="5BACECD8" w:rsidR="009556B8" w:rsidRDefault="009556B8" w:rsidP="009556B8">
      <w:pPr>
        <w:pStyle w:val="Heading2"/>
      </w:pPr>
      <w:r w:rsidRPr="009556B8">
        <w:t>Commissioners for Her Majesty</w:t>
      </w:r>
      <w:r w:rsidR="00A74661">
        <w:t>'</w:t>
      </w:r>
      <w:r w:rsidRPr="009556B8">
        <w:t xml:space="preserve">s Revenue and Customs v Coal Staff Superannuation Scheme Trustees Ltd </w:t>
      </w:r>
    </w:p>
    <w:p w14:paraId="66ADAADD" w14:textId="60A6F7DD" w:rsidR="009556B8" w:rsidRDefault="009556B8" w:rsidP="009556B8">
      <w:pPr>
        <w:rPr>
          <w:lang w:eastAsia="en-AU"/>
        </w:rPr>
      </w:pPr>
      <w:r>
        <w:rPr>
          <w:b/>
          <w:bCs/>
          <w:lang w:eastAsia="en-AU"/>
        </w:rPr>
        <w:t>Supreme Court of the United Kingdom</w:t>
      </w:r>
      <w:r w:rsidRPr="006B0D58">
        <w:rPr>
          <w:b/>
          <w:bCs/>
          <w:lang w:eastAsia="en-AU"/>
        </w:rPr>
        <w:t>:</w:t>
      </w:r>
      <w:r>
        <w:rPr>
          <w:lang w:eastAsia="en-AU"/>
        </w:rPr>
        <w:t xml:space="preserve"> </w:t>
      </w:r>
      <w:hyperlink r:id="rId40" w:history="1">
        <w:r w:rsidRPr="009556B8">
          <w:rPr>
            <w:rStyle w:val="Hyperlink"/>
          </w:rPr>
          <w:t>[2022] UKSC 10</w:t>
        </w:r>
      </w:hyperlink>
      <w:r>
        <w:t xml:space="preserve"> </w:t>
      </w:r>
    </w:p>
    <w:p w14:paraId="2F80BB66" w14:textId="77777777" w:rsidR="009556B8" w:rsidRDefault="009556B8" w:rsidP="009556B8">
      <w:pPr>
        <w:rPr>
          <w:lang w:eastAsia="en-AU"/>
        </w:rPr>
      </w:pPr>
    </w:p>
    <w:p w14:paraId="78A20D18" w14:textId="256F747D" w:rsidR="009556B8" w:rsidRPr="00DB68FF" w:rsidRDefault="009556B8" w:rsidP="009556B8">
      <w:pPr>
        <w:rPr>
          <w:lang w:eastAsia="en-AU"/>
        </w:rPr>
      </w:pPr>
      <w:r>
        <w:rPr>
          <w:b/>
          <w:bCs/>
          <w:lang w:eastAsia="en-AU"/>
        </w:rPr>
        <w:t xml:space="preserve">Judgment delivered: </w:t>
      </w:r>
      <w:r>
        <w:rPr>
          <w:lang w:eastAsia="en-AU"/>
        </w:rPr>
        <w:t>27 April 2022</w:t>
      </w:r>
    </w:p>
    <w:p w14:paraId="7BDD5823" w14:textId="77777777" w:rsidR="009556B8" w:rsidRDefault="009556B8" w:rsidP="009556B8">
      <w:pPr>
        <w:rPr>
          <w:b/>
          <w:bCs/>
          <w:lang w:eastAsia="en-AU"/>
        </w:rPr>
      </w:pPr>
    </w:p>
    <w:p w14:paraId="758B31D2" w14:textId="52C6B9AD" w:rsidR="009556B8" w:rsidRDefault="009556B8" w:rsidP="009556B8">
      <w:pPr>
        <w:rPr>
          <w:lang w:eastAsia="en-AU"/>
        </w:rPr>
      </w:pPr>
      <w:r>
        <w:rPr>
          <w:b/>
          <w:bCs/>
          <w:lang w:eastAsia="en-AU"/>
        </w:rPr>
        <w:t>Coram:</w:t>
      </w:r>
      <w:r w:rsidRPr="00DB68FF">
        <w:t xml:space="preserve"> </w:t>
      </w:r>
      <w:r w:rsidRPr="002717B0">
        <w:rPr>
          <w:lang w:eastAsia="en-AU"/>
        </w:rPr>
        <w:t xml:space="preserve">Lord </w:t>
      </w:r>
      <w:r>
        <w:rPr>
          <w:lang w:eastAsia="en-AU"/>
        </w:rPr>
        <w:t>Reed</w:t>
      </w:r>
      <w:r w:rsidRPr="002717B0">
        <w:rPr>
          <w:lang w:eastAsia="en-AU"/>
        </w:rPr>
        <w:t xml:space="preserve">, </w:t>
      </w:r>
      <w:r>
        <w:rPr>
          <w:lang w:eastAsia="en-AU"/>
        </w:rPr>
        <w:t>Lord Hodge, Lord Briggs, Lord Sales</w:t>
      </w:r>
      <w:r w:rsidR="005E4FD9">
        <w:rPr>
          <w:lang w:eastAsia="en-AU"/>
        </w:rPr>
        <w:t xml:space="preserve"> and</w:t>
      </w:r>
      <w:r>
        <w:rPr>
          <w:lang w:eastAsia="en-AU"/>
        </w:rPr>
        <w:t xml:space="preserve"> Lord </w:t>
      </w:r>
      <w:proofErr w:type="spellStart"/>
      <w:r>
        <w:rPr>
          <w:lang w:eastAsia="en-AU"/>
        </w:rPr>
        <w:t>Hamblen</w:t>
      </w:r>
      <w:proofErr w:type="spellEnd"/>
    </w:p>
    <w:p w14:paraId="78032FE9" w14:textId="77777777" w:rsidR="009556B8" w:rsidRDefault="009556B8" w:rsidP="009556B8">
      <w:pPr>
        <w:rPr>
          <w:b/>
          <w:bCs/>
          <w:lang w:eastAsia="en-AU"/>
        </w:rPr>
      </w:pPr>
    </w:p>
    <w:p w14:paraId="2D51E9C4" w14:textId="77777777" w:rsidR="009556B8" w:rsidRDefault="009556B8" w:rsidP="009556B8">
      <w:pPr>
        <w:rPr>
          <w:b/>
          <w:bCs/>
          <w:lang w:eastAsia="en-AU"/>
        </w:rPr>
      </w:pPr>
      <w:r>
        <w:rPr>
          <w:b/>
          <w:bCs/>
          <w:lang w:eastAsia="en-AU"/>
        </w:rPr>
        <w:t>Catchwords:</w:t>
      </w:r>
    </w:p>
    <w:p w14:paraId="3A81E23D" w14:textId="77777777" w:rsidR="009556B8" w:rsidRDefault="009556B8" w:rsidP="009556B8">
      <w:pPr>
        <w:rPr>
          <w:b/>
          <w:bCs/>
          <w:lang w:eastAsia="en-AU"/>
        </w:rPr>
      </w:pPr>
    </w:p>
    <w:p w14:paraId="23D1166D" w14:textId="5C48151F" w:rsidR="009556B8" w:rsidRDefault="00287D30" w:rsidP="00EB6080">
      <w:pPr>
        <w:pStyle w:val="Catchwords"/>
      </w:pPr>
      <w:r w:rsidRPr="005E4FD9">
        <w:t xml:space="preserve">Taxation – </w:t>
      </w:r>
      <w:r w:rsidR="00A70BA5" w:rsidRPr="005E4FD9">
        <w:t xml:space="preserve">Income tax – Stock lending transactions – Free movement of capital – Where respondent </w:t>
      </w:r>
      <w:r w:rsidR="00646728" w:rsidRPr="005E4FD9">
        <w:t xml:space="preserve">corporate </w:t>
      </w:r>
      <w:r w:rsidR="00A70BA5" w:rsidRPr="005E4FD9">
        <w:t xml:space="preserve">trustee of British Coal Staff Superannuation Scheme, </w:t>
      </w:r>
      <w:r w:rsidR="00646728" w:rsidRPr="005E4FD9">
        <w:t xml:space="preserve">tax-exempt </w:t>
      </w:r>
      <w:r w:rsidR="00A70BA5" w:rsidRPr="005E4FD9">
        <w:t xml:space="preserve">pension fund with stock holdings in UK and overseas companies – Where </w:t>
      </w:r>
      <w:r w:rsidR="00646728" w:rsidRPr="005E4FD9">
        <w:t xml:space="preserve">respondent </w:t>
      </w:r>
      <w:r w:rsidR="00D20298" w:rsidRPr="005E4FD9">
        <w:t>engaged in stock lending of portfolio</w:t>
      </w:r>
      <w:r w:rsidR="00C4310B" w:rsidRPr="005E4FD9">
        <w:t>, whereby, for agreed fee, investor transfers legal and beneficial ownership of shares to borrower, on contractual terms borrower will (</w:t>
      </w:r>
      <w:proofErr w:type="spellStart"/>
      <w:r w:rsidR="00C4310B" w:rsidRPr="005E4FD9">
        <w:t>i</w:t>
      </w:r>
      <w:proofErr w:type="spellEnd"/>
      <w:r w:rsidR="00C4310B" w:rsidRPr="005E4FD9">
        <w:t>) return equivalent shares to lender at end of lending period and (ii) in</w:t>
      </w:r>
      <w:r w:rsidR="00134623" w:rsidRPr="005E4FD9">
        <w:t xml:space="preserve"> </w:t>
      </w:r>
      <w:r w:rsidR="00C4310B" w:rsidRPr="005E4FD9">
        <w:t>meantime pay to lender amounts equivalent to dividend stream which</w:t>
      </w:r>
      <w:r w:rsidR="00261F48">
        <w:t xml:space="preserve"> </w:t>
      </w:r>
      <w:r w:rsidR="00C4310B" w:rsidRPr="005E4FD9">
        <w:t>shares would have yielded (</w:t>
      </w:r>
      <w:r w:rsidR="00A74661">
        <w:t>"</w:t>
      </w:r>
      <w:r w:rsidR="00C4310B" w:rsidRPr="005E4FD9">
        <w:t>manufactured dividends</w:t>
      </w:r>
      <w:r w:rsidR="00A74661">
        <w:t>"</w:t>
      </w:r>
      <w:r w:rsidR="00C4310B" w:rsidRPr="005E4FD9">
        <w:t>) – Where dividend income received by UK taxpayer subject to UK income tax and</w:t>
      </w:r>
      <w:r w:rsidR="005502AC">
        <w:t>,</w:t>
      </w:r>
      <w:r w:rsidR="00C4310B" w:rsidRPr="005E4FD9">
        <w:t xml:space="preserve"> where dividend income from overseas company</w:t>
      </w:r>
      <w:r w:rsidR="005502AC">
        <w:t>,</w:t>
      </w:r>
      <w:r w:rsidR="00C4310B" w:rsidRPr="005E4FD9">
        <w:t xml:space="preserve"> UK taxpayer also subject to tax levied by overseas country – Where </w:t>
      </w:r>
      <w:r w:rsidR="00C30756" w:rsidRPr="005E4FD9">
        <w:t xml:space="preserve">UK introduced tax regime to ensure manufactured dividends </w:t>
      </w:r>
      <w:r w:rsidR="00EB6080" w:rsidRPr="005E4FD9">
        <w:t>and manufactured overseas</w:t>
      </w:r>
      <w:r w:rsidR="00EB6080">
        <w:t xml:space="preserve"> dividends </w:t>
      </w:r>
      <w:r w:rsidR="00C30756">
        <w:t>treated in same way real dividends</w:t>
      </w:r>
      <w:r w:rsidR="00C55CDF">
        <w:t>, with manufactured overseas dividends treated payable on gross basis and subjected to form of deemed withholding tax payable by borrower – Where respondent received deemed withholding tax credits amounting to over £8.8m – Whether UK</w:t>
      </w:r>
      <w:r w:rsidR="00A74661">
        <w:t>'</w:t>
      </w:r>
      <w:r w:rsidR="00EB6080">
        <w:t>s manufactured overseas dividend</w:t>
      </w:r>
      <w:r w:rsidR="00C55CDF">
        <w:t xml:space="preserve"> tax regime </w:t>
      </w:r>
      <w:r w:rsidR="00EB6080" w:rsidRPr="00EB6080">
        <w:t xml:space="preserve">constituted restriction of free movement of capital, contrary to Article 63 </w:t>
      </w:r>
      <w:r w:rsidR="005E4FD9">
        <w:t xml:space="preserve">of </w:t>
      </w:r>
      <w:r w:rsidR="00EB6080" w:rsidRPr="00EB6080">
        <w:t>Treaty on Functioning of European Union</w:t>
      </w:r>
      <w:r w:rsidR="005E4FD9">
        <w:t>.</w:t>
      </w:r>
    </w:p>
    <w:p w14:paraId="27562C64" w14:textId="77777777" w:rsidR="009556B8" w:rsidRDefault="009556B8" w:rsidP="009556B8">
      <w:pPr>
        <w:rPr>
          <w:b/>
          <w:bCs/>
          <w:lang w:eastAsia="en-AU"/>
        </w:rPr>
      </w:pPr>
    </w:p>
    <w:p w14:paraId="2FF1B52C" w14:textId="1E0F37C7" w:rsidR="009556B8" w:rsidRDefault="009556B8" w:rsidP="009556B8">
      <w:pPr>
        <w:rPr>
          <w:lang w:eastAsia="en-AU"/>
        </w:rPr>
      </w:pPr>
      <w:r>
        <w:rPr>
          <w:b/>
          <w:bCs/>
          <w:lang w:eastAsia="en-AU"/>
        </w:rPr>
        <w:t>Held (</w:t>
      </w:r>
      <w:r w:rsidR="00A70BA5">
        <w:rPr>
          <w:b/>
          <w:bCs/>
          <w:lang w:eastAsia="en-AU"/>
        </w:rPr>
        <w:t>5:0</w:t>
      </w:r>
      <w:r>
        <w:rPr>
          <w:b/>
          <w:bCs/>
          <w:lang w:eastAsia="en-AU"/>
        </w:rPr>
        <w:t>):</w:t>
      </w:r>
      <w:r>
        <w:rPr>
          <w:lang w:eastAsia="en-AU"/>
        </w:rPr>
        <w:t xml:space="preserve"> Appeal allowed.</w:t>
      </w:r>
      <w:r w:rsidR="00983C4D">
        <w:rPr>
          <w:lang w:eastAsia="en-AU"/>
        </w:rPr>
        <w:t xml:space="preserve"> </w:t>
      </w:r>
    </w:p>
    <w:p w14:paraId="48DB7E25" w14:textId="27833BC4" w:rsidR="00134623" w:rsidRDefault="00134623" w:rsidP="00134623">
      <w:pPr>
        <w:pStyle w:val="BullDivider1"/>
      </w:pPr>
    </w:p>
    <w:p w14:paraId="70989E60" w14:textId="2A00B05A" w:rsidR="00134623" w:rsidRDefault="00134623" w:rsidP="00134623">
      <w:pPr>
        <w:rPr>
          <w:lang w:eastAsia="en-AU"/>
        </w:rPr>
      </w:pPr>
    </w:p>
    <w:p w14:paraId="28109188" w14:textId="32E6A851" w:rsidR="00134623" w:rsidRDefault="00134623" w:rsidP="00134623">
      <w:pPr>
        <w:pStyle w:val="Heading2"/>
      </w:pPr>
      <w:proofErr w:type="spellStart"/>
      <w:r>
        <w:t>Zip</w:t>
      </w:r>
      <w:r w:rsidR="005E4FD9">
        <w:t>vit</w:t>
      </w:r>
      <w:proofErr w:type="spellEnd"/>
      <w:r w:rsidR="005E4FD9">
        <w:t xml:space="preserve"> Ltd v Commissioners for Her Majesty</w:t>
      </w:r>
      <w:r w:rsidR="00A74661">
        <w:t>'</w:t>
      </w:r>
      <w:r w:rsidR="005E4FD9">
        <w:t xml:space="preserve">s Revenue and Customs </w:t>
      </w:r>
    </w:p>
    <w:p w14:paraId="1EABCFF9" w14:textId="723E528B" w:rsidR="00134623" w:rsidRDefault="00134623" w:rsidP="00134623">
      <w:pPr>
        <w:rPr>
          <w:lang w:eastAsia="en-AU"/>
        </w:rPr>
      </w:pPr>
      <w:r>
        <w:rPr>
          <w:b/>
          <w:bCs/>
          <w:lang w:eastAsia="en-AU"/>
        </w:rPr>
        <w:t>Supreme Court of the United Kingdom</w:t>
      </w:r>
      <w:r w:rsidRPr="006B0D58">
        <w:rPr>
          <w:b/>
          <w:bCs/>
          <w:lang w:eastAsia="en-AU"/>
        </w:rPr>
        <w:t>:</w:t>
      </w:r>
      <w:r>
        <w:rPr>
          <w:lang w:eastAsia="en-AU"/>
        </w:rPr>
        <w:t xml:space="preserve"> </w:t>
      </w:r>
      <w:hyperlink r:id="rId41" w:history="1">
        <w:r w:rsidRPr="005E4FD9">
          <w:rPr>
            <w:rStyle w:val="Hyperlink"/>
          </w:rPr>
          <w:t>[2022] UKSC 1</w:t>
        </w:r>
        <w:r w:rsidR="005E4FD9" w:rsidRPr="005E4FD9">
          <w:rPr>
            <w:rStyle w:val="Hyperlink"/>
          </w:rPr>
          <w:t>2</w:t>
        </w:r>
      </w:hyperlink>
      <w:r>
        <w:t xml:space="preserve"> </w:t>
      </w:r>
    </w:p>
    <w:p w14:paraId="40563476" w14:textId="77777777" w:rsidR="00134623" w:rsidRDefault="00134623" w:rsidP="00134623">
      <w:pPr>
        <w:rPr>
          <w:lang w:eastAsia="en-AU"/>
        </w:rPr>
      </w:pPr>
    </w:p>
    <w:p w14:paraId="462764C4" w14:textId="3C81BD1D" w:rsidR="00134623" w:rsidRPr="00DB68FF" w:rsidRDefault="00134623" w:rsidP="00134623">
      <w:pPr>
        <w:rPr>
          <w:lang w:eastAsia="en-AU"/>
        </w:rPr>
      </w:pPr>
      <w:r>
        <w:rPr>
          <w:b/>
          <w:bCs/>
          <w:lang w:eastAsia="en-AU"/>
        </w:rPr>
        <w:t xml:space="preserve">Judgment delivered: </w:t>
      </w:r>
      <w:r w:rsidR="005E4FD9">
        <w:rPr>
          <w:lang w:eastAsia="en-AU"/>
        </w:rPr>
        <w:t>11 May</w:t>
      </w:r>
      <w:r>
        <w:rPr>
          <w:lang w:eastAsia="en-AU"/>
        </w:rPr>
        <w:t xml:space="preserve"> 2022</w:t>
      </w:r>
    </w:p>
    <w:p w14:paraId="70517B22" w14:textId="77777777" w:rsidR="00134623" w:rsidRDefault="00134623" w:rsidP="00134623">
      <w:pPr>
        <w:rPr>
          <w:b/>
          <w:bCs/>
          <w:lang w:eastAsia="en-AU"/>
        </w:rPr>
      </w:pPr>
    </w:p>
    <w:p w14:paraId="00EDAF95" w14:textId="460C82F5" w:rsidR="00134623" w:rsidRDefault="00134623" w:rsidP="00134623">
      <w:pPr>
        <w:rPr>
          <w:lang w:eastAsia="en-AU"/>
        </w:rPr>
      </w:pPr>
      <w:r>
        <w:rPr>
          <w:b/>
          <w:bCs/>
          <w:lang w:eastAsia="en-AU"/>
        </w:rPr>
        <w:t>Coram:</w:t>
      </w:r>
      <w:r w:rsidRPr="00DB68FF">
        <w:t xml:space="preserve"> </w:t>
      </w:r>
      <w:r>
        <w:rPr>
          <w:lang w:eastAsia="en-AU"/>
        </w:rPr>
        <w:t>Lord Hodge,</w:t>
      </w:r>
      <w:r w:rsidR="005E4FD9">
        <w:rPr>
          <w:lang w:eastAsia="en-AU"/>
        </w:rPr>
        <w:t xml:space="preserve"> Lord Black,</w:t>
      </w:r>
      <w:r>
        <w:rPr>
          <w:lang w:eastAsia="en-AU"/>
        </w:rPr>
        <w:t xml:space="preserve"> Lord Briggs, Lord Sales</w:t>
      </w:r>
      <w:r w:rsidR="005E4FD9">
        <w:rPr>
          <w:lang w:eastAsia="en-AU"/>
        </w:rPr>
        <w:t xml:space="preserve"> and </w:t>
      </w:r>
      <w:r>
        <w:rPr>
          <w:lang w:eastAsia="en-AU"/>
        </w:rPr>
        <w:t xml:space="preserve">Lord </w:t>
      </w:r>
      <w:proofErr w:type="spellStart"/>
      <w:r>
        <w:rPr>
          <w:lang w:eastAsia="en-AU"/>
        </w:rPr>
        <w:t>Hamblen</w:t>
      </w:r>
      <w:proofErr w:type="spellEnd"/>
    </w:p>
    <w:p w14:paraId="39758DB8" w14:textId="77777777" w:rsidR="00134623" w:rsidRDefault="00134623" w:rsidP="00134623">
      <w:pPr>
        <w:rPr>
          <w:b/>
          <w:bCs/>
          <w:lang w:eastAsia="en-AU"/>
        </w:rPr>
      </w:pPr>
    </w:p>
    <w:p w14:paraId="6DCA9439" w14:textId="77777777" w:rsidR="00134623" w:rsidRDefault="00134623" w:rsidP="00134623">
      <w:pPr>
        <w:rPr>
          <w:b/>
          <w:bCs/>
          <w:lang w:eastAsia="en-AU"/>
        </w:rPr>
      </w:pPr>
      <w:r>
        <w:rPr>
          <w:b/>
          <w:bCs/>
          <w:lang w:eastAsia="en-AU"/>
        </w:rPr>
        <w:t>Catchwords:</w:t>
      </w:r>
    </w:p>
    <w:p w14:paraId="0FA545D9" w14:textId="77777777" w:rsidR="00134623" w:rsidRDefault="00134623" w:rsidP="00134623">
      <w:pPr>
        <w:rPr>
          <w:b/>
          <w:bCs/>
          <w:lang w:eastAsia="en-AU"/>
        </w:rPr>
      </w:pPr>
    </w:p>
    <w:p w14:paraId="5275421D" w14:textId="7E5918D2" w:rsidR="00134623" w:rsidRDefault="00134623" w:rsidP="00F320C7">
      <w:pPr>
        <w:pStyle w:val="Catchwords"/>
      </w:pPr>
      <w:r w:rsidRPr="00187356">
        <w:t xml:space="preserve">Taxation – </w:t>
      </w:r>
      <w:r w:rsidR="005E4FD9" w:rsidRPr="00187356">
        <w:t xml:space="preserve">VAT – </w:t>
      </w:r>
      <w:r w:rsidR="00F320C7" w:rsidRPr="00187356">
        <w:t xml:space="preserve">Meaning of </w:t>
      </w:r>
      <w:r w:rsidR="00A74661">
        <w:t>"</w:t>
      </w:r>
      <w:r w:rsidR="00F320C7" w:rsidRPr="00187356">
        <w:t>VAT due or paid</w:t>
      </w:r>
      <w:r w:rsidR="00A74661">
        <w:t>"</w:t>
      </w:r>
      <w:r w:rsidR="00F320C7" w:rsidRPr="00187356">
        <w:t xml:space="preserve"> – </w:t>
      </w:r>
      <w:r w:rsidR="005E4FD9" w:rsidRPr="00187356">
        <w:t>Where general terms and conditions governing supply contract between supplier</w:t>
      </w:r>
      <w:r w:rsidR="003A649B" w:rsidRPr="00187356">
        <w:t xml:space="preserve"> (Royal Mail)</w:t>
      </w:r>
      <w:r w:rsidR="005E4FD9" w:rsidRPr="00187356">
        <w:t xml:space="preserve"> and trader</w:t>
      </w:r>
      <w:r w:rsidR="003A649B" w:rsidRPr="00187356">
        <w:t xml:space="preserve"> (</w:t>
      </w:r>
      <w:proofErr w:type="spellStart"/>
      <w:r w:rsidR="003A649B" w:rsidRPr="00187356">
        <w:t>Zipvit</w:t>
      </w:r>
      <w:proofErr w:type="spellEnd"/>
      <w:r w:rsidR="003A649B" w:rsidRPr="00187356">
        <w:t>)</w:t>
      </w:r>
      <w:r w:rsidR="005E4FD9" w:rsidRPr="00187356">
        <w:t xml:space="preserve"> provided trader should pay commercial price for</w:t>
      </w:r>
      <w:r w:rsidR="003A649B" w:rsidRPr="00187356">
        <w:t xml:space="preserve"> </w:t>
      </w:r>
      <w:r w:rsidR="005E4FD9" w:rsidRPr="00187356">
        <w:t>supply plus such amount of VAT (if any) chargeable in respect of supply</w:t>
      </w:r>
      <w:r w:rsidR="003A649B" w:rsidRPr="00187356">
        <w:t xml:space="preserve"> – Where, </w:t>
      </w:r>
      <w:r w:rsidR="005E4FD9" w:rsidRPr="00187356">
        <w:t xml:space="preserve">determined by subsequent judgment of Court of Justice, supply should have </w:t>
      </w:r>
      <w:r w:rsidR="005E4FD9" w:rsidRPr="00187356">
        <w:lastRenderedPageBreak/>
        <w:t>been treated</w:t>
      </w:r>
      <w:r w:rsidR="005E4FD9">
        <w:t xml:space="preserve"> standard rated for VAT</w:t>
      </w:r>
      <w:r w:rsidR="003A649B">
        <w:t xml:space="preserve"> and</w:t>
      </w:r>
      <w:r w:rsidR="005E4FD9">
        <w:t xml:space="preserve"> trader charged VAT assessed at relevant percentage of commercial price for supply</w:t>
      </w:r>
      <w:r w:rsidR="003A649B">
        <w:t xml:space="preserve"> – Where</w:t>
      </w:r>
      <w:r w:rsidR="005E4FD9">
        <w:t xml:space="preserve"> at time of supply both supplier and trader, acting in</w:t>
      </w:r>
      <w:r w:rsidR="003A649B">
        <w:t xml:space="preserve"> </w:t>
      </w:r>
      <w:r w:rsidR="005E4FD9">
        <w:t xml:space="preserve">good faith and on basis of common mistake, understood supply exempt from VAT, so trader only charged and only paid sum equal to commercial price for supply </w:t>
      </w:r>
      <w:r w:rsidR="003A649B">
        <w:t>– Where tax authorities (Her Majesty</w:t>
      </w:r>
      <w:r w:rsidR="00A74661">
        <w:t>'</w:t>
      </w:r>
      <w:r w:rsidR="003A649B">
        <w:t>s Revenue and Customs Commissioners</w:t>
      </w:r>
      <w:r w:rsidR="00DA3FF2">
        <w:t xml:space="preserve"> or</w:t>
      </w:r>
      <w:r w:rsidR="003A649B">
        <w:t xml:space="preserve"> </w:t>
      </w:r>
      <w:r w:rsidR="00A74661">
        <w:t>"</w:t>
      </w:r>
      <w:r w:rsidR="003A649B">
        <w:t>HMRC</w:t>
      </w:r>
      <w:r w:rsidR="00A74661">
        <w:t>"</w:t>
      </w:r>
      <w:r w:rsidR="003A649B">
        <w:t>) made same mistake in good faith and inadvertently contributed to mistake by parties, by issuing tax guidance containing statements to same effect –</w:t>
      </w:r>
      <w:r w:rsidR="003143F6">
        <w:t xml:space="preserve"> Where Article 168(a) of </w:t>
      </w:r>
      <w:r w:rsidR="003143F6" w:rsidRPr="003143F6">
        <w:t>Principal VAT Directive (2006/112/EC)</w:t>
      </w:r>
      <w:r w:rsidR="003143F6">
        <w:t xml:space="preserve"> provided trader who is taxable person has</w:t>
      </w:r>
      <w:r w:rsidR="00F7395B">
        <w:t xml:space="preserve"> </w:t>
      </w:r>
      <w:r w:rsidR="003143F6">
        <w:t>entitlement to deduct from VAT</w:t>
      </w:r>
      <w:r w:rsidR="00DA3FF2">
        <w:t xml:space="preserve"> which</w:t>
      </w:r>
      <w:r w:rsidR="003143F6">
        <w:t xml:space="preserve"> liable to pay </w:t>
      </w:r>
      <w:r w:rsidR="00A74661">
        <w:t>"</w:t>
      </w:r>
      <w:r w:rsidR="003143F6">
        <w:t>VAT due or paid … in respect of supplies</w:t>
      </w:r>
      <w:r w:rsidR="00A74661">
        <w:t>"</w:t>
      </w:r>
      <w:r w:rsidR="003143F6">
        <w:t xml:space="preserve"> – W</w:t>
      </w:r>
      <w:r w:rsidR="003A649B">
        <w:t>hether</w:t>
      </w:r>
      <w:r w:rsidR="003143F6">
        <w:t>,</w:t>
      </w:r>
      <w:r w:rsidR="003A649B">
        <w:t xml:space="preserve"> under article 168(a), trader entitled against HMRC to</w:t>
      </w:r>
      <w:r w:rsidR="003143F6">
        <w:t xml:space="preserve"> claim</w:t>
      </w:r>
      <w:r w:rsidR="003A649B">
        <w:t xml:space="preserve"> deduct</w:t>
      </w:r>
      <w:r w:rsidR="003143F6">
        <w:t>ion of</w:t>
      </w:r>
      <w:r w:rsidR="003A649B">
        <w:t xml:space="preserve"> input VAT</w:t>
      </w:r>
      <w:r w:rsidR="003143F6">
        <w:t xml:space="preserve"> </w:t>
      </w:r>
      <w:r w:rsidR="00F320C7">
        <w:t>–</w:t>
      </w:r>
      <w:r w:rsidR="003143F6">
        <w:t xml:space="preserve"> </w:t>
      </w:r>
      <w:r w:rsidR="00F320C7">
        <w:t xml:space="preserve">Whether VAT </w:t>
      </w:r>
      <w:r w:rsidR="00A74661">
        <w:t>"</w:t>
      </w:r>
      <w:r w:rsidR="00F320C7">
        <w:t>due or paid</w:t>
      </w:r>
      <w:r w:rsidR="00A74661">
        <w:t>"</w:t>
      </w:r>
      <w:r w:rsidR="00F320C7">
        <w:t xml:space="preserve"> where trader and supplier mistakenly assumed, on basis of incorrect interpretation of EU law by national authorities, supplies at issue VAT exempt. </w:t>
      </w:r>
    </w:p>
    <w:p w14:paraId="777639C9" w14:textId="77777777" w:rsidR="00134623" w:rsidRDefault="00134623" w:rsidP="00134623">
      <w:pPr>
        <w:rPr>
          <w:b/>
          <w:bCs/>
          <w:lang w:eastAsia="en-AU"/>
        </w:rPr>
      </w:pPr>
    </w:p>
    <w:p w14:paraId="0D93B967" w14:textId="67C44ED1" w:rsidR="00134623" w:rsidRDefault="00134623" w:rsidP="00134623">
      <w:pPr>
        <w:rPr>
          <w:lang w:eastAsia="en-AU"/>
        </w:rPr>
      </w:pPr>
      <w:r>
        <w:rPr>
          <w:b/>
          <w:bCs/>
          <w:lang w:eastAsia="en-AU"/>
        </w:rPr>
        <w:t>Held (5:0):</w:t>
      </w:r>
      <w:r>
        <w:rPr>
          <w:lang w:eastAsia="en-AU"/>
        </w:rPr>
        <w:t xml:space="preserve"> Appeal </w:t>
      </w:r>
      <w:r w:rsidR="005E4FD9">
        <w:rPr>
          <w:lang w:eastAsia="en-AU"/>
        </w:rPr>
        <w:t>dismissed</w:t>
      </w:r>
      <w:r>
        <w:rPr>
          <w:lang w:eastAsia="en-AU"/>
        </w:rPr>
        <w:t xml:space="preserve">. </w:t>
      </w:r>
    </w:p>
    <w:p w14:paraId="777A40B0" w14:textId="77777777" w:rsidR="00134623" w:rsidRPr="00134623" w:rsidRDefault="00134623" w:rsidP="00134623">
      <w:pPr>
        <w:rPr>
          <w:lang w:eastAsia="en-AU"/>
        </w:rPr>
      </w:pPr>
    </w:p>
    <w:p w14:paraId="66C01F57" w14:textId="4D4D1E22" w:rsidR="009556B8" w:rsidRDefault="009556B8" w:rsidP="009556B8">
      <w:pPr>
        <w:pStyle w:val="BullDivider2"/>
        <w:rPr>
          <w:rFonts w:cs="Arial"/>
          <w:highlight w:val="yellow"/>
        </w:rPr>
      </w:pPr>
    </w:p>
    <w:p w14:paraId="2289DDD0" w14:textId="77777777" w:rsidR="00134623" w:rsidRPr="00134623" w:rsidRDefault="00134623" w:rsidP="00134623">
      <w:pPr>
        <w:rPr>
          <w:highlight w:val="yellow"/>
          <w:lang w:eastAsia="en-AU"/>
        </w:rPr>
      </w:pPr>
    </w:p>
    <w:p w14:paraId="661EF5A1" w14:textId="77777777" w:rsidR="00441FFE" w:rsidRPr="00441FFE" w:rsidRDefault="00441FFE" w:rsidP="00441FFE">
      <w:pPr>
        <w:rPr>
          <w:highlight w:val="yellow"/>
          <w:lang w:eastAsia="en-AU"/>
        </w:rPr>
      </w:pPr>
    </w:p>
    <w:p w14:paraId="7F876876" w14:textId="77777777" w:rsidR="00441FFE" w:rsidRDefault="00441FFE" w:rsidP="00441FFE">
      <w:pPr>
        <w:pStyle w:val="Heading1"/>
      </w:pPr>
      <w:r>
        <w:t>Torts</w:t>
      </w:r>
    </w:p>
    <w:p w14:paraId="08BF6C22" w14:textId="77777777" w:rsidR="00441FFE" w:rsidRDefault="00441FFE" w:rsidP="00441FFE">
      <w:pPr>
        <w:rPr>
          <w:lang w:eastAsia="en-AU"/>
        </w:rPr>
      </w:pPr>
    </w:p>
    <w:p w14:paraId="32A4122B" w14:textId="77777777" w:rsidR="00441FFE" w:rsidRPr="00367779" w:rsidRDefault="00441FFE" w:rsidP="00441FFE">
      <w:pPr>
        <w:keepNext/>
        <w:outlineLvl w:val="1"/>
        <w:rPr>
          <w:rFonts w:ascii="Arial" w:hAnsi="Arial" w:cs="Arial"/>
          <w:bCs/>
          <w:i/>
          <w:iCs/>
          <w:sz w:val="28"/>
          <w:szCs w:val="28"/>
          <w:lang w:eastAsia="en-AU"/>
        </w:rPr>
      </w:pPr>
      <w:r w:rsidRPr="00367779">
        <w:rPr>
          <w:rFonts w:ascii="Arial" w:hAnsi="Arial" w:cs="Arial"/>
          <w:bCs/>
          <w:i/>
          <w:iCs/>
          <w:sz w:val="28"/>
          <w:szCs w:val="28"/>
          <w:lang w:eastAsia="en-AU"/>
        </w:rPr>
        <w:t>AK v Minister of Police</w:t>
      </w:r>
    </w:p>
    <w:p w14:paraId="5B59CFD7" w14:textId="77777777" w:rsidR="00441FFE" w:rsidRPr="00367779" w:rsidRDefault="00441FFE" w:rsidP="00441FFE">
      <w:pPr>
        <w:rPr>
          <w:lang w:eastAsia="en-AU"/>
        </w:rPr>
      </w:pPr>
      <w:r w:rsidRPr="00367779">
        <w:rPr>
          <w:b/>
          <w:lang w:eastAsia="en-AU"/>
        </w:rPr>
        <w:t xml:space="preserve">Constitutional Court of South Africa: </w:t>
      </w:r>
      <w:hyperlink r:id="rId42" w:history="1">
        <w:r w:rsidRPr="00367779">
          <w:rPr>
            <w:rStyle w:val="Hyperlink"/>
            <w:bCs/>
            <w:lang w:eastAsia="en-AU"/>
          </w:rPr>
          <w:t>[2022] ZACC 14</w:t>
        </w:r>
      </w:hyperlink>
    </w:p>
    <w:p w14:paraId="1F874B3E" w14:textId="77777777" w:rsidR="00441FFE" w:rsidRPr="00367779" w:rsidRDefault="00441FFE" w:rsidP="00441FFE">
      <w:pPr>
        <w:rPr>
          <w:lang w:eastAsia="en-AU"/>
        </w:rPr>
      </w:pPr>
    </w:p>
    <w:p w14:paraId="245E3EB9" w14:textId="77777777" w:rsidR="00441FFE" w:rsidRPr="00367779" w:rsidRDefault="00441FFE" w:rsidP="00441FFE">
      <w:pPr>
        <w:rPr>
          <w:lang w:eastAsia="en-AU"/>
        </w:rPr>
      </w:pPr>
      <w:r w:rsidRPr="00367779">
        <w:rPr>
          <w:b/>
          <w:lang w:eastAsia="en-AU"/>
        </w:rPr>
        <w:t>Judgment delivered:</w:t>
      </w:r>
      <w:r w:rsidRPr="00367779">
        <w:rPr>
          <w:lang w:eastAsia="en-AU"/>
        </w:rPr>
        <w:t xml:space="preserve"> </w:t>
      </w:r>
      <w:r>
        <w:rPr>
          <w:lang w:eastAsia="en-AU"/>
        </w:rPr>
        <w:t>5 April</w:t>
      </w:r>
      <w:r w:rsidRPr="00367779">
        <w:rPr>
          <w:lang w:eastAsia="en-AU"/>
        </w:rPr>
        <w:t xml:space="preserve"> 2022</w:t>
      </w:r>
    </w:p>
    <w:p w14:paraId="4E9917B2" w14:textId="77777777" w:rsidR="00441FFE" w:rsidRPr="00367779" w:rsidRDefault="00441FFE" w:rsidP="00441FFE">
      <w:pPr>
        <w:rPr>
          <w:lang w:eastAsia="en-AU"/>
        </w:rPr>
      </w:pPr>
    </w:p>
    <w:p w14:paraId="622EF55B" w14:textId="77777777" w:rsidR="00441FFE" w:rsidRPr="00367779" w:rsidRDefault="00441FFE" w:rsidP="00441FFE">
      <w:pPr>
        <w:rPr>
          <w:lang w:eastAsia="en-AU"/>
        </w:rPr>
      </w:pPr>
      <w:r w:rsidRPr="00367779">
        <w:rPr>
          <w:b/>
          <w:lang w:eastAsia="en-AU"/>
        </w:rPr>
        <w:t xml:space="preserve">Coram: </w:t>
      </w:r>
      <w:proofErr w:type="spellStart"/>
      <w:r w:rsidRPr="00367779">
        <w:rPr>
          <w:lang w:eastAsia="en-AU"/>
        </w:rPr>
        <w:t>Mogoeng</w:t>
      </w:r>
      <w:proofErr w:type="spellEnd"/>
      <w:r w:rsidRPr="00367779">
        <w:rPr>
          <w:lang w:eastAsia="en-AU"/>
        </w:rPr>
        <w:t xml:space="preserve"> CJ, Jafta, </w:t>
      </w:r>
      <w:proofErr w:type="spellStart"/>
      <w:r w:rsidRPr="00367779">
        <w:rPr>
          <w:lang w:eastAsia="en-AU"/>
        </w:rPr>
        <w:t>Khampepe</w:t>
      </w:r>
      <w:proofErr w:type="spellEnd"/>
      <w:r w:rsidRPr="00367779">
        <w:rPr>
          <w:lang w:eastAsia="en-AU"/>
        </w:rPr>
        <w:t xml:space="preserve">, </w:t>
      </w:r>
      <w:proofErr w:type="spellStart"/>
      <w:r w:rsidRPr="00367779">
        <w:rPr>
          <w:lang w:eastAsia="en-AU"/>
        </w:rPr>
        <w:t>Madlanga</w:t>
      </w:r>
      <w:proofErr w:type="spellEnd"/>
      <w:r w:rsidRPr="00367779">
        <w:rPr>
          <w:lang w:eastAsia="en-AU"/>
        </w:rPr>
        <w:t xml:space="preserve">, </w:t>
      </w:r>
      <w:proofErr w:type="spellStart"/>
      <w:r w:rsidRPr="00367779">
        <w:rPr>
          <w:lang w:eastAsia="en-AU"/>
        </w:rPr>
        <w:t>Majiedt</w:t>
      </w:r>
      <w:proofErr w:type="spellEnd"/>
      <w:r w:rsidRPr="00367779">
        <w:rPr>
          <w:lang w:eastAsia="en-AU"/>
        </w:rPr>
        <w:t xml:space="preserve">, </w:t>
      </w:r>
      <w:proofErr w:type="spellStart"/>
      <w:r w:rsidRPr="00367779">
        <w:rPr>
          <w:lang w:eastAsia="en-AU"/>
        </w:rPr>
        <w:t>Mhlantla</w:t>
      </w:r>
      <w:proofErr w:type="spellEnd"/>
      <w:r w:rsidRPr="00367779">
        <w:rPr>
          <w:lang w:eastAsia="en-AU"/>
        </w:rPr>
        <w:t xml:space="preserve"> </w:t>
      </w:r>
      <w:r>
        <w:rPr>
          <w:lang w:eastAsia="en-AU"/>
        </w:rPr>
        <w:t>J</w:t>
      </w:r>
      <w:r w:rsidRPr="00367779">
        <w:rPr>
          <w:lang w:eastAsia="en-AU"/>
        </w:rPr>
        <w:t xml:space="preserve">J, Pillay AJ, Theron J and </w:t>
      </w:r>
      <w:proofErr w:type="spellStart"/>
      <w:r w:rsidRPr="00367779">
        <w:rPr>
          <w:lang w:eastAsia="en-AU"/>
        </w:rPr>
        <w:t>Tlaletsi</w:t>
      </w:r>
      <w:proofErr w:type="spellEnd"/>
      <w:r w:rsidRPr="00367779">
        <w:rPr>
          <w:lang w:eastAsia="en-AU"/>
        </w:rPr>
        <w:t xml:space="preserve"> AJ</w:t>
      </w:r>
    </w:p>
    <w:p w14:paraId="3E87A144" w14:textId="77777777" w:rsidR="00441FFE" w:rsidRPr="00367779" w:rsidRDefault="00441FFE" w:rsidP="00441FFE">
      <w:pPr>
        <w:rPr>
          <w:lang w:eastAsia="en-AU"/>
        </w:rPr>
      </w:pPr>
    </w:p>
    <w:p w14:paraId="7442752F" w14:textId="77777777" w:rsidR="00441FFE" w:rsidRPr="00367779" w:rsidRDefault="00441FFE" w:rsidP="00441FFE">
      <w:pPr>
        <w:rPr>
          <w:b/>
          <w:lang w:eastAsia="en-AU"/>
        </w:rPr>
      </w:pPr>
      <w:r w:rsidRPr="00367779">
        <w:rPr>
          <w:b/>
          <w:lang w:eastAsia="en-AU"/>
        </w:rPr>
        <w:t>Catchwords:</w:t>
      </w:r>
    </w:p>
    <w:p w14:paraId="349670DB" w14:textId="77777777" w:rsidR="00441FFE" w:rsidRPr="00367779" w:rsidRDefault="00441FFE" w:rsidP="00441FFE">
      <w:pPr>
        <w:rPr>
          <w:b/>
          <w:highlight w:val="yellow"/>
          <w:lang w:eastAsia="en-AU"/>
        </w:rPr>
      </w:pPr>
    </w:p>
    <w:p w14:paraId="0A7440E0" w14:textId="0D3CE287" w:rsidR="00441FFE" w:rsidRPr="00367779" w:rsidRDefault="00441FFE" w:rsidP="00441FFE">
      <w:pPr>
        <w:ind w:left="720"/>
        <w:rPr>
          <w:lang w:eastAsia="en-AU"/>
        </w:rPr>
      </w:pPr>
      <w:r>
        <w:rPr>
          <w:lang w:eastAsia="en-AU"/>
        </w:rPr>
        <w:t xml:space="preserve">Torts – </w:t>
      </w:r>
      <w:r w:rsidR="005502AC">
        <w:rPr>
          <w:lang w:eastAsia="en-AU"/>
        </w:rPr>
        <w:t xml:space="preserve">State agency – </w:t>
      </w:r>
      <w:r>
        <w:rPr>
          <w:lang w:eastAsia="en-AU"/>
        </w:rPr>
        <w:t xml:space="preserve">Delict – Negligence – Causation – Wrongfulness – Where </w:t>
      </w:r>
      <w:r w:rsidRPr="00367779">
        <w:rPr>
          <w:lang w:eastAsia="en-AU"/>
        </w:rPr>
        <w:t>South African Police Service (</w:t>
      </w:r>
      <w:r w:rsidR="00A74661">
        <w:rPr>
          <w:lang w:eastAsia="en-AU"/>
        </w:rPr>
        <w:t>"</w:t>
      </w:r>
      <w:r w:rsidRPr="00367779">
        <w:rPr>
          <w:lang w:eastAsia="en-AU"/>
        </w:rPr>
        <w:t>SAPS</w:t>
      </w:r>
      <w:r w:rsidR="00A74661">
        <w:rPr>
          <w:lang w:eastAsia="en-AU"/>
        </w:rPr>
        <w:t>"</w:t>
      </w:r>
      <w:r w:rsidRPr="00367779">
        <w:rPr>
          <w:lang w:eastAsia="en-AU"/>
        </w:rPr>
        <w:t xml:space="preserve">) </w:t>
      </w:r>
      <w:r>
        <w:rPr>
          <w:lang w:eastAsia="en-AU"/>
        </w:rPr>
        <w:t>one of</w:t>
      </w:r>
      <w:r w:rsidRPr="00367779">
        <w:rPr>
          <w:lang w:eastAsia="en-AU"/>
        </w:rPr>
        <w:t xml:space="preserve"> primary state agencies responsible for protection of public, in particular women and children, against invasion of fundamental rights by perpetrators of violent crimes</w:t>
      </w:r>
      <w:r>
        <w:rPr>
          <w:lang w:eastAsia="en-AU"/>
        </w:rPr>
        <w:t xml:space="preserve"> – Where Minister of Police </w:t>
      </w:r>
      <w:r w:rsidRPr="00367779">
        <w:rPr>
          <w:lang w:eastAsia="en-AU"/>
        </w:rPr>
        <w:t>responsible for conduct of members of SAPS in executing constitutional obligations to prevent, combat and investigate crime</w:t>
      </w:r>
      <w:r>
        <w:rPr>
          <w:lang w:eastAsia="en-AU"/>
        </w:rPr>
        <w:t xml:space="preserve"> – Where applicant experienced gender based violence – Where </w:t>
      </w:r>
      <w:r w:rsidRPr="00CD6C67">
        <w:rPr>
          <w:lang w:eastAsia="en-AU"/>
        </w:rPr>
        <w:t>High Court</w:t>
      </w:r>
      <w:r>
        <w:rPr>
          <w:lang w:eastAsia="en-AU"/>
        </w:rPr>
        <w:t xml:space="preserve"> of South Africa</w:t>
      </w:r>
      <w:r w:rsidRPr="00CD6C67">
        <w:rPr>
          <w:lang w:eastAsia="en-AU"/>
        </w:rPr>
        <w:t xml:space="preserve"> held Minister of Police </w:t>
      </w:r>
      <w:proofErr w:type="spellStart"/>
      <w:r w:rsidRPr="00CD6C67">
        <w:rPr>
          <w:lang w:eastAsia="en-AU"/>
        </w:rPr>
        <w:t>delictually</w:t>
      </w:r>
      <w:proofErr w:type="spellEnd"/>
      <w:r w:rsidRPr="00CD6C67">
        <w:rPr>
          <w:lang w:eastAsia="en-AU"/>
        </w:rPr>
        <w:t xml:space="preserve"> liable for wrongful omissions of SAPS, which negligently failed to protect applicant from harm by not conducting reasonably effective search, or reasonably effective investigation thereafter into crimes committed against </w:t>
      </w:r>
      <w:r>
        <w:rPr>
          <w:lang w:eastAsia="en-AU"/>
        </w:rPr>
        <w:t>applicant – Where Supreme Court of Appeal upheld appeal against decision of High Court – W</w:t>
      </w:r>
      <w:r w:rsidRPr="00441FFE">
        <w:rPr>
          <w:lang w:eastAsia="en-AU"/>
        </w:rPr>
        <w:t xml:space="preserve">hether negligently conducted police search and investigation, which causes person harm, can be wrongful and give rise to </w:t>
      </w:r>
      <w:proofErr w:type="spellStart"/>
      <w:r w:rsidRPr="00441FFE">
        <w:rPr>
          <w:lang w:eastAsia="en-AU"/>
        </w:rPr>
        <w:t>delictual</w:t>
      </w:r>
      <w:proofErr w:type="spellEnd"/>
      <w:r w:rsidRPr="00441FFE">
        <w:rPr>
          <w:lang w:eastAsia="en-AU"/>
        </w:rPr>
        <w:t xml:space="preserve"> liability</w:t>
      </w:r>
      <w:r>
        <w:rPr>
          <w:lang w:eastAsia="en-AU"/>
        </w:rPr>
        <w:t xml:space="preserve"> – Whether SAPS acted reasonably in circumstances – Proper approach to negligence, delict, causation and wrongfulness. </w:t>
      </w:r>
    </w:p>
    <w:p w14:paraId="28E99782" w14:textId="77777777" w:rsidR="00441FFE" w:rsidRPr="00367779" w:rsidRDefault="00441FFE" w:rsidP="00441FFE">
      <w:pPr>
        <w:rPr>
          <w:b/>
          <w:lang w:eastAsia="en-AU"/>
        </w:rPr>
      </w:pPr>
    </w:p>
    <w:p w14:paraId="246630AB" w14:textId="77777777" w:rsidR="00441FFE" w:rsidRPr="00367779" w:rsidRDefault="00441FFE" w:rsidP="00441FFE">
      <w:pPr>
        <w:rPr>
          <w:lang w:eastAsia="en-AU"/>
        </w:rPr>
      </w:pPr>
      <w:r w:rsidRPr="00367779">
        <w:rPr>
          <w:b/>
          <w:lang w:eastAsia="en-AU"/>
        </w:rPr>
        <w:lastRenderedPageBreak/>
        <w:t>Held (</w:t>
      </w:r>
      <w:r>
        <w:rPr>
          <w:b/>
          <w:lang w:eastAsia="en-AU"/>
        </w:rPr>
        <w:t>6</w:t>
      </w:r>
      <w:r w:rsidRPr="00367779">
        <w:rPr>
          <w:b/>
          <w:lang w:eastAsia="en-AU"/>
        </w:rPr>
        <w:t>:</w:t>
      </w:r>
      <w:r>
        <w:rPr>
          <w:b/>
          <w:lang w:eastAsia="en-AU"/>
        </w:rPr>
        <w:t>3</w:t>
      </w:r>
      <w:r w:rsidRPr="00367779">
        <w:rPr>
          <w:b/>
          <w:lang w:eastAsia="en-AU"/>
        </w:rPr>
        <w:t xml:space="preserve">): </w:t>
      </w:r>
      <w:r w:rsidRPr="00367779">
        <w:rPr>
          <w:lang w:eastAsia="en-AU"/>
        </w:rPr>
        <w:t xml:space="preserve">Leave to appeal granted; appeal </w:t>
      </w:r>
      <w:r>
        <w:rPr>
          <w:lang w:eastAsia="en-AU"/>
        </w:rPr>
        <w:t>upheld</w:t>
      </w:r>
      <w:r w:rsidRPr="00367779">
        <w:rPr>
          <w:lang w:eastAsia="en-AU"/>
        </w:rPr>
        <w:t>.</w:t>
      </w:r>
    </w:p>
    <w:p w14:paraId="7F65CCCF" w14:textId="77777777" w:rsidR="00441FFE" w:rsidRDefault="00441FFE" w:rsidP="00441FFE">
      <w:pPr>
        <w:pStyle w:val="BullDivider2"/>
      </w:pPr>
    </w:p>
    <w:p w14:paraId="53DE3EA8" w14:textId="1C94A19A" w:rsidR="00BE65B0" w:rsidRPr="00BE65B0" w:rsidRDefault="00BE65B0" w:rsidP="00BE65B0">
      <w:pPr>
        <w:rPr>
          <w:highlight w:val="yellow"/>
          <w:lang w:eastAsia="en-AU"/>
        </w:rPr>
      </w:pPr>
    </w:p>
    <w:sectPr w:rsidR="00BE65B0" w:rsidRPr="00BE65B0" w:rsidSect="00F4611C">
      <w:footerReference w:type="default" r:id="rId4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1B33" w14:textId="77777777" w:rsidR="00ED59BD" w:rsidRDefault="00ED59BD" w:rsidP="00803531">
      <w:r>
        <w:separator/>
      </w:r>
    </w:p>
  </w:endnote>
  <w:endnote w:type="continuationSeparator" w:id="0">
    <w:p w14:paraId="0F6154EE" w14:textId="77777777" w:rsidR="00ED59BD" w:rsidRDefault="00ED59BD" w:rsidP="0080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CC53" w14:textId="17922442" w:rsidR="00ED59BD" w:rsidRDefault="00ED59BD" w:rsidP="00FF7AAF">
    <w:pPr>
      <w:pStyle w:val="Footer"/>
    </w:pPr>
    <w:r>
      <w:t xml:space="preserve">ODB </w:t>
    </w:r>
    <w:r w:rsidRPr="007203D3">
      <w:t>(202</w:t>
    </w:r>
    <w:r>
      <w:t>2</w:t>
    </w:r>
    <w:r w:rsidRPr="007203D3">
      <w:t xml:space="preserve">) </w:t>
    </w:r>
    <w:r>
      <w:t>19:2</w:t>
    </w:r>
    <w:r>
      <w:tab/>
    </w:r>
    <w:r>
      <w:tab/>
    </w:r>
    <w:hyperlink w:anchor="_top" w:history="1">
      <w:r w:rsidRPr="00D10889">
        <w:rPr>
          <w:rStyle w:val="Hyperlink"/>
        </w:rPr>
        <w:t>Return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4E8C" w14:textId="77777777" w:rsidR="00ED59BD" w:rsidRDefault="00ED59BD" w:rsidP="00803531">
      <w:r>
        <w:separator/>
      </w:r>
    </w:p>
  </w:footnote>
  <w:footnote w:type="continuationSeparator" w:id="0">
    <w:p w14:paraId="6896ECCB" w14:textId="77777777" w:rsidR="00ED59BD" w:rsidRDefault="00ED59BD" w:rsidP="00803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AE56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261D1D"/>
    <w:multiLevelType w:val="hybridMultilevel"/>
    <w:tmpl w:val="A2C84320"/>
    <w:lvl w:ilvl="0" w:tplc="3558C7F6">
      <w:numFmt w:val="bullet"/>
      <w:lvlText w:val="-"/>
      <w:lvlJc w:val="left"/>
      <w:pPr>
        <w:ind w:left="1080" w:hanging="360"/>
      </w:pPr>
      <w:rPr>
        <w:rFonts w:ascii="Verdana" w:eastAsia="Times New Roman" w:hAnsi="Verdan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FC1ABC9-96F7-48C6-8917-90547F4220EA}"/>
    <w:docVar w:name="dgnword-eventsink" w:val="90600792"/>
  </w:docVars>
  <w:rsids>
    <w:rsidRoot w:val="00D533AE"/>
    <w:rsid w:val="00003A8C"/>
    <w:rsid w:val="00004CD4"/>
    <w:rsid w:val="000057E1"/>
    <w:rsid w:val="0000611F"/>
    <w:rsid w:val="000061F8"/>
    <w:rsid w:val="00007833"/>
    <w:rsid w:val="0001028C"/>
    <w:rsid w:val="00012586"/>
    <w:rsid w:val="00014F57"/>
    <w:rsid w:val="00016876"/>
    <w:rsid w:val="00020080"/>
    <w:rsid w:val="000206E8"/>
    <w:rsid w:val="0002136F"/>
    <w:rsid w:val="00022533"/>
    <w:rsid w:val="000254ED"/>
    <w:rsid w:val="00025A72"/>
    <w:rsid w:val="00026138"/>
    <w:rsid w:val="0002797C"/>
    <w:rsid w:val="000300A3"/>
    <w:rsid w:val="00034778"/>
    <w:rsid w:val="00034D54"/>
    <w:rsid w:val="00035ADE"/>
    <w:rsid w:val="00036B97"/>
    <w:rsid w:val="00040440"/>
    <w:rsid w:val="00040616"/>
    <w:rsid w:val="00041979"/>
    <w:rsid w:val="00043A3C"/>
    <w:rsid w:val="00044344"/>
    <w:rsid w:val="0004581A"/>
    <w:rsid w:val="00054234"/>
    <w:rsid w:val="00055030"/>
    <w:rsid w:val="00056565"/>
    <w:rsid w:val="00056AFF"/>
    <w:rsid w:val="00057B6F"/>
    <w:rsid w:val="00057E62"/>
    <w:rsid w:val="000608CF"/>
    <w:rsid w:val="0006158D"/>
    <w:rsid w:val="00061DE2"/>
    <w:rsid w:val="00063EAE"/>
    <w:rsid w:val="00066E88"/>
    <w:rsid w:val="00071C1F"/>
    <w:rsid w:val="00071E8B"/>
    <w:rsid w:val="0007274E"/>
    <w:rsid w:val="00075100"/>
    <w:rsid w:val="0007563A"/>
    <w:rsid w:val="00076788"/>
    <w:rsid w:val="0008349F"/>
    <w:rsid w:val="00083B55"/>
    <w:rsid w:val="0008559E"/>
    <w:rsid w:val="00085806"/>
    <w:rsid w:val="00090988"/>
    <w:rsid w:val="0009236C"/>
    <w:rsid w:val="00092C1A"/>
    <w:rsid w:val="00092FB3"/>
    <w:rsid w:val="00097C28"/>
    <w:rsid w:val="000A0C44"/>
    <w:rsid w:val="000A0D8C"/>
    <w:rsid w:val="000A1252"/>
    <w:rsid w:val="000A148B"/>
    <w:rsid w:val="000A1BDC"/>
    <w:rsid w:val="000A28E4"/>
    <w:rsid w:val="000A32A4"/>
    <w:rsid w:val="000A3B5A"/>
    <w:rsid w:val="000A3D26"/>
    <w:rsid w:val="000A52DA"/>
    <w:rsid w:val="000A546C"/>
    <w:rsid w:val="000B0D09"/>
    <w:rsid w:val="000B1498"/>
    <w:rsid w:val="000B2704"/>
    <w:rsid w:val="000B2CC5"/>
    <w:rsid w:val="000B404F"/>
    <w:rsid w:val="000B4066"/>
    <w:rsid w:val="000B64D7"/>
    <w:rsid w:val="000C0320"/>
    <w:rsid w:val="000C0D72"/>
    <w:rsid w:val="000C0DD6"/>
    <w:rsid w:val="000C13EC"/>
    <w:rsid w:val="000C26C1"/>
    <w:rsid w:val="000C2DD0"/>
    <w:rsid w:val="000C5141"/>
    <w:rsid w:val="000C70A6"/>
    <w:rsid w:val="000C73D2"/>
    <w:rsid w:val="000D1D3A"/>
    <w:rsid w:val="000D28D6"/>
    <w:rsid w:val="000D2EE4"/>
    <w:rsid w:val="000D3E8D"/>
    <w:rsid w:val="000D5142"/>
    <w:rsid w:val="000E00FA"/>
    <w:rsid w:val="000E0B90"/>
    <w:rsid w:val="000E1CE7"/>
    <w:rsid w:val="000E2BAA"/>
    <w:rsid w:val="000E3315"/>
    <w:rsid w:val="000E3477"/>
    <w:rsid w:val="000E58D2"/>
    <w:rsid w:val="000E5BD7"/>
    <w:rsid w:val="000E5F48"/>
    <w:rsid w:val="000E7259"/>
    <w:rsid w:val="000E7F45"/>
    <w:rsid w:val="000F0DBE"/>
    <w:rsid w:val="000F0F86"/>
    <w:rsid w:val="000F35BD"/>
    <w:rsid w:val="000F389D"/>
    <w:rsid w:val="000F4DC5"/>
    <w:rsid w:val="000F7D3C"/>
    <w:rsid w:val="00100B3E"/>
    <w:rsid w:val="001018FD"/>
    <w:rsid w:val="001026B7"/>
    <w:rsid w:val="001036AC"/>
    <w:rsid w:val="00103F4B"/>
    <w:rsid w:val="0010659C"/>
    <w:rsid w:val="00106FCA"/>
    <w:rsid w:val="001075FC"/>
    <w:rsid w:val="001105C9"/>
    <w:rsid w:val="00112D8A"/>
    <w:rsid w:val="001139AF"/>
    <w:rsid w:val="00113C18"/>
    <w:rsid w:val="00115250"/>
    <w:rsid w:val="001158DF"/>
    <w:rsid w:val="00117699"/>
    <w:rsid w:val="00121E50"/>
    <w:rsid w:val="001224D8"/>
    <w:rsid w:val="00122779"/>
    <w:rsid w:val="00125B7B"/>
    <w:rsid w:val="0012760C"/>
    <w:rsid w:val="0013001F"/>
    <w:rsid w:val="00130C04"/>
    <w:rsid w:val="001328C3"/>
    <w:rsid w:val="00133E53"/>
    <w:rsid w:val="00134623"/>
    <w:rsid w:val="001348BB"/>
    <w:rsid w:val="00135A7F"/>
    <w:rsid w:val="001364EF"/>
    <w:rsid w:val="00136EE9"/>
    <w:rsid w:val="00137559"/>
    <w:rsid w:val="0013755F"/>
    <w:rsid w:val="00137667"/>
    <w:rsid w:val="00140FCC"/>
    <w:rsid w:val="00142680"/>
    <w:rsid w:val="00143ADC"/>
    <w:rsid w:val="001451E5"/>
    <w:rsid w:val="001468A0"/>
    <w:rsid w:val="0014793D"/>
    <w:rsid w:val="00150915"/>
    <w:rsid w:val="00150962"/>
    <w:rsid w:val="00152A41"/>
    <w:rsid w:val="00154743"/>
    <w:rsid w:val="00155A72"/>
    <w:rsid w:val="00161796"/>
    <w:rsid w:val="001638E7"/>
    <w:rsid w:val="001639F4"/>
    <w:rsid w:val="00164073"/>
    <w:rsid w:val="00164A02"/>
    <w:rsid w:val="0016544D"/>
    <w:rsid w:val="00166D65"/>
    <w:rsid w:val="001671EE"/>
    <w:rsid w:val="00170099"/>
    <w:rsid w:val="001730B2"/>
    <w:rsid w:val="001761EF"/>
    <w:rsid w:val="001762D9"/>
    <w:rsid w:val="001765A2"/>
    <w:rsid w:val="00176E3A"/>
    <w:rsid w:val="00176FC8"/>
    <w:rsid w:val="00180393"/>
    <w:rsid w:val="0018118A"/>
    <w:rsid w:val="001812FD"/>
    <w:rsid w:val="00181993"/>
    <w:rsid w:val="00181C26"/>
    <w:rsid w:val="00181C2D"/>
    <w:rsid w:val="00182267"/>
    <w:rsid w:val="00182D1F"/>
    <w:rsid w:val="00182F80"/>
    <w:rsid w:val="00183809"/>
    <w:rsid w:val="001845F8"/>
    <w:rsid w:val="00184BF6"/>
    <w:rsid w:val="0018589E"/>
    <w:rsid w:val="00185B04"/>
    <w:rsid w:val="001861E1"/>
    <w:rsid w:val="00187356"/>
    <w:rsid w:val="0018777A"/>
    <w:rsid w:val="0019053F"/>
    <w:rsid w:val="0019057F"/>
    <w:rsid w:val="00190714"/>
    <w:rsid w:val="00193C5B"/>
    <w:rsid w:val="00193D7D"/>
    <w:rsid w:val="00194719"/>
    <w:rsid w:val="00197443"/>
    <w:rsid w:val="001A061F"/>
    <w:rsid w:val="001A1741"/>
    <w:rsid w:val="001A19C8"/>
    <w:rsid w:val="001A1BEC"/>
    <w:rsid w:val="001A3C19"/>
    <w:rsid w:val="001A3D22"/>
    <w:rsid w:val="001A5535"/>
    <w:rsid w:val="001A674A"/>
    <w:rsid w:val="001B0F99"/>
    <w:rsid w:val="001B2725"/>
    <w:rsid w:val="001B34E9"/>
    <w:rsid w:val="001B44B0"/>
    <w:rsid w:val="001B62EE"/>
    <w:rsid w:val="001B6F90"/>
    <w:rsid w:val="001C02C1"/>
    <w:rsid w:val="001C2589"/>
    <w:rsid w:val="001C4ACB"/>
    <w:rsid w:val="001C691E"/>
    <w:rsid w:val="001D1234"/>
    <w:rsid w:val="001D1F45"/>
    <w:rsid w:val="001D36B4"/>
    <w:rsid w:val="001D376F"/>
    <w:rsid w:val="001D42D3"/>
    <w:rsid w:val="001D4B11"/>
    <w:rsid w:val="001E3306"/>
    <w:rsid w:val="001E333A"/>
    <w:rsid w:val="001E3CAD"/>
    <w:rsid w:val="001E5A46"/>
    <w:rsid w:val="001E6171"/>
    <w:rsid w:val="001E764B"/>
    <w:rsid w:val="001F09C4"/>
    <w:rsid w:val="001F2076"/>
    <w:rsid w:val="001F33E7"/>
    <w:rsid w:val="001F3418"/>
    <w:rsid w:val="00201B76"/>
    <w:rsid w:val="00201D90"/>
    <w:rsid w:val="00205443"/>
    <w:rsid w:val="00205B04"/>
    <w:rsid w:val="00207229"/>
    <w:rsid w:val="00207F21"/>
    <w:rsid w:val="0021061E"/>
    <w:rsid w:val="002110A3"/>
    <w:rsid w:val="002118D1"/>
    <w:rsid w:val="00211DFA"/>
    <w:rsid w:val="00212027"/>
    <w:rsid w:val="00212845"/>
    <w:rsid w:val="00212982"/>
    <w:rsid w:val="0021397A"/>
    <w:rsid w:val="00213C1A"/>
    <w:rsid w:val="00213D2B"/>
    <w:rsid w:val="00214EFF"/>
    <w:rsid w:val="002209A5"/>
    <w:rsid w:val="0022191E"/>
    <w:rsid w:val="00221F4D"/>
    <w:rsid w:val="002225AA"/>
    <w:rsid w:val="002233EB"/>
    <w:rsid w:val="0022481A"/>
    <w:rsid w:val="002267EA"/>
    <w:rsid w:val="00227473"/>
    <w:rsid w:val="00227577"/>
    <w:rsid w:val="00230A69"/>
    <w:rsid w:val="002347CA"/>
    <w:rsid w:val="002367D5"/>
    <w:rsid w:val="00236AC3"/>
    <w:rsid w:val="00240E8A"/>
    <w:rsid w:val="002410CC"/>
    <w:rsid w:val="00241E11"/>
    <w:rsid w:val="002433A8"/>
    <w:rsid w:val="00243A33"/>
    <w:rsid w:val="002459E4"/>
    <w:rsid w:val="00245A3F"/>
    <w:rsid w:val="00246EF5"/>
    <w:rsid w:val="00247287"/>
    <w:rsid w:val="002477DC"/>
    <w:rsid w:val="00250F94"/>
    <w:rsid w:val="00251B4F"/>
    <w:rsid w:val="00251D0F"/>
    <w:rsid w:val="0025252A"/>
    <w:rsid w:val="002526F0"/>
    <w:rsid w:val="00252F31"/>
    <w:rsid w:val="00254090"/>
    <w:rsid w:val="002540B8"/>
    <w:rsid w:val="00261F48"/>
    <w:rsid w:val="00265F84"/>
    <w:rsid w:val="002704EC"/>
    <w:rsid w:val="00270925"/>
    <w:rsid w:val="00270FCA"/>
    <w:rsid w:val="002717B0"/>
    <w:rsid w:val="0027369F"/>
    <w:rsid w:val="00274D19"/>
    <w:rsid w:val="00276923"/>
    <w:rsid w:val="00280499"/>
    <w:rsid w:val="00281809"/>
    <w:rsid w:val="002839D9"/>
    <w:rsid w:val="0028505C"/>
    <w:rsid w:val="00285C50"/>
    <w:rsid w:val="00286BC6"/>
    <w:rsid w:val="00287D30"/>
    <w:rsid w:val="002904E1"/>
    <w:rsid w:val="002936F6"/>
    <w:rsid w:val="00296137"/>
    <w:rsid w:val="00297845"/>
    <w:rsid w:val="00297E73"/>
    <w:rsid w:val="002A3C55"/>
    <w:rsid w:val="002A527B"/>
    <w:rsid w:val="002A69DC"/>
    <w:rsid w:val="002A6DD4"/>
    <w:rsid w:val="002B1336"/>
    <w:rsid w:val="002B1A95"/>
    <w:rsid w:val="002B4119"/>
    <w:rsid w:val="002B47B1"/>
    <w:rsid w:val="002B58BD"/>
    <w:rsid w:val="002B5D86"/>
    <w:rsid w:val="002B75D6"/>
    <w:rsid w:val="002B7B5E"/>
    <w:rsid w:val="002C0A90"/>
    <w:rsid w:val="002C2C37"/>
    <w:rsid w:val="002C3E68"/>
    <w:rsid w:val="002C5401"/>
    <w:rsid w:val="002C5856"/>
    <w:rsid w:val="002D134E"/>
    <w:rsid w:val="002E0A88"/>
    <w:rsid w:val="002E2518"/>
    <w:rsid w:val="002E3D12"/>
    <w:rsid w:val="002E5D09"/>
    <w:rsid w:val="002E6437"/>
    <w:rsid w:val="002E7C04"/>
    <w:rsid w:val="002F18CF"/>
    <w:rsid w:val="002F220E"/>
    <w:rsid w:val="002F24FB"/>
    <w:rsid w:val="002F2A65"/>
    <w:rsid w:val="002F3DE5"/>
    <w:rsid w:val="002F40F5"/>
    <w:rsid w:val="002F41DC"/>
    <w:rsid w:val="002F4B3A"/>
    <w:rsid w:val="002F4F7E"/>
    <w:rsid w:val="002F5F93"/>
    <w:rsid w:val="002F73D6"/>
    <w:rsid w:val="002F7A17"/>
    <w:rsid w:val="002F7D66"/>
    <w:rsid w:val="00300A88"/>
    <w:rsid w:val="00301AC5"/>
    <w:rsid w:val="00301B43"/>
    <w:rsid w:val="00304307"/>
    <w:rsid w:val="00304775"/>
    <w:rsid w:val="00307804"/>
    <w:rsid w:val="0031010D"/>
    <w:rsid w:val="00310522"/>
    <w:rsid w:val="003108B3"/>
    <w:rsid w:val="00310A4E"/>
    <w:rsid w:val="00310EE6"/>
    <w:rsid w:val="003143F6"/>
    <w:rsid w:val="0031754B"/>
    <w:rsid w:val="003178CF"/>
    <w:rsid w:val="0032013E"/>
    <w:rsid w:val="003208D9"/>
    <w:rsid w:val="0032098B"/>
    <w:rsid w:val="0032244A"/>
    <w:rsid w:val="00322644"/>
    <w:rsid w:val="00326031"/>
    <w:rsid w:val="003261E1"/>
    <w:rsid w:val="0033020E"/>
    <w:rsid w:val="00332F75"/>
    <w:rsid w:val="00342708"/>
    <w:rsid w:val="003434A4"/>
    <w:rsid w:val="003470D1"/>
    <w:rsid w:val="0035094B"/>
    <w:rsid w:val="00351E4C"/>
    <w:rsid w:val="00353F9E"/>
    <w:rsid w:val="003553B8"/>
    <w:rsid w:val="003557BE"/>
    <w:rsid w:val="003567C8"/>
    <w:rsid w:val="003579AA"/>
    <w:rsid w:val="003604E8"/>
    <w:rsid w:val="00360F0A"/>
    <w:rsid w:val="0036233C"/>
    <w:rsid w:val="00363764"/>
    <w:rsid w:val="00363D63"/>
    <w:rsid w:val="0036633D"/>
    <w:rsid w:val="00367779"/>
    <w:rsid w:val="003704E0"/>
    <w:rsid w:val="0037207F"/>
    <w:rsid w:val="0037306C"/>
    <w:rsid w:val="0037370F"/>
    <w:rsid w:val="00373D30"/>
    <w:rsid w:val="00375515"/>
    <w:rsid w:val="00375CAD"/>
    <w:rsid w:val="0037654C"/>
    <w:rsid w:val="00376C9D"/>
    <w:rsid w:val="00380978"/>
    <w:rsid w:val="00381899"/>
    <w:rsid w:val="0038382C"/>
    <w:rsid w:val="003840DF"/>
    <w:rsid w:val="00385DA8"/>
    <w:rsid w:val="003868AD"/>
    <w:rsid w:val="00387361"/>
    <w:rsid w:val="00387C34"/>
    <w:rsid w:val="00387DCC"/>
    <w:rsid w:val="003908CA"/>
    <w:rsid w:val="00390D15"/>
    <w:rsid w:val="0039160C"/>
    <w:rsid w:val="00394C86"/>
    <w:rsid w:val="003A011E"/>
    <w:rsid w:val="003A1231"/>
    <w:rsid w:val="003A156B"/>
    <w:rsid w:val="003A1962"/>
    <w:rsid w:val="003A3A72"/>
    <w:rsid w:val="003A3C15"/>
    <w:rsid w:val="003A649B"/>
    <w:rsid w:val="003A7630"/>
    <w:rsid w:val="003A7D12"/>
    <w:rsid w:val="003B13F6"/>
    <w:rsid w:val="003B18B6"/>
    <w:rsid w:val="003B353F"/>
    <w:rsid w:val="003B405E"/>
    <w:rsid w:val="003B5377"/>
    <w:rsid w:val="003B7630"/>
    <w:rsid w:val="003C0017"/>
    <w:rsid w:val="003C18F0"/>
    <w:rsid w:val="003C25CB"/>
    <w:rsid w:val="003C28A6"/>
    <w:rsid w:val="003C2D1C"/>
    <w:rsid w:val="003C4007"/>
    <w:rsid w:val="003C52C1"/>
    <w:rsid w:val="003C606F"/>
    <w:rsid w:val="003C6712"/>
    <w:rsid w:val="003C7439"/>
    <w:rsid w:val="003D1498"/>
    <w:rsid w:val="003D72BF"/>
    <w:rsid w:val="003D7578"/>
    <w:rsid w:val="003E0190"/>
    <w:rsid w:val="003E027B"/>
    <w:rsid w:val="003E17B7"/>
    <w:rsid w:val="003E27C2"/>
    <w:rsid w:val="003E31C1"/>
    <w:rsid w:val="003E59CA"/>
    <w:rsid w:val="003F165A"/>
    <w:rsid w:val="003F1AD9"/>
    <w:rsid w:val="003F26EE"/>
    <w:rsid w:val="003F270F"/>
    <w:rsid w:val="003F3508"/>
    <w:rsid w:val="003F4132"/>
    <w:rsid w:val="003F418A"/>
    <w:rsid w:val="003F5341"/>
    <w:rsid w:val="003F6485"/>
    <w:rsid w:val="004007CD"/>
    <w:rsid w:val="00401A7C"/>
    <w:rsid w:val="00403C92"/>
    <w:rsid w:val="004056FE"/>
    <w:rsid w:val="0040595D"/>
    <w:rsid w:val="00405DFD"/>
    <w:rsid w:val="004061FF"/>
    <w:rsid w:val="0040652A"/>
    <w:rsid w:val="00406C77"/>
    <w:rsid w:val="004106E1"/>
    <w:rsid w:val="00412E8D"/>
    <w:rsid w:val="004138B3"/>
    <w:rsid w:val="004145EF"/>
    <w:rsid w:val="00414F67"/>
    <w:rsid w:val="00415D91"/>
    <w:rsid w:val="004211CE"/>
    <w:rsid w:val="00423F69"/>
    <w:rsid w:val="00424660"/>
    <w:rsid w:val="00427221"/>
    <w:rsid w:val="004273FD"/>
    <w:rsid w:val="00430424"/>
    <w:rsid w:val="0043193D"/>
    <w:rsid w:val="0043209B"/>
    <w:rsid w:val="0043549F"/>
    <w:rsid w:val="00436081"/>
    <w:rsid w:val="004402BC"/>
    <w:rsid w:val="004402FC"/>
    <w:rsid w:val="00441FFE"/>
    <w:rsid w:val="00444A54"/>
    <w:rsid w:val="00445279"/>
    <w:rsid w:val="0045094E"/>
    <w:rsid w:val="00451339"/>
    <w:rsid w:val="00451E71"/>
    <w:rsid w:val="00455298"/>
    <w:rsid w:val="00455553"/>
    <w:rsid w:val="00455B96"/>
    <w:rsid w:val="004570E7"/>
    <w:rsid w:val="0046101B"/>
    <w:rsid w:val="00462AEB"/>
    <w:rsid w:val="0046475B"/>
    <w:rsid w:val="00465D90"/>
    <w:rsid w:val="00466473"/>
    <w:rsid w:val="00466689"/>
    <w:rsid w:val="004668F6"/>
    <w:rsid w:val="004676C3"/>
    <w:rsid w:val="004707D0"/>
    <w:rsid w:val="004711A0"/>
    <w:rsid w:val="00471F89"/>
    <w:rsid w:val="00475D39"/>
    <w:rsid w:val="00476476"/>
    <w:rsid w:val="00477A68"/>
    <w:rsid w:val="00480F84"/>
    <w:rsid w:val="00481FA6"/>
    <w:rsid w:val="00482C3A"/>
    <w:rsid w:val="00484053"/>
    <w:rsid w:val="0048654B"/>
    <w:rsid w:val="00486A6F"/>
    <w:rsid w:val="00486B32"/>
    <w:rsid w:val="00490CB8"/>
    <w:rsid w:val="00490E9B"/>
    <w:rsid w:val="0049133B"/>
    <w:rsid w:val="00493062"/>
    <w:rsid w:val="00497BA0"/>
    <w:rsid w:val="00497C2A"/>
    <w:rsid w:val="004A179F"/>
    <w:rsid w:val="004B33B5"/>
    <w:rsid w:val="004B4405"/>
    <w:rsid w:val="004B509B"/>
    <w:rsid w:val="004B539B"/>
    <w:rsid w:val="004B5AE4"/>
    <w:rsid w:val="004B7772"/>
    <w:rsid w:val="004C01B0"/>
    <w:rsid w:val="004C3A90"/>
    <w:rsid w:val="004C5D19"/>
    <w:rsid w:val="004D1BDA"/>
    <w:rsid w:val="004D416B"/>
    <w:rsid w:val="004D4446"/>
    <w:rsid w:val="004D4D99"/>
    <w:rsid w:val="004D5C54"/>
    <w:rsid w:val="004D626C"/>
    <w:rsid w:val="004E43DD"/>
    <w:rsid w:val="004E51ED"/>
    <w:rsid w:val="004E5A9D"/>
    <w:rsid w:val="004E67ED"/>
    <w:rsid w:val="004F2FA3"/>
    <w:rsid w:val="004F5D25"/>
    <w:rsid w:val="004F6F98"/>
    <w:rsid w:val="004F76BF"/>
    <w:rsid w:val="004F79DE"/>
    <w:rsid w:val="004F7B7B"/>
    <w:rsid w:val="00502BC3"/>
    <w:rsid w:val="00502C3F"/>
    <w:rsid w:val="00503C5F"/>
    <w:rsid w:val="00504DB3"/>
    <w:rsid w:val="00506E8A"/>
    <w:rsid w:val="00510C1C"/>
    <w:rsid w:val="00511970"/>
    <w:rsid w:val="00512244"/>
    <w:rsid w:val="0051272D"/>
    <w:rsid w:val="00513DBC"/>
    <w:rsid w:val="00514E2E"/>
    <w:rsid w:val="00515A03"/>
    <w:rsid w:val="00515F52"/>
    <w:rsid w:val="00516BB6"/>
    <w:rsid w:val="005176FF"/>
    <w:rsid w:val="005208B3"/>
    <w:rsid w:val="00521A62"/>
    <w:rsid w:val="00521CE7"/>
    <w:rsid w:val="0052287E"/>
    <w:rsid w:val="00524296"/>
    <w:rsid w:val="00525007"/>
    <w:rsid w:val="0052533A"/>
    <w:rsid w:val="00532C8E"/>
    <w:rsid w:val="0053305E"/>
    <w:rsid w:val="00533C10"/>
    <w:rsid w:val="005344BB"/>
    <w:rsid w:val="00541281"/>
    <w:rsid w:val="00542209"/>
    <w:rsid w:val="005428DC"/>
    <w:rsid w:val="0054560C"/>
    <w:rsid w:val="00545ED8"/>
    <w:rsid w:val="005465A4"/>
    <w:rsid w:val="005502AC"/>
    <w:rsid w:val="00556045"/>
    <w:rsid w:val="005561AE"/>
    <w:rsid w:val="00560229"/>
    <w:rsid w:val="00562037"/>
    <w:rsid w:val="00562D37"/>
    <w:rsid w:val="00563120"/>
    <w:rsid w:val="00564976"/>
    <w:rsid w:val="00565483"/>
    <w:rsid w:val="00566941"/>
    <w:rsid w:val="0057096E"/>
    <w:rsid w:val="00572002"/>
    <w:rsid w:val="00573E57"/>
    <w:rsid w:val="00575041"/>
    <w:rsid w:val="005779CA"/>
    <w:rsid w:val="005817A0"/>
    <w:rsid w:val="00581EE1"/>
    <w:rsid w:val="00582CAB"/>
    <w:rsid w:val="00585E05"/>
    <w:rsid w:val="00586493"/>
    <w:rsid w:val="005912F2"/>
    <w:rsid w:val="00592667"/>
    <w:rsid w:val="0059269E"/>
    <w:rsid w:val="00592E31"/>
    <w:rsid w:val="00593341"/>
    <w:rsid w:val="00593789"/>
    <w:rsid w:val="005942A7"/>
    <w:rsid w:val="005946CD"/>
    <w:rsid w:val="0059495F"/>
    <w:rsid w:val="00596966"/>
    <w:rsid w:val="00597CED"/>
    <w:rsid w:val="00597F08"/>
    <w:rsid w:val="005A00F7"/>
    <w:rsid w:val="005A0C20"/>
    <w:rsid w:val="005A1474"/>
    <w:rsid w:val="005A2193"/>
    <w:rsid w:val="005A38CD"/>
    <w:rsid w:val="005B2468"/>
    <w:rsid w:val="005C1893"/>
    <w:rsid w:val="005C34ED"/>
    <w:rsid w:val="005C4729"/>
    <w:rsid w:val="005C6023"/>
    <w:rsid w:val="005C6B57"/>
    <w:rsid w:val="005D10AC"/>
    <w:rsid w:val="005D156B"/>
    <w:rsid w:val="005D1CEE"/>
    <w:rsid w:val="005D2036"/>
    <w:rsid w:val="005D2400"/>
    <w:rsid w:val="005D4626"/>
    <w:rsid w:val="005D6F06"/>
    <w:rsid w:val="005D7D8A"/>
    <w:rsid w:val="005E08A5"/>
    <w:rsid w:val="005E1ABA"/>
    <w:rsid w:val="005E2809"/>
    <w:rsid w:val="005E2B34"/>
    <w:rsid w:val="005E4FD9"/>
    <w:rsid w:val="005E5DAF"/>
    <w:rsid w:val="005E61F7"/>
    <w:rsid w:val="005E642A"/>
    <w:rsid w:val="005E6984"/>
    <w:rsid w:val="005F0B55"/>
    <w:rsid w:val="005F122D"/>
    <w:rsid w:val="005F12F6"/>
    <w:rsid w:val="005F4AE2"/>
    <w:rsid w:val="005F5920"/>
    <w:rsid w:val="005F6CE0"/>
    <w:rsid w:val="00605527"/>
    <w:rsid w:val="0061036C"/>
    <w:rsid w:val="00611030"/>
    <w:rsid w:val="00611AB9"/>
    <w:rsid w:val="00613431"/>
    <w:rsid w:val="00613AC2"/>
    <w:rsid w:val="006151E0"/>
    <w:rsid w:val="006153D8"/>
    <w:rsid w:val="00615569"/>
    <w:rsid w:val="00616B64"/>
    <w:rsid w:val="0062001F"/>
    <w:rsid w:val="0062060A"/>
    <w:rsid w:val="00620F1A"/>
    <w:rsid w:val="00622208"/>
    <w:rsid w:val="00622DC8"/>
    <w:rsid w:val="00623606"/>
    <w:rsid w:val="00623BCE"/>
    <w:rsid w:val="00623E1A"/>
    <w:rsid w:val="0062493B"/>
    <w:rsid w:val="006261C0"/>
    <w:rsid w:val="006278AB"/>
    <w:rsid w:val="00630D68"/>
    <w:rsid w:val="006316BF"/>
    <w:rsid w:val="006325A7"/>
    <w:rsid w:val="006338A2"/>
    <w:rsid w:val="006372D1"/>
    <w:rsid w:val="00637F18"/>
    <w:rsid w:val="0064033F"/>
    <w:rsid w:val="00645B16"/>
    <w:rsid w:val="00646728"/>
    <w:rsid w:val="00647B8A"/>
    <w:rsid w:val="006502A0"/>
    <w:rsid w:val="00650C85"/>
    <w:rsid w:val="00652264"/>
    <w:rsid w:val="00652B7B"/>
    <w:rsid w:val="00652D36"/>
    <w:rsid w:val="00663A7B"/>
    <w:rsid w:val="0066751B"/>
    <w:rsid w:val="00671C14"/>
    <w:rsid w:val="00671EB9"/>
    <w:rsid w:val="00672358"/>
    <w:rsid w:val="00673127"/>
    <w:rsid w:val="00673E03"/>
    <w:rsid w:val="0067599C"/>
    <w:rsid w:val="00676627"/>
    <w:rsid w:val="00682D76"/>
    <w:rsid w:val="0068351E"/>
    <w:rsid w:val="006838F1"/>
    <w:rsid w:val="00683E9E"/>
    <w:rsid w:val="0068509F"/>
    <w:rsid w:val="006850AA"/>
    <w:rsid w:val="00686CDB"/>
    <w:rsid w:val="00686D14"/>
    <w:rsid w:val="00686F0E"/>
    <w:rsid w:val="00687C34"/>
    <w:rsid w:val="00690E6E"/>
    <w:rsid w:val="006918AE"/>
    <w:rsid w:val="00693251"/>
    <w:rsid w:val="006932CA"/>
    <w:rsid w:val="00695E0C"/>
    <w:rsid w:val="006960CA"/>
    <w:rsid w:val="006A138D"/>
    <w:rsid w:val="006A151A"/>
    <w:rsid w:val="006A1D9D"/>
    <w:rsid w:val="006A3D35"/>
    <w:rsid w:val="006A5C01"/>
    <w:rsid w:val="006A6DF4"/>
    <w:rsid w:val="006A752A"/>
    <w:rsid w:val="006B093A"/>
    <w:rsid w:val="006B0D58"/>
    <w:rsid w:val="006B124F"/>
    <w:rsid w:val="006B27B6"/>
    <w:rsid w:val="006B3318"/>
    <w:rsid w:val="006B33AD"/>
    <w:rsid w:val="006C05E8"/>
    <w:rsid w:val="006C160C"/>
    <w:rsid w:val="006C1C53"/>
    <w:rsid w:val="006C1DE4"/>
    <w:rsid w:val="006C2695"/>
    <w:rsid w:val="006C2C13"/>
    <w:rsid w:val="006C33F4"/>
    <w:rsid w:val="006C3EC7"/>
    <w:rsid w:val="006C3FAF"/>
    <w:rsid w:val="006C4198"/>
    <w:rsid w:val="006C5722"/>
    <w:rsid w:val="006C6AF2"/>
    <w:rsid w:val="006C6C3E"/>
    <w:rsid w:val="006D1EC0"/>
    <w:rsid w:val="006D2D9D"/>
    <w:rsid w:val="006D5922"/>
    <w:rsid w:val="006D6D8D"/>
    <w:rsid w:val="006D7988"/>
    <w:rsid w:val="006E0DAD"/>
    <w:rsid w:val="006E1B64"/>
    <w:rsid w:val="006E228C"/>
    <w:rsid w:val="006E2F10"/>
    <w:rsid w:val="006E3044"/>
    <w:rsid w:val="006E78AB"/>
    <w:rsid w:val="006E79BC"/>
    <w:rsid w:val="006F600C"/>
    <w:rsid w:val="006F6ED2"/>
    <w:rsid w:val="007008E3"/>
    <w:rsid w:val="00704703"/>
    <w:rsid w:val="0070640F"/>
    <w:rsid w:val="007069DF"/>
    <w:rsid w:val="00710B48"/>
    <w:rsid w:val="007135C3"/>
    <w:rsid w:val="0071397E"/>
    <w:rsid w:val="00713AE7"/>
    <w:rsid w:val="00714E18"/>
    <w:rsid w:val="00715DED"/>
    <w:rsid w:val="0071767F"/>
    <w:rsid w:val="0071770A"/>
    <w:rsid w:val="007201C7"/>
    <w:rsid w:val="007203D3"/>
    <w:rsid w:val="00724E3B"/>
    <w:rsid w:val="0072515B"/>
    <w:rsid w:val="00725613"/>
    <w:rsid w:val="00725F4B"/>
    <w:rsid w:val="0072624B"/>
    <w:rsid w:val="0072661E"/>
    <w:rsid w:val="007266A7"/>
    <w:rsid w:val="00727206"/>
    <w:rsid w:val="007309C2"/>
    <w:rsid w:val="00731B84"/>
    <w:rsid w:val="00732B7D"/>
    <w:rsid w:val="00734541"/>
    <w:rsid w:val="00735027"/>
    <w:rsid w:val="0073602A"/>
    <w:rsid w:val="00737850"/>
    <w:rsid w:val="00740DFB"/>
    <w:rsid w:val="00741440"/>
    <w:rsid w:val="007432F8"/>
    <w:rsid w:val="0074411F"/>
    <w:rsid w:val="00744449"/>
    <w:rsid w:val="00745856"/>
    <w:rsid w:val="00746FF8"/>
    <w:rsid w:val="00752075"/>
    <w:rsid w:val="0075257C"/>
    <w:rsid w:val="007529F1"/>
    <w:rsid w:val="007633E1"/>
    <w:rsid w:val="00764E1E"/>
    <w:rsid w:val="00765EAD"/>
    <w:rsid w:val="00766808"/>
    <w:rsid w:val="00767CC3"/>
    <w:rsid w:val="00770B55"/>
    <w:rsid w:val="00771494"/>
    <w:rsid w:val="007731EB"/>
    <w:rsid w:val="00774670"/>
    <w:rsid w:val="0077573D"/>
    <w:rsid w:val="0077597A"/>
    <w:rsid w:val="007803CD"/>
    <w:rsid w:val="007818A8"/>
    <w:rsid w:val="00782A2B"/>
    <w:rsid w:val="007847F9"/>
    <w:rsid w:val="00784EDC"/>
    <w:rsid w:val="0078525A"/>
    <w:rsid w:val="00785971"/>
    <w:rsid w:val="007907B8"/>
    <w:rsid w:val="00790FB6"/>
    <w:rsid w:val="007918BA"/>
    <w:rsid w:val="0079309C"/>
    <w:rsid w:val="007936F1"/>
    <w:rsid w:val="00794233"/>
    <w:rsid w:val="00794D30"/>
    <w:rsid w:val="0079644D"/>
    <w:rsid w:val="00797321"/>
    <w:rsid w:val="007A097C"/>
    <w:rsid w:val="007A1301"/>
    <w:rsid w:val="007A1CD2"/>
    <w:rsid w:val="007A348E"/>
    <w:rsid w:val="007A4E3A"/>
    <w:rsid w:val="007A522F"/>
    <w:rsid w:val="007A56A5"/>
    <w:rsid w:val="007A5E89"/>
    <w:rsid w:val="007B3B4F"/>
    <w:rsid w:val="007B5D52"/>
    <w:rsid w:val="007B6094"/>
    <w:rsid w:val="007B64CB"/>
    <w:rsid w:val="007B702B"/>
    <w:rsid w:val="007B7E38"/>
    <w:rsid w:val="007C00A9"/>
    <w:rsid w:val="007C18FC"/>
    <w:rsid w:val="007C1F73"/>
    <w:rsid w:val="007C2DD7"/>
    <w:rsid w:val="007C3A3F"/>
    <w:rsid w:val="007C3F85"/>
    <w:rsid w:val="007D36E4"/>
    <w:rsid w:val="007D3C0D"/>
    <w:rsid w:val="007D5326"/>
    <w:rsid w:val="007D5C60"/>
    <w:rsid w:val="007D6B07"/>
    <w:rsid w:val="007E18F1"/>
    <w:rsid w:val="007E4414"/>
    <w:rsid w:val="007E4731"/>
    <w:rsid w:val="007E4E01"/>
    <w:rsid w:val="007E6410"/>
    <w:rsid w:val="007E6C8E"/>
    <w:rsid w:val="007E7A4C"/>
    <w:rsid w:val="007F4D06"/>
    <w:rsid w:val="007F589C"/>
    <w:rsid w:val="007F70E0"/>
    <w:rsid w:val="007F7BF3"/>
    <w:rsid w:val="00801EB1"/>
    <w:rsid w:val="008021B1"/>
    <w:rsid w:val="00803531"/>
    <w:rsid w:val="008035FC"/>
    <w:rsid w:val="00804418"/>
    <w:rsid w:val="00804839"/>
    <w:rsid w:val="00805B9D"/>
    <w:rsid w:val="0080621A"/>
    <w:rsid w:val="00807023"/>
    <w:rsid w:val="0081000A"/>
    <w:rsid w:val="00810B1D"/>
    <w:rsid w:val="008139A1"/>
    <w:rsid w:val="00820B22"/>
    <w:rsid w:val="00822F97"/>
    <w:rsid w:val="008259F5"/>
    <w:rsid w:val="00825BB4"/>
    <w:rsid w:val="008313C6"/>
    <w:rsid w:val="00831DA4"/>
    <w:rsid w:val="00832CF6"/>
    <w:rsid w:val="008369B1"/>
    <w:rsid w:val="00841E1C"/>
    <w:rsid w:val="008422D7"/>
    <w:rsid w:val="00843627"/>
    <w:rsid w:val="00843F25"/>
    <w:rsid w:val="008448DC"/>
    <w:rsid w:val="0084666F"/>
    <w:rsid w:val="008478BF"/>
    <w:rsid w:val="00855546"/>
    <w:rsid w:val="0085571B"/>
    <w:rsid w:val="00856E9C"/>
    <w:rsid w:val="00857556"/>
    <w:rsid w:val="0085775F"/>
    <w:rsid w:val="00861727"/>
    <w:rsid w:val="00862711"/>
    <w:rsid w:val="0086314B"/>
    <w:rsid w:val="00863B33"/>
    <w:rsid w:val="008642DB"/>
    <w:rsid w:val="008646F4"/>
    <w:rsid w:val="008650AA"/>
    <w:rsid w:val="008656C4"/>
    <w:rsid w:val="00866165"/>
    <w:rsid w:val="00870015"/>
    <w:rsid w:val="00870743"/>
    <w:rsid w:val="00871674"/>
    <w:rsid w:val="00872B47"/>
    <w:rsid w:val="00874300"/>
    <w:rsid w:val="00874DE2"/>
    <w:rsid w:val="008760A6"/>
    <w:rsid w:val="008764AC"/>
    <w:rsid w:val="0087655A"/>
    <w:rsid w:val="00876683"/>
    <w:rsid w:val="00877428"/>
    <w:rsid w:val="0088018F"/>
    <w:rsid w:val="00883861"/>
    <w:rsid w:val="00884995"/>
    <w:rsid w:val="00884DAE"/>
    <w:rsid w:val="00887E18"/>
    <w:rsid w:val="008904D1"/>
    <w:rsid w:val="00896DA1"/>
    <w:rsid w:val="00897F37"/>
    <w:rsid w:val="008A18EA"/>
    <w:rsid w:val="008A1C86"/>
    <w:rsid w:val="008A30A6"/>
    <w:rsid w:val="008A7973"/>
    <w:rsid w:val="008B24F1"/>
    <w:rsid w:val="008B7C35"/>
    <w:rsid w:val="008C0595"/>
    <w:rsid w:val="008C1EB6"/>
    <w:rsid w:val="008C2552"/>
    <w:rsid w:val="008C2FA1"/>
    <w:rsid w:val="008C35EC"/>
    <w:rsid w:val="008C3797"/>
    <w:rsid w:val="008C41EA"/>
    <w:rsid w:val="008D0EC0"/>
    <w:rsid w:val="008D564E"/>
    <w:rsid w:val="008D5A31"/>
    <w:rsid w:val="008D63DC"/>
    <w:rsid w:val="008D798F"/>
    <w:rsid w:val="008E0D98"/>
    <w:rsid w:val="008E174A"/>
    <w:rsid w:val="008E1D99"/>
    <w:rsid w:val="008E20BF"/>
    <w:rsid w:val="008E2E52"/>
    <w:rsid w:val="008E3CD8"/>
    <w:rsid w:val="008E3EA2"/>
    <w:rsid w:val="008E481B"/>
    <w:rsid w:val="008E492B"/>
    <w:rsid w:val="008E50C4"/>
    <w:rsid w:val="008E557B"/>
    <w:rsid w:val="008E5ADE"/>
    <w:rsid w:val="008E7B0E"/>
    <w:rsid w:val="008F2CD3"/>
    <w:rsid w:val="008F5E54"/>
    <w:rsid w:val="008F6960"/>
    <w:rsid w:val="00901ABD"/>
    <w:rsid w:val="00901F51"/>
    <w:rsid w:val="009027B9"/>
    <w:rsid w:val="00903658"/>
    <w:rsid w:val="00904275"/>
    <w:rsid w:val="00904725"/>
    <w:rsid w:val="009069C9"/>
    <w:rsid w:val="00907721"/>
    <w:rsid w:val="009147D6"/>
    <w:rsid w:val="0091587B"/>
    <w:rsid w:val="0091673B"/>
    <w:rsid w:val="0091707B"/>
    <w:rsid w:val="0092254A"/>
    <w:rsid w:val="00923481"/>
    <w:rsid w:val="00925702"/>
    <w:rsid w:val="00926E48"/>
    <w:rsid w:val="00931079"/>
    <w:rsid w:val="00931E25"/>
    <w:rsid w:val="009322C7"/>
    <w:rsid w:val="00936AF4"/>
    <w:rsid w:val="00936D2B"/>
    <w:rsid w:val="009373E9"/>
    <w:rsid w:val="009412C1"/>
    <w:rsid w:val="0094245A"/>
    <w:rsid w:val="00942C19"/>
    <w:rsid w:val="00943C54"/>
    <w:rsid w:val="009447C6"/>
    <w:rsid w:val="0094631A"/>
    <w:rsid w:val="0094779B"/>
    <w:rsid w:val="00947F07"/>
    <w:rsid w:val="00951B95"/>
    <w:rsid w:val="00951CE9"/>
    <w:rsid w:val="00952749"/>
    <w:rsid w:val="009556B8"/>
    <w:rsid w:val="00957249"/>
    <w:rsid w:val="00957596"/>
    <w:rsid w:val="009605CB"/>
    <w:rsid w:val="0096245A"/>
    <w:rsid w:val="009645AE"/>
    <w:rsid w:val="00966174"/>
    <w:rsid w:val="0096631E"/>
    <w:rsid w:val="00970E42"/>
    <w:rsid w:val="009728AC"/>
    <w:rsid w:val="00975C67"/>
    <w:rsid w:val="00977220"/>
    <w:rsid w:val="00977827"/>
    <w:rsid w:val="00980CF0"/>
    <w:rsid w:val="0098121E"/>
    <w:rsid w:val="00981BD5"/>
    <w:rsid w:val="00982827"/>
    <w:rsid w:val="00982F1C"/>
    <w:rsid w:val="00983C4D"/>
    <w:rsid w:val="009843E2"/>
    <w:rsid w:val="009862C3"/>
    <w:rsid w:val="009872CB"/>
    <w:rsid w:val="00987A4F"/>
    <w:rsid w:val="00990A83"/>
    <w:rsid w:val="00990E6E"/>
    <w:rsid w:val="00991AA0"/>
    <w:rsid w:val="00995728"/>
    <w:rsid w:val="009967A9"/>
    <w:rsid w:val="009972A1"/>
    <w:rsid w:val="009A1D79"/>
    <w:rsid w:val="009A3808"/>
    <w:rsid w:val="009A6970"/>
    <w:rsid w:val="009A7227"/>
    <w:rsid w:val="009B00D7"/>
    <w:rsid w:val="009B0EDE"/>
    <w:rsid w:val="009B198F"/>
    <w:rsid w:val="009B3DA0"/>
    <w:rsid w:val="009C2781"/>
    <w:rsid w:val="009C2F5B"/>
    <w:rsid w:val="009C3C84"/>
    <w:rsid w:val="009C47BB"/>
    <w:rsid w:val="009D0CE8"/>
    <w:rsid w:val="009D4472"/>
    <w:rsid w:val="009D60C9"/>
    <w:rsid w:val="009D6C37"/>
    <w:rsid w:val="009D6C9F"/>
    <w:rsid w:val="009D70EC"/>
    <w:rsid w:val="009E043A"/>
    <w:rsid w:val="009E0762"/>
    <w:rsid w:val="009E1B62"/>
    <w:rsid w:val="009E27D3"/>
    <w:rsid w:val="009E4E3B"/>
    <w:rsid w:val="009E6626"/>
    <w:rsid w:val="009E7027"/>
    <w:rsid w:val="009E7A40"/>
    <w:rsid w:val="009F02C0"/>
    <w:rsid w:val="009F108B"/>
    <w:rsid w:val="009F3E21"/>
    <w:rsid w:val="009F57D3"/>
    <w:rsid w:val="009F5C93"/>
    <w:rsid w:val="009F6369"/>
    <w:rsid w:val="009F7953"/>
    <w:rsid w:val="00A0049B"/>
    <w:rsid w:val="00A00E2D"/>
    <w:rsid w:val="00A041BD"/>
    <w:rsid w:val="00A0485B"/>
    <w:rsid w:val="00A05F03"/>
    <w:rsid w:val="00A06529"/>
    <w:rsid w:val="00A106F0"/>
    <w:rsid w:val="00A1286B"/>
    <w:rsid w:val="00A13CCB"/>
    <w:rsid w:val="00A1405C"/>
    <w:rsid w:val="00A2177E"/>
    <w:rsid w:val="00A21EDB"/>
    <w:rsid w:val="00A22D93"/>
    <w:rsid w:val="00A243F4"/>
    <w:rsid w:val="00A26321"/>
    <w:rsid w:val="00A269EB"/>
    <w:rsid w:val="00A26ADD"/>
    <w:rsid w:val="00A2764D"/>
    <w:rsid w:val="00A30029"/>
    <w:rsid w:val="00A30E2E"/>
    <w:rsid w:val="00A31225"/>
    <w:rsid w:val="00A32A18"/>
    <w:rsid w:val="00A33A66"/>
    <w:rsid w:val="00A33D5B"/>
    <w:rsid w:val="00A355CF"/>
    <w:rsid w:val="00A3585F"/>
    <w:rsid w:val="00A361B5"/>
    <w:rsid w:val="00A36292"/>
    <w:rsid w:val="00A42AC1"/>
    <w:rsid w:val="00A441AF"/>
    <w:rsid w:val="00A441EE"/>
    <w:rsid w:val="00A44FFD"/>
    <w:rsid w:val="00A462DE"/>
    <w:rsid w:val="00A479EC"/>
    <w:rsid w:val="00A52FC1"/>
    <w:rsid w:val="00A5353A"/>
    <w:rsid w:val="00A540F3"/>
    <w:rsid w:val="00A54C08"/>
    <w:rsid w:val="00A55A1E"/>
    <w:rsid w:val="00A61EB6"/>
    <w:rsid w:val="00A6296E"/>
    <w:rsid w:val="00A63EE9"/>
    <w:rsid w:val="00A64B41"/>
    <w:rsid w:val="00A64DBD"/>
    <w:rsid w:val="00A70785"/>
    <w:rsid w:val="00A7097D"/>
    <w:rsid w:val="00A70BA5"/>
    <w:rsid w:val="00A71155"/>
    <w:rsid w:val="00A712C0"/>
    <w:rsid w:val="00A71EE6"/>
    <w:rsid w:val="00A71FEB"/>
    <w:rsid w:val="00A72725"/>
    <w:rsid w:val="00A72756"/>
    <w:rsid w:val="00A74661"/>
    <w:rsid w:val="00A748E9"/>
    <w:rsid w:val="00A75DEB"/>
    <w:rsid w:val="00A76068"/>
    <w:rsid w:val="00A76322"/>
    <w:rsid w:val="00A76441"/>
    <w:rsid w:val="00A80B66"/>
    <w:rsid w:val="00A81B65"/>
    <w:rsid w:val="00A842F5"/>
    <w:rsid w:val="00A84B2A"/>
    <w:rsid w:val="00A8509C"/>
    <w:rsid w:val="00A8527A"/>
    <w:rsid w:val="00A86693"/>
    <w:rsid w:val="00A87537"/>
    <w:rsid w:val="00A93C9D"/>
    <w:rsid w:val="00A96319"/>
    <w:rsid w:val="00A9649F"/>
    <w:rsid w:val="00A97E6E"/>
    <w:rsid w:val="00AA16C5"/>
    <w:rsid w:val="00AA5773"/>
    <w:rsid w:val="00AA7142"/>
    <w:rsid w:val="00AB06BE"/>
    <w:rsid w:val="00AB09A3"/>
    <w:rsid w:val="00AB1D69"/>
    <w:rsid w:val="00AB2CA2"/>
    <w:rsid w:val="00AB42F9"/>
    <w:rsid w:val="00AB5B8F"/>
    <w:rsid w:val="00AB637F"/>
    <w:rsid w:val="00AB6C1E"/>
    <w:rsid w:val="00AB70E4"/>
    <w:rsid w:val="00AC0B9E"/>
    <w:rsid w:val="00AC1B7C"/>
    <w:rsid w:val="00AC796A"/>
    <w:rsid w:val="00AD03CB"/>
    <w:rsid w:val="00AD12BD"/>
    <w:rsid w:val="00AD35F2"/>
    <w:rsid w:val="00AD3B0D"/>
    <w:rsid w:val="00AD458D"/>
    <w:rsid w:val="00AD58B8"/>
    <w:rsid w:val="00AE00FF"/>
    <w:rsid w:val="00AE0A2E"/>
    <w:rsid w:val="00AE1227"/>
    <w:rsid w:val="00AE20CC"/>
    <w:rsid w:val="00AE3164"/>
    <w:rsid w:val="00AE3817"/>
    <w:rsid w:val="00AE3F09"/>
    <w:rsid w:val="00AE777D"/>
    <w:rsid w:val="00AF04B7"/>
    <w:rsid w:val="00AF08C5"/>
    <w:rsid w:val="00AF173A"/>
    <w:rsid w:val="00AF1A52"/>
    <w:rsid w:val="00AF2E40"/>
    <w:rsid w:val="00AF3DDA"/>
    <w:rsid w:val="00AF4FBD"/>
    <w:rsid w:val="00AF66FD"/>
    <w:rsid w:val="00AF6748"/>
    <w:rsid w:val="00AF6C4B"/>
    <w:rsid w:val="00AF7805"/>
    <w:rsid w:val="00B00DCE"/>
    <w:rsid w:val="00B01414"/>
    <w:rsid w:val="00B126DF"/>
    <w:rsid w:val="00B132A1"/>
    <w:rsid w:val="00B134C9"/>
    <w:rsid w:val="00B143C1"/>
    <w:rsid w:val="00B1533C"/>
    <w:rsid w:val="00B16B90"/>
    <w:rsid w:val="00B20BAC"/>
    <w:rsid w:val="00B21345"/>
    <w:rsid w:val="00B22890"/>
    <w:rsid w:val="00B26F7B"/>
    <w:rsid w:val="00B322AC"/>
    <w:rsid w:val="00B32FD1"/>
    <w:rsid w:val="00B35219"/>
    <w:rsid w:val="00B3795C"/>
    <w:rsid w:val="00B40915"/>
    <w:rsid w:val="00B42849"/>
    <w:rsid w:val="00B44229"/>
    <w:rsid w:val="00B4444C"/>
    <w:rsid w:val="00B46543"/>
    <w:rsid w:val="00B524E6"/>
    <w:rsid w:val="00B52602"/>
    <w:rsid w:val="00B5291F"/>
    <w:rsid w:val="00B546B2"/>
    <w:rsid w:val="00B546C7"/>
    <w:rsid w:val="00B60B68"/>
    <w:rsid w:val="00B61C9D"/>
    <w:rsid w:val="00B63F4A"/>
    <w:rsid w:val="00B64298"/>
    <w:rsid w:val="00B645EB"/>
    <w:rsid w:val="00B662CB"/>
    <w:rsid w:val="00B72933"/>
    <w:rsid w:val="00B72B9A"/>
    <w:rsid w:val="00B7382A"/>
    <w:rsid w:val="00B73873"/>
    <w:rsid w:val="00B74415"/>
    <w:rsid w:val="00B75931"/>
    <w:rsid w:val="00B7677C"/>
    <w:rsid w:val="00B810DB"/>
    <w:rsid w:val="00B82D8F"/>
    <w:rsid w:val="00B842BB"/>
    <w:rsid w:val="00B84E84"/>
    <w:rsid w:val="00B85220"/>
    <w:rsid w:val="00B872D8"/>
    <w:rsid w:val="00B8794F"/>
    <w:rsid w:val="00B901EB"/>
    <w:rsid w:val="00B917F7"/>
    <w:rsid w:val="00B918CA"/>
    <w:rsid w:val="00B94016"/>
    <w:rsid w:val="00B94B98"/>
    <w:rsid w:val="00B9663F"/>
    <w:rsid w:val="00B96B5D"/>
    <w:rsid w:val="00BA038E"/>
    <w:rsid w:val="00BA2C1C"/>
    <w:rsid w:val="00BA3275"/>
    <w:rsid w:val="00BA4573"/>
    <w:rsid w:val="00BA5434"/>
    <w:rsid w:val="00BA5561"/>
    <w:rsid w:val="00BB192E"/>
    <w:rsid w:val="00BB4E16"/>
    <w:rsid w:val="00BB7403"/>
    <w:rsid w:val="00BC0102"/>
    <w:rsid w:val="00BC0DCB"/>
    <w:rsid w:val="00BC1C47"/>
    <w:rsid w:val="00BC4126"/>
    <w:rsid w:val="00BC495C"/>
    <w:rsid w:val="00BC6272"/>
    <w:rsid w:val="00BC6A53"/>
    <w:rsid w:val="00BD0303"/>
    <w:rsid w:val="00BD1BCD"/>
    <w:rsid w:val="00BD2773"/>
    <w:rsid w:val="00BD44EF"/>
    <w:rsid w:val="00BD4CCE"/>
    <w:rsid w:val="00BD594D"/>
    <w:rsid w:val="00BD64FD"/>
    <w:rsid w:val="00BE0A72"/>
    <w:rsid w:val="00BE4775"/>
    <w:rsid w:val="00BE4B5C"/>
    <w:rsid w:val="00BE65B0"/>
    <w:rsid w:val="00BE6F44"/>
    <w:rsid w:val="00BE7C05"/>
    <w:rsid w:val="00BF09D7"/>
    <w:rsid w:val="00BF202A"/>
    <w:rsid w:val="00BF278C"/>
    <w:rsid w:val="00BF41C9"/>
    <w:rsid w:val="00BF53DA"/>
    <w:rsid w:val="00BF544A"/>
    <w:rsid w:val="00BF61D3"/>
    <w:rsid w:val="00BF68B5"/>
    <w:rsid w:val="00BF7050"/>
    <w:rsid w:val="00BF7F59"/>
    <w:rsid w:val="00C00B9C"/>
    <w:rsid w:val="00C01203"/>
    <w:rsid w:val="00C04017"/>
    <w:rsid w:val="00C04C71"/>
    <w:rsid w:val="00C06D24"/>
    <w:rsid w:val="00C0731B"/>
    <w:rsid w:val="00C108EB"/>
    <w:rsid w:val="00C11CE9"/>
    <w:rsid w:val="00C12033"/>
    <w:rsid w:val="00C126F4"/>
    <w:rsid w:val="00C1379D"/>
    <w:rsid w:val="00C14712"/>
    <w:rsid w:val="00C15D3D"/>
    <w:rsid w:val="00C171CF"/>
    <w:rsid w:val="00C21C21"/>
    <w:rsid w:val="00C24A27"/>
    <w:rsid w:val="00C255D7"/>
    <w:rsid w:val="00C2585B"/>
    <w:rsid w:val="00C25FB2"/>
    <w:rsid w:val="00C266D0"/>
    <w:rsid w:val="00C27968"/>
    <w:rsid w:val="00C30756"/>
    <w:rsid w:val="00C3130D"/>
    <w:rsid w:val="00C31C4D"/>
    <w:rsid w:val="00C34ACD"/>
    <w:rsid w:val="00C35CEA"/>
    <w:rsid w:val="00C36EAB"/>
    <w:rsid w:val="00C36F20"/>
    <w:rsid w:val="00C37A21"/>
    <w:rsid w:val="00C411ED"/>
    <w:rsid w:val="00C43005"/>
    <w:rsid w:val="00C4310B"/>
    <w:rsid w:val="00C43750"/>
    <w:rsid w:val="00C45B38"/>
    <w:rsid w:val="00C46CD7"/>
    <w:rsid w:val="00C523E1"/>
    <w:rsid w:val="00C52986"/>
    <w:rsid w:val="00C52E19"/>
    <w:rsid w:val="00C52FCB"/>
    <w:rsid w:val="00C53635"/>
    <w:rsid w:val="00C53CB1"/>
    <w:rsid w:val="00C5582E"/>
    <w:rsid w:val="00C55CDF"/>
    <w:rsid w:val="00C57A4A"/>
    <w:rsid w:val="00C57B2E"/>
    <w:rsid w:val="00C57EDA"/>
    <w:rsid w:val="00C61262"/>
    <w:rsid w:val="00C62BCC"/>
    <w:rsid w:val="00C64042"/>
    <w:rsid w:val="00C64669"/>
    <w:rsid w:val="00C669F2"/>
    <w:rsid w:val="00C66EEA"/>
    <w:rsid w:val="00C67053"/>
    <w:rsid w:val="00C675B7"/>
    <w:rsid w:val="00C73F20"/>
    <w:rsid w:val="00C7408A"/>
    <w:rsid w:val="00C76386"/>
    <w:rsid w:val="00C80723"/>
    <w:rsid w:val="00C80E0E"/>
    <w:rsid w:val="00C81FDF"/>
    <w:rsid w:val="00C823A2"/>
    <w:rsid w:val="00C830C2"/>
    <w:rsid w:val="00C84221"/>
    <w:rsid w:val="00C842B4"/>
    <w:rsid w:val="00C845A5"/>
    <w:rsid w:val="00C84C60"/>
    <w:rsid w:val="00C86961"/>
    <w:rsid w:val="00C86968"/>
    <w:rsid w:val="00C86DB5"/>
    <w:rsid w:val="00C878DC"/>
    <w:rsid w:val="00C9037B"/>
    <w:rsid w:val="00C920EA"/>
    <w:rsid w:val="00C92457"/>
    <w:rsid w:val="00C93EFC"/>
    <w:rsid w:val="00C9411B"/>
    <w:rsid w:val="00C94151"/>
    <w:rsid w:val="00C942EC"/>
    <w:rsid w:val="00C945CD"/>
    <w:rsid w:val="00CA023B"/>
    <w:rsid w:val="00CA1A8B"/>
    <w:rsid w:val="00CA272C"/>
    <w:rsid w:val="00CA2F5A"/>
    <w:rsid w:val="00CA6DEE"/>
    <w:rsid w:val="00CB4AB1"/>
    <w:rsid w:val="00CB642A"/>
    <w:rsid w:val="00CB7D0D"/>
    <w:rsid w:val="00CC0F82"/>
    <w:rsid w:val="00CC3EE2"/>
    <w:rsid w:val="00CC6992"/>
    <w:rsid w:val="00CD052A"/>
    <w:rsid w:val="00CD370E"/>
    <w:rsid w:val="00CD4C21"/>
    <w:rsid w:val="00CD588B"/>
    <w:rsid w:val="00CD6629"/>
    <w:rsid w:val="00CD6C67"/>
    <w:rsid w:val="00CD6DF9"/>
    <w:rsid w:val="00CD7AE7"/>
    <w:rsid w:val="00CE0463"/>
    <w:rsid w:val="00CE08F1"/>
    <w:rsid w:val="00CE143B"/>
    <w:rsid w:val="00CE1F0B"/>
    <w:rsid w:val="00CE4734"/>
    <w:rsid w:val="00CE512F"/>
    <w:rsid w:val="00CE7B46"/>
    <w:rsid w:val="00CE7D1F"/>
    <w:rsid w:val="00CF2037"/>
    <w:rsid w:val="00CF2118"/>
    <w:rsid w:val="00CF2169"/>
    <w:rsid w:val="00CF2EE4"/>
    <w:rsid w:val="00CF2F85"/>
    <w:rsid w:val="00CF390C"/>
    <w:rsid w:val="00CF3E0A"/>
    <w:rsid w:val="00CF4A40"/>
    <w:rsid w:val="00CF4BAD"/>
    <w:rsid w:val="00CF6522"/>
    <w:rsid w:val="00CF7D91"/>
    <w:rsid w:val="00D00CB2"/>
    <w:rsid w:val="00D01559"/>
    <w:rsid w:val="00D01B2B"/>
    <w:rsid w:val="00D02995"/>
    <w:rsid w:val="00D02AB1"/>
    <w:rsid w:val="00D03610"/>
    <w:rsid w:val="00D05067"/>
    <w:rsid w:val="00D053C2"/>
    <w:rsid w:val="00D064D1"/>
    <w:rsid w:val="00D10889"/>
    <w:rsid w:val="00D115BE"/>
    <w:rsid w:val="00D12FE1"/>
    <w:rsid w:val="00D13389"/>
    <w:rsid w:val="00D1415B"/>
    <w:rsid w:val="00D14ABB"/>
    <w:rsid w:val="00D16E16"/>
    <w:rsid w:val="00D20298"/>
    <w:rsid w:val="00D24067"/>
    <w:rsid w:val="00D2466A"/>
    <w:rsid w:val="00D261B4"/>
    <w:rsid w:val="00D26209"/>
    <w:rsid w:val="00D33BB4"/>
    <w:rsid w:val="00D353B7"/>
    <w:rsid w:val="00D35B2C"/>
    <w:rsid w:val="00D35C49"/>
    <w:rsid w:val="00D368ED"/>
    <w:rsid w:val="00D442F5"/>
    <w:rsid w:val="00D5269B"/>
    <w:rsid w:val="00D533AE"/>
    <w:rsid w:val="00D55396"/>
    <w:rsid w:val="00D55EC6"/>
    <w:rsid w:val="00D6032E"/>
    <w:rsid w:val="00D609C9"/>
    <w:rsid w:val="00D63737"/>
    <w:rsid w:val="00D638CE"/>
    <w:rsid w:val="00D66C5A"/>
    <w:rsid w:val="00D67CE9"/>
    <w:rsid w:val="00D707DF"/>
    <w:rsid w:val="00D70C3C"/>
    <w:rsid w:val="00D71919"/>
    <w:rsid w:val="00D72047"/>
    <w:rsid w:val="00D74A04"/>
    <w:rsid w:val="00D76DBC"/>
    <w:rsid w:val="00D85ADD"/>
    <w:rsid w:val="00D86799"/>
    <w:rsid w:val="00D876CC"/>
    <w:rsid w:val="00D91328"/>
    <w:rsid w:val="00D91A39"/>
    <w:rsid w:val="00D92BCB"/>
    <w:rsid w:val="00D93AD6"/>
    <w:rsid w:val="00DA1139"/>
    <w:rsid w:val="00DA2E1E"/>
    <w:rsid w:val="00DA3FF2"/>
    <w:rsid w:val="00DA50A4"/>
    <w:rsid w:val="00DA6539"/>
    <w:rsid w:val="00DA716A"/>
    <w:rsid w:val="00DA7718"/>
    <w:rsid w:val="00DA784A"/>
    <w:rsid w:val="00DB1C95"/>
    <w:rsid w:val="00DB286E"/>
    <w:rsid w:val="00DB2F9F"/>
    <w:rsid w:val="00DB35B7"/>
    <w:rsid w:val="00DB45BF"/>
    <w:rsid w:val="00DB4DCD"/>
    <w:rsid w:val="00DB504C"/>
    <w:rsid w:val="00DB5E34"/>
    <w:rsid w:val="00DB68FF"/>
    <w:rsid w:val="00DB773A"/>
    <w:rsid w:val="00DC0A2A"/>
    <w:rsid w:val="00DC21D7"/>
    <w:rsid w:val="00DC23F0"/>
    <w:rsid w:val="00DC5651"/>
    <w:rsid w:val="00DD069C"/>
    <w:rsid w:val="00DD0E02"/>
    <w:rsid w:val="00DD2117"/>
    <w:rsid w:val="00DD23CD"/>
    <w:rsid w:val="00DD2509"/>
    <w:rsid w:val="00DD3F51"/>
    <w:rsid w:val="00DD6F39"/>
    <w:rsid w:val="00DD7AA6"/>
    <w:rsid w:val="00DE2E88"/>
    <w:rsid w:val="00DE46DB"/>
    <w:rsid w:val="00DE552B"/>
    <w:rsid w:val="00DE7246"/>
    <w:rsid w:val="00DF0647"/>
    <w:rsid w:val="00DF2800"/>
    <w:rsid w:val="00DF3C3C"/>
    <w:rsid w:val="00DF3D26"/>
    <w:rsid w:val="00DF4F5E"/>
    <w:rsid w:val="00DF5656"/>
    <w:rsid w:val="00DF6E99"/>
    <w:rsid w:val="00E0031A"/>
    <w:rsid w:val="00E033CB"/>
    <w:rsid w:val="00E0403A"/>
    <w:rsid w:val="00E05630"/>
    <w:rsid w:val="00E074A4"/>
    <w:rsid w:val="00E107A4"/>
    <w:rsid w:val="00E10FC0"/>
    <w:rsid w:val="00E13CA8"/>
    <w:rsid w:val="00E1593E"/>
    <w:rsid w:val="00E16894"/>
    <w:rsid w:val="00E17FBA"/>
    <w:rsid w:val="00E20A20"/>
    <w:rsid w:val="00E21C93"/>
    <w:rsid w:val="00E22946"/>
    <w:rsid w:val="00E266BB"/>
    <w:rsid w:val="00E26939"/>
    <w:rsid w:val="00E26DE6"/>
    <w:rsid w:val="00E27B87"/>
    <w:rsid w:val="00E27CA6"/>
    <w:rsid w:val="00E33092"/>
    <w:rsid w:val="00E33D79"/>
    <w:rsid w:val="00E35778"/>
    <w:rsid w:val="00E376D3"/>
    <w:rsid w:val="00E4074E"/>
    <w:rsid w:val="00E42421"/>
    <w:rsid w:val="00E42799"/>
    <w:rsid w:val="00E4327A"/>
    <w:rsid w:val="00E50483"/>
    <w:rsid w:val="00E51F63"/>
    <w:rsid w:val="00E55670"/>
    <w:rsid w:val="00E558DF"/>
    <w:rsid w:val="00E55EE2"/>
    <w:rsid w:val="00E56A89"/>
    <w:rsid w:val="00E60FA6"/>
    <w:rsid w:val="00E610A7"/>
    <w:rsid w:val="00E663D8"/>
    <w:rsid w:val="00E67830"/>
    <w:rsid w:val="00E70882"/>
    <w:rsid w:val="00E7172E"/>
    <w:rsid w:val="00E85439"/>
    <w:rsid w:val="00E8575C"/>
    <w:rsid w:val="00E90183"/>
    <w:rsid w:val="00E912B0"/>
    <w:rsid w:val="00E94F92"/>
    <w:rsid w:val="00E97847"/>
    <w:rsid w:val="00EA0F12"/>
    <w:rsid w:val="00EA1EAB"/>
    <w:rsid w:val="00EA315D"/>
    <w:rsid w:val="00EA3214"/>
    <w:rsid w:val="00EA5757"/>
    <w:rsid w:val="00EA70E8"/>
    <w:rsid w:val="00EA7D9C"/>
    <w:rsid w:val="00EA7FDA"/>
    <w:rsid w:val="00EB1F1A"/>
    <w:rsid w:val="00EB283D"/>
    <w:rsid w:val="00EB590C"/>
    <w:rsid w:val="00EB6080"/>
    <w:rsid w:val="00EB7407"/>
    <w:rsid w:val="00EC3AD6"/>
    <w:rsid w:val="00EC41B4"/>
    <w:rsid w:val="00EC41CF"/>
    <w:rsid w:val="00EC5166"/>
    <w:rsid w:val="00EC60B6"/>
    <w:rsid w:val="00EC7F1D"/>
    <w:rsid w:val="00ED2C5F"/>
    <w:rsid w:val="00ED45AE"/>
    <w:rsid w:val="00ED5369"/>
    <w:rsid w:val="00ED59BD"/>
    <w:rsid w:val="00ED7BC3"/>
    <w:rsid w:val="00EE10FF"/>
    <w:rsid w:val="00EE1B37"/>
    <w:rsid w:val="00EE48E8"/>
    <w:rsid w:val="00EE4CE8"/>
    <w:rsid w:val="00EE5F1C"/>
    <w:rsid w:val="00EE70FE"/>
    <w:rsid w:val="00EE748B"/>
    <w:rsid w:val="00EF01D1"/>
    <w:rsid w:val="00EF0E48"/>
    <w:rsid w:val="00EF30C8"/>
    <w:rsid w:val="00EF37CB"/>
    <w:rsid w:val="00EF4382"/>
    <w:rsid w:val="00EF4528"/>
    <w:rsid w:val="00EF4D2B"/>
    <w:rsid w:val="00EF585F"/>
    <w:rsid w:val="00EF7CA9"/>
    <w:rsid w:val="00EF7DAF"/>
    <w:rsid w:val="00F00E88"/>
    <w:rsid w:val="00F03D57"/>
    <w:rsid w:val="00F04A61"/>
    <w:rsid w:val="00F04B2A"/>
    <w:rsid w:val="00F06381"/>
    <w:rsid w:val="00F06DF0"/>
    <w:rsid w:val="00F10F65"/>
    <w:rsid w:val="00F11F88"/>
    <w:rsid w:val="00F149EA"/>
    <w:rsid w:val="00F154C7"/>
    <w:rsid w:val="00F15CDF"/>
    <w:rsid w:val="00F17000"/>
    <w:rsid w:val="00F20E8C"/>
    <w:rsid w:val="00F217CC"/>
    <w:rsid w:val="00F22BAC"/>
    <w:rsid w:val="00F2546E"/>
    <w:rsid w:val="00F25729"/>
    <w:rsid w:val="00F25C93"/>
    <w:rsid w:val="00F266E4"/>
    <w:rsid w:val="00F26987"/>
    <w:rsid w:val="00F27E18"/>
    <w:rsid w:val="00F27F0A"/>
    <w:rsid w:val="00F306EA"/>
    <w:rsid w:val="00F320C7"/>
    <w:rsid w:val="00F3411A"/>
    <w:rsid w:val="00F348D7"/>
    <w:rsid w:val="00F360E8"/>
    <w:rsid w:val="00F37068"/>
    <w:rsid w:val="00F37ACB"/>
    <w:rsid w:val="00F40001"/>
    <w:rsid w:val="00F415C0"/>
    <w:rsid w:val="00F41B80"/>
    <w:rsid w:val="00F44EBC"/>
    <w:rsid w:val="00F4611C"/>
    <w:rsid w:val="00F47822"/>
    <w:rsid w:val="00F47E3C"/>
    <w:rsid w:val="00F50EAD"/>
    <w:rsid w:val="00F50EB7"/>
    <w:rsid w:val="00F52642"/>
    <w:rsid w:val="00F53491"/>
    <w:rsid w:val="00F55826"/>
    <w:rsid w:val="00F6073F"/>
    <w:rsid w:val="00F6173F"/>
    <w:rsid w:val="00F61E31"/>
    <w:rsid w:val="00F62E74"/>
    <w:rsid w:val="00F6423C"/>
    <w:rsid w:val="00F652F7"/>
    <w:rsid w:val="00F65A30"/>
    <w:rsid w:val="00F730ED"/>
    <w:rsid w:val="00F736AD"/>
    <w:rsid w:val="00F7395B"/>
    <w:rsid w:val="00F73BCB"/>
    <w:rsid w:val="00F75389"/>
    <w:rsid w:val="00F75EE0"/>
    <w:rsid w:val="00F76B50"/>
    <w:rsid w:val="00F77720"/>
    <w:rsid w:val="00F80FFC"/>
    <w:rsid w:val="00F819E2"/>
    <w:rsid w:val="00F84BF1"/>
    <w:rsid w:val="00F855D9"/>
    <w:rsid w:val="00F868DB"/>
    <w:rsid w:val="00F9027D"/>
    <w:rsid w:val="00F9118B"/>
    <w:rsid w:val="00F9194B"/>
    <w:rsid w:val="00F922A9"/>
    <w:rsid w:val="00F92F0D"/>
    <w:rsid w:val="00F935C4"/>
    <w:rsid w:val="00F94AB0"/>
    <w:rsid w:val="00F94E4E"/>
    <w:rsid w:val="00F97C80"/>
    <w:rsid w:val="00FA0788"/>
    <w:rsid w:val="00FA0EBE"/>
    <w:rsid w:val="00FA3A60"/>
    <w:rsid w:val="00FA3FFB"/>
    <w:rsid w:val="00FA4E05"/>
    <w:rsid w:val="00FB197D"/>
    <w:rsid w:val="00FB29ED"/>
    <w:rsid w:val="00FB3D6A"/>
    <w:rsid w:val="00FB5FB8"/>
    <w:rsid w:val="00FB66BD"/>
    <w:rsid w:val="00FB6965"/>
    <w:rsid w:val="00FB6A21"/>
    <w:rsid w:val="00FB716D"/>
    <w:rsid w:val="00FB7B89"/>
    <w:rsid w:val="00FC02E1"/>
    <w:rsid w:val="00FC2B5A"/>
    <w:rsid w:val="00FC377C"/>
    <w:rsid w:val="00FC5141"/>
    <w:rsid w:val="00FC73C9"/>
    <w:rsid w:val="00FD0187"/>
    <w:rsid w:val="00FD3202"/>
    <w:rsid w:val="00FD4B31"/>
    <w:rsid w:val="00FD5519"/>
    <w:rsid w:val="00FD5DB9"/>
    <w:rsid w:val="00FD6966"/>
    <w:rsid w:val="00FD6A89"/>
    <w:rsid w:val="00FD6C82"/>
    <w:rsid w:val="00FE1ADE"/>
    <w:rsid w:val="00FE3139"/>
    <w:rsid w:val="00FE4C31"/>
    <w:rsid w:val="00FE611E"/>
    <w:rsid w:val="00FE7055"/>
    <w:rsid w:val="00FF2863"/>
    <w:rsid w:val="00FF2CE6"/>
    <w:rsid w:val="00FF48E9"/>
    <w:rsid w:val="00FF75B8"/>
    <w:rsid w:val="00FF7799"/>
    <w:rsid w:val="00FF7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74ED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Helvetica"/>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6B8"/>
    <w:pPr>
      <w:spacing w:after="0" w:line="240" w:lineRule="auto"/>
      <w:jc w:val="both"/>
    </w:pPr>
    <w:rPr>
      <w:rFonts w:ascii="Verdana" w:hAnsi="Verdana" w:cs="Times New Roman"/>
      <w:sz w:val="22"/>
      <w:szCs w:val="22"/>
    </w:rPr>
  </w:style>
  <w:style w:type="paragraph" w:styleId="Heading1">
    <w:name w:val="heading 1"/>
    <w:basedOn w:val="Normal"/>
    <w:next w:val="Normal"/>
    <w:link w:val="Heading1Char"/>
    <w:uiPriority w:val="9"/>
    <w:qFormat/>
    <w:rsid w:val="00D24067"/>
    <w:pPr>
      <w:tabs>
        <w:tab w:val="left" w:pos="5375"/>
      </w:tabs>
      <w:outlineLvl w:val="0"/>
    </w:pPr>
    <w:rPr>
      <w:rFonts w:ascii="Garamond" w:hAnsi="Garamond"/>
      <w:b/>
      <w:sz w:val="44"/>
      <w:szCs w:val="24"/>
      <w:lang w:eastAsia="en-AU"/>
    </w:rPr>
  </w:style>
  <w:style w:type="paragraph" w:styleId="Heading2">
    <w:name w:val="heading 2"/>
    <w:basedOn w:val="Normal"/>
    <w:next w:val="Normal"/>
    <w:link w:val="Heading2Char"/>
    <w:uiPriority w:val="9"/>
    <w:qFormat/>
    <w:rsid w:val="009D0CE8"/>
    <w:pPr>
      <w:keepNext/>
      <w:outlineLvl w:val="1"/>
    </w:pPr>
    <w:rPr>
      <w:rFonts w:ascii="Arial" w:hAnsi="Arial" w:cs="Arial"/>
      <w:bCs/>
      <w:i/>
      <w:iCs/>
      <w:sz w:val="28"/>
      <w:szCs w:val="28"/>
      <w:lang w:eastAsia="en-AU"/>
    </w:rPr>
  </w:style>
  <w:style w:type="paragraph" w:styleId="Heading3">
    <w:name w:val="heading 3"/>
    <w:basedOn w:val="Normal"/>
    <w:next w:val="Normal"/>
    <w:link w:val="Heading3Char"/>
    <w:uiPriority w:val="9"/>
    <w:unhideWhenUsed/>
    <w:qFormat/>
    <w:rsid w:val="009D0CE8"/>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24067"/>
    <w:rPr>
      <w:rFonts w:ascii="Garamond" w:hAnsi="Garamond" w:cs="Times New Roman"/>
      <w:b/>
      <w:sz w:val="44"/>
      <w:szCs w:val="24"/>
      <w:lang w:eastAsia="en-AU"/>
    </w:rPr>
  </w:style>
  <w:style w:type="character" w:customStyle="1" w:styleId="Heading2Char">
    <w:name w:val="Heading 2 Char"/>
    <w:basedOn w:val="DefaultParagraphFont"/>
    <w:link w:val="Heading2"/>
    <w:uiPriority w:val="9"/>
    <w:locked/>
    <w:rsid w:val="009D0CE8"/>
    <w:rPr>
      <w:rFonts w:ascii="Arial" w:hAnsi="Arial" w:cs="Arial"/>
      <w:bCs/>
      <w:i/>
      <w:iCs/>
      <w:sz w:val="28"/>
      <w:szCs w:val="28"/>
      <w:lang w:val="x-none" w:eastAsia="en-AU"/>
    </w:rPr>
  </w:style>
  <w:style w:type="character" w:customStyle="1" w:styleId="Heading3Char">
    <w:name w:val="Heading 3 Char"/>
    <w:basedOn w:val="DefaultParagraphFont"/>
    <w:link w:val="Heading3"/>
    <w:uiPriority w:val="9"/>
    <w:locked/>
    <w:rsid w:val="009D0CE8"/>
    <w:rPr>
      <w:rFonts w:asciiTheme="majorHAnsi" w:eastAsiaTheme="majorEastAsia" w:hAnsiTheme="majorHAnsi" w:cs="Times New Roman"/>
      <w:b/>
      <w:bCs/>
      <w:color w:val="4F81BD" w:themeColor="accent1"/>
      <w:sz w:val="22"/>
      <w:szCs w:val="22"/>
    </w:rPr>
  </w:style>
  <w:style w:type="character" w:styleId="FootnoteReference">
    <w:name w:val="footnote reference"/>
    <w:basedOn w:val="DefaultParagraphFont"/>
    <w:uiPriority w:val="99"/>
    <w:semiHidden/>
    <w:unhideWhenUsed/>
    <w:rsid w:val="00797321"/>
    <w:rPr>
      <w:rFonts w:ascii="Calibri" w:hAnsi="Calibri" w:cs="Times New Roman"/>
      <w:sz w:val="20"/>
      <w:vertAlign w:val="superscript"/>
    </w:rPr>
  </w:style>
  <w:style w:type="paragraph" w:customStyle="1" w:styleId="BullTitle1">
    <w:name w:val="Bull Title1"/>
    <w:basedOn w:val="Normal"/>
    <w:next w:val="Normal"/>
    <w:rsid w:val="009D0CE8"/>
    <w:pPr>
      <w:jc w:val="center"/>
    </w:pPr>
    <w:rPr>
      <w:rFonts w:ascii="Garamond" w:hAnsi="Garamond"/>
      <w:b/>
      <w:smallCaps/>
      <w:sz w:val="56"/>
      <w:szCs w:val="52"/>
      <w:lang w:eastAsia="en-AU"/>
    </w:rPr>
  </w:style>
  <w:style w:type="paragraph" w:customStyle="1" w:styleId="BullTitle2">
    <w:name w:val="Bull Title2"/>
    <w:basedOn w:val="Normal"/>
    <w:next w:val="Normal"/>
    <w:rsid w:val="009D0CE8"/>
    <w:pPr>
      <w:jc w:val="center"/>
    </w:pPr>
    <w:rPr>
      <w:rFonts w:ascii="Garamond" w:hAnsi="Garamond"/>
      <w:sz w:val="36"/>
      <w:szCs w:val="32"/>
      <w:lang w:eastAsia="en-AU"/>
    </w:rPr>
  </w:style>
  <w:style w:type="paragraph" w:customStyle="1" w:styleId="BullTitle3">
    <w:name w:val="Bull Title3"/>
    <w:basedOn w:val="Normal"/>
    <w:next w:val="Normal"/>
    <w:rsid w:val="009D0CE8"/>
    <w:pPr>
      <w:jc w:val="center"/>
    </w:pPr>
    <w:rPr>
      <w:szCs w:val="24"/>
      <w:lang w:eastAsia="en-AU"/>
    </w:rPr>
  </w:style>
  <w:style w:type="paragraph" w:customStyle="1" w:styleId="BullDivider2">
    <w:name w:val="Bull Divider2"/>
    <w:basedOn w:val="Normal"/>
    <w:next w:val="Normal"/>
    <w:rsid w:val="009D0CE8"/>
    <w:pPr>
      <w:pBdr>
        <w:bottom w:val="double" w:sz="6" w:space="1" w:color="auto"/>
      </w:pBdr>
    </w:pPr>
    <w:rPr>
      <w:szCs w:val="20"/>
      <w:lang w:eastAsia="en-AU"/>
    </w:rPr>
  </w:style>
  <w:style w:type="character" w:styleId="Hyperlink">
    <w:name w:val="Hyperlink"/>
    <w:basedOn w:val="DefaultParagraphFont"/>
    <w:uiPriority w:val="99"/>
    <w:rsid w:val="009D0CE8"/>
    <w:rPr>
      <w:rFonts w:cs="Times New Roman"/>
      <w:color w:val="0000FF"/>
      <w:u w:val="single"/>
    </w:rPr>
  </w:style>
  <w:style w:type="paragraph" w:customStyle="1" w:styleId="BullDivider1">
    <w:name w:val="Bull Divider1"/>
    <w:basedOn w:val="Normal"/>
    <w:next w:val="Normal"/>
    <w:rsid w:val="009D0CE8"/>
    <w:pPr>
      <w:pBdr>
        <w:bottom w:val="dotted" w:sz="4" w:space="1" w:color="auto"/>
      </w:pBdr>
    </w:pPr>
    <w:rPr>
      <w:szCs w:val="20"/>
      <w:lang w:eastAsia="en-AU"/>
    </w:rPr>
  </w:style>
  <w:style w:type="character" w:customStyle="1" w:styleId="decisia-reflex2-icon">
    <w:name w:val="decisia-reflex2-icon"/>
    <w:rsid w:val="009D0CE8"/>
  </w:style>
  <w:style w:type="paragraph" w:customStyle="1" w:styleId="sccnormaldoublespacing">
    <w:name w:val="sccnormaldoublespacing"/>
    <w:basedOn w:val="Normal"/>
    <w:rsid w:val="009D0CE8"/>
    <w:pPr>
      <w:spacing w:before="100" w:beforeAutospacing="1" w:after="100" w:afterAutospacing="1"/>
    </w:pPr>
    <w:rPr>
      <w:rFonts w:ascii="Times New Roman" w:hAnsi="Times New Roman"/>
      <w:sz w:val="24"/>
      <w:szCs w:val="24"/>
      <w:lang w:eastAsia="en-AU"/>
    </w:rPr>
  </w:style>
  <w:style w:type="paragraph" w:customStyle="1" w:styleId="MediumGrid21">
    <w:name w:val="Medium Grid 21"/>
    <w:uiPriority w:val="1"/>
    <w:qFormat/>
    <w:rsid w:val="009D0CE8"/>
    <w:pPr>
      <w:spacing w:after="0" w:line="240" w:lineRule="auto"/>
    </w:pPr>
    <w:rPr>
      <w:rFonts w:ascii="Verdana" w:hAnsi="Verdana" w:cs="Times New Roman"/>
      <w:sz w:val="22"/>
      <w:szCs w:val="22"/>
    </w:rPr>
  </w:style>
  <w:style w:type="character" w:styleId="FollowedHyperlink">
    <w:name w:val="FollowedHyperlink"/>
    <w:basedOn w:val="DefaultParagraphFont"/>
    <w:uiPriority w:val="99"/>
    <w:semiHidden/>
    <w:unhideWhenUsed/>
    <w:rsid w:val="009D0CE8"/>
    <w:rPr>
      <w:rFonts w:cs="Times New Roman"/>
      <w:color w:val="800080"/>
      <w:u w:val="single"/>
    </w:rPr>
  </w:style>
  <w:style w:type="paragraph" w:customStyle="1" w:styleId="Default">
    <w:name w:val="Default"/>
    <w:rsid w:val="009D0CE8"/>
    <w:pPr>
      <w:autoSpaceDE w:val="0"/>
      <w:autoSpaceDN w:val="0"/>
      <w:adjustRightInd w:val="0"/>
      <w:spacing w:after="0" w:line="240" w:lineRule="auto"/>
    </w:pPr>
    <w:rPr>
      <w:rFonts w:ascii="Garamond" w:hAnsi="Garamond" w:cs="Garamond"/>
      <w:color w:val="000000"/>
      <w:sz w:val="24"/>
      <w:szCs w:val="24"/>
      <w:lang w:eastAsia="en-AU"/>
    </w:rPr>
  </w:style>
  <w:style w:type="paragraph" w:styleId="BalloonText">
    <w:name w:val="Balloon Text"/>
    <w:basedOn w:val="Normal"/>
    <w:link w:val="BalloonTextChar"/>
    <w:uiPriority w:val="99"/>
    <w:semiHidden/>
    <w:unhideWhenUsed/>
    <w:rsid w:val="009D0C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CE8"/>
    <w:rPr>
      <w:rFonts w:ascii="Tahoma" w:hAnsi="Tahoma" w:cs="Tahoma"/>
      <w:sz w:val="16"/>
      <w:szCs w:val="16"/>
    </w:rPr>
  </w:style>
  <w:style w:type="paragraph" w:styleId="Header">
    <w:name w:val="header"/>
    <w:basedOn w:val="Normal"/>
    <w:link w:val="HeaderChar"/>
    <w:uiPriority w:val="99"/>
    <w:unhideWhenUsed/>
    <w:rsid w:val="009D0CE8"/>
    <w:pPr>
      <w:tabs>
        <w:tab w:val="center" w:pos="4513"/>
        <w:tab w:val="right" w:pos="9026"/>
      </w:tabs>
    </w:pPr>
  </w:style>
  <w:style w:type="character" w:customStyle="1" w:styleId="HeaderChar">
    <w:name w:val="Header Char"/>
    <w:basedOn w:val="DefaultParagraphFont"/>
    <w:link w:val="Header"/>
    <w:uiPriority w:val="99"/>
    <w:locked/>
    <w:rsid w:val="009D0CE8"/>
    <w:rPr>
      <w:rFonts w:ascii="Verdana" w:hAnsi="Verdana" w:cs="Times New Roman"/>
      <w:sz w:val="22"/>
      <w:szCs w:val="22"/>
    </w:rPr>
  </w:style>
  <w:style w:type="paragraph" w:styleId="Footer">
    <w:name w:val="footer"/>
    <w:basedOn w:val="Normal"/>
    <w:link w:val="FooterChar"/>
    <w:uiPriority w:val="99"/>
    <w:unhideWhenUsed/>
    <w:rsid w:val="009D0CE8"/>
    <w:pPr>
      <w:tabs>
        <w:tab w:val="center" w:pos="4513"/>
        <w:tab w:val="right" w:pos="9026"/>
      </w:tabs>
    </w:pPr>
  </w:style>
  <w:style w:type="character" w:customStyle="1" w:styleId="FooterChar">
    <w:name w:val="Footer Char"/>
    <w:basedOn w:val="DefaultParagraphFont"/>
    <w:link w:val="Footer"/>
    <w:uiPriority w:val="99"/>
    <w:locked/>
    <w:rsid w:val="009D0CE8"/>
    <w:rPr>
      <w:rFonts w:ascii="Verdana" w:hAnsi="Verdana" w:cs="Times New Roman"/>
      <w:sz w:val="22"/>
      <w:szCs w:val="22"/>
    </w:rPr>
  </w:style>
  <w:style w:type="paragraph" w:styleId="NormalWeb">
    <w:name w:val="Normal (Web)"/>
    <w:basedOn w:val="Normal"/>
    <w:uiPriority w:val="99"/>
    <w:unhideWhenUsed/>
    <w:rsid w:val="009D0CE8"/>
    <w:pPr>
      <w:spacing w:before="100" w:beforeAutospacing="1" w:after="100" w:afterAutospacing="1"/>
      <w:jc w:val="left"/>
    </w:pPr>
    <w:rPr>
      <w:rFonts w:ascii="Times" w:hAnsi="Times"/>
      <w:sz w:val="20"/>
      <w:szCs w:val="20"/>
    </w:rPr>
  </w:style>
  <w:style w:type="character" w:styleId="CommentReference">
    <w:name w:val="annotation reference"/>
    <w:basedOn w:val="DefaultParagraphFont"/>
    <w:uiPriority w:val="99"/>
    <w:semiHidden/>
    <w:unhideWhenUsed/>
    <w:rsid w:val="009D0CE8"/>
    <w:rPr>
      <w:rFonts w:cs="Times New Roman"/>
      <w:sz w:val="16"/>
      <w:szCs w:val="16"/>
    </w:rPr>
  </w:style>
  <w:style w:type="paragraph" w:styleId="CommentText">
    <w:name w:val="annotation text"/>
    <w:basedOn w:val="Normal"/>
    <w:link w:val="CommentTextChar"/>
    <w:uiPriority w:val="99"/>
    <w:semiHidden/>
    <w:unhideWhenUsed/>
    <w:rsid w:val="009D0CE8"/>
    <w:rPr>
      <w:sz w:val="20"/>
      <w:szCs w:val="20"/>
    </w:rPr>
  </w:style>
  <w:style w:type="character" w:customStyle="1" w:styleId="CommentTextChar">
    <w:name w:val="Comment Text Char"/>
    <w:basedOn w:val="DefaultParagraphFont"/>
    <w:link w:val="CommentText"/>
    <w:uiPriority w:val="99"/>
    <w:semiHidden/>
    <w:locked/>
    <w:rsid w:val="009D0CE8"/>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9D0CE8"/>
    <w:rPr>
      <w:b/>
      <w:bCs/>
    </w:rPr>
  </w:style>
  <w:style w:type="character" w:customStyle="1" w:styleId="CommentSubjectChar">
    <w:name w:val="Comment Subject Char"/>
    <w:basedOn w:val="CommentTextChar"/>
    <w:link w:val="CommentSubject"/>
    <w:uiPriority w:val="99"/>
    <w:semiHidden/>
    <w:locked/>
    <w:rsid w:val="009D0CE8"/>
    <w:rPr>
      <w:rFonts w:ascii="Verdana" w:hAnsi="Verdana" w:cs="Times New Roman"/>
      <w:b/>
      <w:bCs/>
    </w:rPr>
  </w:style>
  <w:style w:type="paragraph" w:customStyle="1" w:styleId="western">
    <w:name w:val="western"/>
    <w:basedOn w:val="Normal"/>
    <w:rsid w:val="009D0CE8"/>
    <w:pPr>
      <w:spacing w:before="100" w:beforeAutospacing="1" w:after="100" w:afterAutospacing="1"/>
      <w:jc w:val="left"/>
    </w:pPr>
    <w:rPr>
      <w:rFonts w:ascii="Times New Roman" w:hAnsi="Times New Roman"/>
      <w:sz w:val="24"/>
      <w:szCs w:val="24"/>
      <w:lang w:eastAsia="en-AU"/>
    </w:rPr>
  </w:style>
  <w:style w:type="paragraph" w:styleId="ListParagraph">
    <w:name w:val="List Paragraph"/>
    <w:basedOn w:val="Normal"/>
    <w:uiPriority w:val="72"/>
    <w:rsid w:val="009D0CE8"/>
    <w:pPr>
      <w:ind w:left="720"/>
      <w:contextualSpacing/>
    </w:pPr>
  </w:style>
  <w:style w:type="paragraph" w:styleId="Revision">
    <w:name w:val="Revision"/>
    <w:hidden/>
    <w:uiPriority w:val="71"/>
    <w:rsid w:val="009D0CE8"/>
    <w:pPr>
      <w:spacing w:after="0" w:line="240" w:lineRule="auto"/>
    </w:pPr>
    <w:rPr>
      <w:rFonts w:ascii="Verdana" w:hAnsi="Verdana" w:cs="Times New Roman"/>
      <w:sz w:val="22"/>
      <w:szCs w:val="22"/>
    </w:rPr>
  </w:style>
  <w:style w:type="character" w:styleId="Strong">
    <w:name w:val="Strong"/>
    <w:basedOn w:val="DefaultParagraphFont"/>
    <w:uiPriority w:val="22"/>
    <w:qFormat/>
    <w:rsid w:val="009D0CE8"/>
    <w:rPr>
      <w:rFonts w:cs="Times New Roman"/>
      <w:b/>
      <w:bCs/>
    </w:rPr>
  </w:style>
  <w:style w:type="character" w:customStyle="1" w:styleId="sccappellantforindexchar">
    <w:name w:val="sccappellantforindexchar"/>
    <w:basedOn w:val="DefaultParagraphFont"/>
    <w:rsid w:val="009D0CE8"/>
    <w:rPr>
      <w:rFonts w:cs="Times New Roman"/>
    </w:rPr>
  </w:style>
  <w:style w:type="character" w:customStyle="1" w:styleId="sccrespondentforindexchar">
    <w:name w:val="sccrespondentforindexchar"/>
    <w:basedOn w:val="DefaultParagraphFont"/>
    <w:rsid w:val="009D0CE8"/>
    <w:rPr>
      <w:rFonts w:cs="Times New Roman"/>
    </w:rPr>
  </w:style>
  <w:style w:type="character" w:customStyle="1" w:styleId="i">
    <w:name w:val="i"/>
    <w:basedOn w:val="DefaultParagraphFont"/>
    <w:rsid w:val="009D0CE8"/>
    <w:rPr>
      <w:rFonts w:cs="Times New Roman"/>
    </w:rPr>
  </w:style>
  <w:style w:type="character" w:styleId="UnresolvedMention">
    <w:name w:val="Unresolved Mention"/>
    <w:basedOn w:val="DefaultParagraphFont"/>
    <w:uiPriority w:val="99"/>
    <w:semiHidden/>
    <w:unhideWhenUsed/>
    <w:rsid w:val="002704EC"/>
    <w:rPr>
      <w:rFonts w:cs="Times New Roman"/>
      <w:color w:val="605E5C"/>
      <w:shd w:val="clear" w:color="auto" w:fill="E1DFDD"/>
    </w:rPr>
  </w:style>
  <w:style w:type="paragraph" w:customStyle="1" w:styleId="Catchwords">
    <w:name w:val="Catchwords"/>
    <w:basedOn w:val="Normal"/>
    <w:qFormat/>
    <w:rsid w:val="00DB68FF"/>
    <w:pPr>
      <w:ind w:left="720"/>
    </w:pPr>
    <w:rPr>
      <w:lang w:eastAsia="en-AU"/>
    </w:rPr>
  </w:style>
  <w:style w:type="paragraph" w:styleId="NoSpacing">
    <w:name w:val="No Spacing"/>
    <w:uiPriority w:val="1"/>
    <w:qFormat/>
    <w:rsid w:val="00342708"/>
    <w:pPr>
      <w:spacing w:after="0" w:line="240" w:lineRule="auto"/>
      <w:jc w:val="both"/>
    </w:pPr>
    <w:rPr>
      <w:rFonts w:ascii="Verdana" w:hAnsi="Verdan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511">
      <w:bodyDiv w:val="1"/>
      <w:marLeft w:val="0"/>
      <w:marRight w:val="0"/>
      <w:marTop w:val="0"/>
      <w:marBottom w:val="0"/>
      <w:divBdr>
        <w:top w:val="none" w:sz="0" w:space="0" w:color="auto"/>
        <w:left w:val="none" w:sz="0" w:space="0" w:color="auto"/>
        <w:bottom w:val="none" w:sz="0" w:space="0" w:color="auto"/>
        <w:right w:val="none" w:sz="0" w:space="0" w:color="auto"/>
      </w:divBdr>
    </w:div>
    <w:div w:id="30349843">
      <w:bodyDiv w:val="1"/>
      <w:marLeft w:val="0"/>
      <w:marRight w:val="0"/>
      <w:marTop w:val="0"/>
      <w:marBottom w:val="0"/>
      <w:divBdr>
        <w:top w:val="none" w:sz="0" w:space="0" w:color="auto"/>
        <w:left w:val="none" w:sz="0" w:space="0" w:color="auto"/>
        <w:bottom w:val="none" w:sz="0" w:space="0" w:color="auto"/>
        <w:right w:val="none" w:sz="0" w:space="0" w:color="auto"/>
      </w:divBdr>
    </w:div>
    <w:div w:id="48118642">
      <w:bodyDiv w:val="1"/>
      <w:marLeft w:val="0"/>
      <w:marRight w:val="0"/>
      <w:marTop w:val="0"/>
      <w:marBottom w:val="0"/>
      <w:divBdr>
        <w:top w:val="none" w:sz="0" w:space="0" w:color="auto"/>
        <w:left w:val="none" w:sz="0" w:space="0" w:color="auto"/>
        <w:bottom w:val="none" w:sz="0" w:space="0" w:color="auto"/>
        <w:right w:val="none" w:sz="0" w:space="0" w:color="auto"/>
      </w:divBdr>
    </w:div>
    <w:div w:id="155802388">
      <w:bodyDiv w:val="1"/>
      <w:marLeft w:val="0"/>
      <w:marRight w:val="0"/>
      <w:marTop w:val="0"/>
      <w:marBottom w:val="0"/>
      <w:divBdr>
        <w:top w:val="none" w:sz="0" w:space="0" w:color="auto"/>
        <w:left w:val="none" w:sz="0" w:space="0" w:color="auto"/>
        <w:bottom w:val="none" w:sz="0" w:space="0" w:color="auto"/>
        <w:right w:val="none" w:sz="0" w:space="0" w:color="auto"/>
      </w:divBdr>
    </w:div>
    <w:div w:id="270363234">
      <w:bodyDiv w:val="1"/>
      <w:marLeft w:val="0"/>
      <w:marRight w:val="0"/>
      <w:marTop w:val="0"/>
      <w:marBottom w:val="0"/>
      <w:divBdr>
        <w:top w:val="none" w:sz="0" w:space="0" w:color="auto"/>
        <w:left w:val="none" w:sz="0" w:space="0" w:color="auto"/>
        <w:bottom w:val="none" w:sz="0" w:space="0" w:color="auto"/>
        <w:right w:val="none" w:sz="0" w:space="0" w:color="auto"/>
      </w:divBdr>
    </w:div>
    <w:div w:id="492069829">
      <w:bodyDiv w:val="1"/>
      <w:marLeft w:val="0"/>
      <w:marRight w:val="0"/>
      <w:marTop w:val="0"/>
      <w:marBottom w:val="0"/>
      <w:divBdr>
        <w:top w:val="none" w:sz="0" w:space="0" w:color="auto"/>
        <w:left w:val="none" w:sz="0" w:space="0" w:color="auto"/>
        <w:bottom w:val="none" w:sz="0" w:space="0" w:color="auto"/>
        <w:right w:val="none" w:sz="0" w:space="0" w:color="auto"/>
      </w:divBdr>
    </w:div>
    <w:div w:id="508375252">
      <w:bodyDiv w:val="1"/>
      <w:marLeft w:val="0"/>
      <w:marRight w:val="0"/>
      <w:marTop w:val="0"/>
      <w:marBottom w:val="0"/>
      <w:divBdr>
        <w:top w:val="none" w:sz="0" w:space="0" w:color="auto"/>
        <w:left w:val="none" w:sz="0" w:space="0" w:color="auto"/>
        <w:bottom w:val="none" w:sz="0" w:space="0" w:color="auto"/>
        <w:right w:val="none" w:sz="0" w:space="0" w:color="auto"/>
      </w:divBdr>
    </w:div>
    <w:div w:id="646668012">
      <w:bodyDiv w:val="1"/>
      <w:marLeft w:val="0"/>
      <w:marRight w:val="0"/>
      <w:marTop w:val="0"/>
      <w:marBottom w:val="0"/>
      <w:divBdr>
        <w:top w:val="none" w:sz="0" w:space="0" w:color="auto"/>
        <w:left w:val="none" w:sz="0" w:space="0" w:color="auto"/>
        <w:bottom w:val="none" w:sz="0" w:space="0" w:color="auto"/>
        <w:right w:val="none" w:sz="0" w:space="0" w:color="auto"/>
      </w:divBdr>
    </w:div>
    <w:div w:id="772240903">
      <w:bodyDiv w:val="1"/>
      <w:marLeft w:val="0"/>
      <w:marRight w:val="0"/>
      <w:marTop w:val="0"/>
      <w:marBottom w:val="0"/>
      <w:divBdr>
        <w:top w:val="none" w:sz="0" w:space="0" w:color="auto"/>
        <w:left w:val="none" w:sz="0" w:space="0" w:color="auto"/>
        <w:bottom w:val="none" w:sz="0" w:space="0" w:color="auto"/>
        <w:right w:val="none" w:sz="0" w:space="0" w:color="auto"/>
      </w:divBdr>
    </w:div>
    <w:div w:id="821770956">
      <w:bodyDiv w:val="1"/>
      <w:marLeft w:val="0"/>
      <w:marRight w:val="0"/>
      <w:marTop w:val="0"/>
      <w:marBottom w:val="0"/>
      <w:divBdr>
        <w:top w:val="none" w:sz="0" w:space="0" w:color="auto"/>
        <w:left w:val="none" w:sz="0" w:space="0" w:color="auto"/>
        <w:bottom w:val="none" w:sz="0" w:space="0" w:color="auto"/>
        <w:right w:val="none" w:sz="0" w:space="0" w:color="auto"/>
      </w:divBdr>
    </w:div>
    <w:div w:id="837622371">
      <w:bodyDiv w:val="1"/>
      <w:marLeft w:val="0"/>
      <w:marRight w:val="0"/>
      <w:marTop w:val="0"/>
      <w:marBottom w:val="0"/>
      <w:divBdr>
        <w:top w:val="none" w:sz="0" w:space="0" w:color="auto"/>
        <w:left w:val="none" w:sz="0" w:space="0" w:color="auto"/>
        <w:bottom w:val="none" w:sz="0" w:space="0" w:color="auto"/>
        <w:right w:val="none" w:sz="0" w:space="0" w:color="auto"/>
      </w:divBdr>
    </w:div>
    <w:div w:id="995837989">
      <w:bodyDiv w:val="1"/>
      <w:marLeft w:val="0"/>
      <w:marRight w:val="0"/>
      <w:marTop w:val="0"/>
      <w:marBottom w:val="0"/>
      <w:divBdr>
        <w:top w:val="none" w:sz="0" w:space="0" w:color="auto"/>
        <w:left w:val="none" w:sz="0" w:space="0" w:color="auto"/>
        <w:bottom w:val="none" w:sz="0" w:space="0" w:color="auto"/>
        <w:right w:val="none" w:sz="0" w:space="0" w:color="auto"/>
      </w:divBdr>
    </w:div>
    <w:div w:id="1012609209">
      <w:bodyDiv w:val="1"/>
      <w:marLeft w:val="0"/>
      <w:marRight w:val="0"/>
      <w:marTop w:val="0"/>
      <w:marBottom w:val="0"/>
      <w:divBdr>
        <w:top w:val="none" w:sz="0" w:space="0" w:color="auto"/>
        <w:left w:val="none" w:sz="0" w:space="0" w:color="auto"/>
        <w:bottom w:val="none" w:sz="0" w:space="0" w:color="auto"/>
        <w:right w:val="none" w:sz="0" w:space="0" w:color="auto"/>
      </w:divBdr>
    </w:div>
    <w:div w:id="1153566421">
      <w:bodyDiv w:val="1"/>
      <w:marLeft w:val="0"/>
      <w:marRight w:val="0"/>
      <w:marTop w:val="0"/>
      <w:marBottom w:val="0"/>
      <w:divBdr>
        <w:top w:val="none" w:sz="0" w:space="0" w:color="auto"/>
        <w:left w:val="none" w:sz="0" w:space="0" w:color="auto"/>
        <w:bottom w:val="none" w:sz="0" w:space="0" w:color="auto"/>
        <w:right w:val="none" w:sz="0" w:space="0" w:color="auto"/>
      </w:divBdr>
    </w:div>
    <w:div w:id="1258830779">
      <w:bodyDiv w:val="1"/>
      <w:marLeft w:val="0"/>
      <w:marRight w:val="0"/>
      <w:marTop w:val="0"/>
      <w:marBottom w:val="0"/>
      <w:divBdr>
        <w:top w:val="none" w:sz="0" w:space="0" w:color="auto"/>
        <w:left w:val="none" w:sz="0" w:space="0" w:color="auto"/>
        <w:bottom w:val="none" w:sz="0" w:space="0" w:color="auto"/>
        <w:right w:val="none" w:sz="0" w:space="0" w:color="auto"/>
      </w:divBdr>
    </w:div>
    <w:div w:id="1611663562">
      <w:bodyDiv w:val="1"/>
      <w:marLeft w:val="0"/>
      <w:marRight w:val="0"/>
      <w:marTop w:val="0"/>
      <w:marBottom w:val="0"/>
      <w:divBdr>
        <w:top w:val="none" w:sz="0" w:space="0" w:color="auto"/>
        <w:left w:val="none" w:sz="0" w:space="0" w:color="auto"/>
        <w:bottom w:val="none" w:sz="0" w:space="0" w:color="auto"/>
        <w:right w:val="none" w:sz="0" w:space="0" w:color="auto"/>
      </w:divBdr>
    </w:div>
    <w:div w:id="1664698179">
      <w:bodyDiv w:val="1"/>
      <w:marLeft w:val="0"/>
      <w:marRight w:val="0"/>
      <w:marTop w:val="0"/>
      <w:marBottom w:val="0"/>
      <w:divBdr>
        <w:top w:val="none" w:sz="0" w:space="0" w:color="auto"/>
        <w:left w:val="none" w:sz="0" w:space="0" w:color="auto"/>
        <w:bottom w:val="none" w:sz="0" w:space="0" w:color="auto"/>
        <w:right w:val="none" w:sz="0" w:space="0" w:color="auto"/>
      </w:divBdr>
    </w:div>
    <w:div w:id="1757938184">
      <w:bodyDiv w:val="1"/>
      <w:marLeft w:val="0"/>
      <w:marRight w:val="0"/>
      <w:marTop w:val="0"/>
      <w:marBottom w:val="0"/>
      <w:divBdr>
        <w:top w:val="none" w:sz="0" w:space="0" w:color="auto"/>
        <w:left w:val="none" w:sz="0" w:space="0" w:color="auto"/>
        <w:bottom w:val="none" w:sz="0" w:space="0" w:color="auto"/>
        <w:right w:val="none" w:sz="0" w:space="0" w:color="auto"/>
      </w:divBdr>
    </w:div>
    <w:div w:id="1841309840">
      <w:bodyDiv w:val="1"/>
      <w:marLeft w:val="0"/>
      <w:marRight w:val="0"/>
      <w:marTop w:val="0"/>
      <w:marBottom w:val="0"/>
      <w:divBdr>
        <w:top w:val="none" w:sz="0" w:space="0" w:color="auto"/>
        <w:left w:val="none" w:sz="0" w:space="0" w:color="auto"/>
        <w:bottom w:val="none" w:sz="0" w:space="0" w:color="auto"/>
        <w:right w:val="none" w:sz="0" w:space="0" w:color="auto"/>
      </w:divBdr>
    </w:div>
    <w:div w:id="1847092306">
      <w:bodyDiv w:val="1"/>
      <w:marLeft w:val="0"/>
      <w:marRight w:val="0"/>
      <w:marTop w:val="0"/>
      <w:marBottom w:val="0"/>
      <w:divBdr>
        <w:top w:val="none" w:sz="0" w:space="0" w:color="auto"/>
        <w:left w:val="none" w:sz="0" w:space="0" w:color="auto"/>
        <w:bottom w:val="none" w:sz="0" w:space="0" w:color="auto"/>
        <w:right w:val="none" w:sz="0" w:space="0" w:color="auto"/>
      </w:divBdr>
    </w:div>
    <w:div w:id="1880162414">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
    <w:div w:id="1905603036">
      <w:bodyDiv w:val="1"/>
      <w:marLeft w:val="0"/>
      <w:marRight w:val="0"/>
      <w:marTop w:val="0"/>
      <w:marBottom w:val="0"/>
      <w:divBdr>
        <w:top w:val="none" w:sz="0" w:space="0" w:color="auto"/>
        <w:left w:val="none" w:sz="0" w:space="0" w:color="auto"/>
        <w:bottom w:val="none" w:sz="0" w:space="0" w:color="auto"/>
        <w:right w:val="none" w:sz="0" w:space="0" w:color="auto"/>
      </w:divBdr>
    </w:div>
    <w:div w:id="2022471539">
      <w:marLeft w:val="0"/>
      <w:marRight w:val="0"/>
      <w:marTop w:val="0"/>
      <w:marBottom w:val="0"/>
      <w:divBdr>
        <w:top w:val="none" w:sz="0" w:space="0" w:color="auto"/>
        <w:left w:val="none" w:sz="0" w:space="0" w:color="auto"/>
        <w:bottom w:val="none" w:sz="0" w:space="0" w:color="auto"/>
        <w:right w:val="none" w:sz="0" w:space="0" w:color="auto"/>
      </w:divBdr>
    </w:div>
    <w:div w:id="2022471540">
      <w:marLeft w:val="0"/>
      <w:marRight w:val="0"/>
      <w:marTop w:val="0"/>
      <w:marBottom w:val="0"/>
      <w:divBdr>
        <w:top w:val="none" w:sz="0" w:space="0" w:color="auto"/>
        <w:left w:val="none" w:sz="0" w:space="0" w:color="auto"/>
        <w:bottom w:val="none" w:sz="0" w:space="0" w:color="auto"/>
        <w:right w:val="none" w:sz="0" w:space="0" w:color="auto"/>
      </w:divBdr>
    </w:div>
    <w:div w:id="2022471541">
      <w:marLeft w:val="0"/>
      <w:marRight w:val="0"/>
      <w:marTop w:val="0"/>
      <w:marBottom w:val="0"/>
      <w:divBdr>
        <w:top w:val="none" w:sz="0" w:space="0" w:color="auto"/>
        <w:left w:val="none" w:sz="0" w:space="0" w:color="auto"/>
        <w:bottom w:val="none" w:sz="0" w:space="0" w:color="auto"/>
        <w:right w:val="none" w:sz="0" w:space="0" w:color="auto"/>
      </w:divBdr>
    </w:div>
    <w:div w:id="2022471543">
      <w:marLeft w:val="0"/>
      <w:marRight w:val="0"/>
      <w:marTop w:val="0"/>
      <w:marBottom w:val="0"/>
      <w:divBdr>
        <w:top w:val="none" w:sz="0" w:space="0" w:color="auto"/>
        <w:left w:val="none" w:sz="0" w:space="0" w:color="auto"/>
        <w:bottom w:val="none" w:sz="0" w:space="0" w:color="auto"/>
        <w:right w:val="none" w:sz="0" w:space="0" w:color="auto"/>
      </w:divBdr>
    </w:div>
    <w:div w:id="2022471554">
      <w:marLeft w:val="0"/>
      <w:marRight w:val="0"/>
      <w:marTop w:val="0"/>
      <w:marBottom w:val="0"/>
      <w:divBdr>
        <w:top w:val="none" w:sz="0" w:space="0" w:color="auto"/>
        <w:left w:val="none" w:sz="0" w:space="0" w:color="auto"/>
        <w:bottom w:val="none" w:sz="0" w:space="0" w:color="auto"/>
        <w:right w:val="none" w:sz="0" w:space="0" w:color="auto"/>
      </w:divBdr>
    </w:div>
    <w:div w:id="2022471557">
      <w:marLeft w:val="0"/>
      <w:marRight w:val="0"/>
      <w:marTop w:val="0"/>
      <w:marBottom w:val="0"/>
      <w:divBdr>
        <w:top w:val="none" w:sz="0" w:space="0" w:color="auto"/>
        <w:left w:val="none" w:sz="0" w:space="0" w:color="auto"/>
        <w:bottom w:val="none" w:sz="0" w:space="0" w:color="auto"/>
        <w:right w:val="none" w:sz="0" w:space="0" w:color="auto"/>
      </w:divBdr>
    </w:div>
    <w:div w:id="2022471563">
      <w:marLeft w:val="0"/>
      <w:marRight w:val="0"/>
      <w:marTop w:val="0"/>
      <w:marBottom w:val="0"/>
      <w:divBdr>
        <w:top w:val="none" w:sz="0" w:space="0" w:color="auto"/>
        <w:left w:val="none" w:sz="0" w:space="0" w:color="auto"/>
        <w:bottom w:val="none" w:sz="0" w:space="0" w:color="auto"/>
        <w:right w:val="none" w:sz="0" w:space="0" w:color="auto"/>
      </w:divBdr>
    </w:div>
    <w:div w:id="2022471570">
      <w:marLeft w:val="0"/>
      <w:marRight w:val="0"/>
      <w:marTop w:val="0"/>
      <w:marBottom w:val="0"/>
      <w:divBdr>
        <w:top w:val="none" w:sz="0" w:space="0" w:color="auto"/>
        <w:left w:val="none" w:sz="0" w:space="0" w:color="auto"/>
        <w:bottom w:val="none" w:sz="0" w:space="0" w:color="auto"/>
        <w:right w:val="none" w:sz="0" w:space="0" w:color="auto"/>
      </w:divBdr>
    </w:div>
    <w:div w:id="2022471585">
      <w:marLeft w:val="0"/>
      <w:marRight w:val="0"/>
      <w:marTop w:val="0"/>
      <w:marBottom w:val="0"/>
      <w:divBdr>
        <w:top w:val="none" w:sz="0" w:space="0" w:color="auto"/>
        <w:left w:val="none" w:sz="0" w:space="0" w:color="auto"/>
        <w:bottom w:val="none" w:sz="0" w:space="0" w:color="auto"/>
        <w:right w:val="none" w:sz="0" w:space="0" w:color="auto"/>
      </w:divBdr>
      <w:divsChild>
        <w:div w:id="2022471544">
          <w:marLeft w:val="0"/>
          <w:marRight w:val="0"/>
          <w:marTop w:val="0"/>
          <w:marBottom w:val="0"/>
          <w:divBdr>
            <w:top w:val="none" w:sz="0" w:space="0" w:color="auto"/>
            <w:left w:val="none" w:sz="0" w:space="0" w:color="auto"/>
            <w:bottom w:val="none" w:sz="0" w:space="0" w:color="auto"/>
            <w:right w:val="none" w:sz="0" w:space="0" w:color="auto"/>
          </w:divBdr>
          <w:divsChild>
            <w:div w:id="2022471571">
              <w:marLeft w:val="0"/>
              <w:marRight w:val="0"/>
              <w:marTop w:val="0"/>
              <w:marBottom w:val="0"/>
              <w:divBdr>
                <w:top w:val="none" w:sz="0" w:space="0" w:color="auto"/>
                <w:left w:val="none" w:sz="0" w:space="0" w:color="auto"/>
                <w:bottom w:val="none" w:sz="0" w:space="0" w:color="auto"/>
                <w:right w:val="none" w:sz="0" w:space="0" w:color="auto"/>
              </w:divBdr>
              <w:divsChild>
                <w:div w:id="2022471577">
                  <w:marLeft w:val="0"/>
                  <w:marRight w:val="0"/>
                  <w:marTop w:val="0"/>
                  <w:marBottom w:val="0"/>
                  <w:divBdr>
                    <w:top w:val="none" w:sz="0" w:space="0" w:color="auto"/>
                    <w:left w:val="none" w:sz="0" w:space="0" w:color="auto"/>
                    <w:bottom w:val="none" w:sz="0" w:space="0" w:color="auto"/>
                    <w:right w:val="none" w:sz="0" w:space="0" w:color="auto"/>
                  </w:divBdr>
                  <w:divsChild>
                    <w:div w:id="2022471547">
                      <w:marLeft w:val="0"/>
                      <w:marRight w:val="0"/>
                      <w:marTop w:val="0"/>
                      <w:marBottom w:val="0"/>
                      <w:divBdr>
                        <w:top w:val="none" w:sz="0" w:space="0" w:color="auto"/>
                        <w:left w:val="none" w:sz="0" w:space="0" w:color="auto"/>
                        <w:bottom w:val="none" w:sz="0" w:space="0" w:color="auto"/>
                        <w:right w:val="none" w:sz="0" w:space="0" w:color="auto"/>
                      </w:divBdr>
                    </w:div>
                    <w:div w:id="20224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5">
          <w:marLeft w:val="0"/>
          <w:marRight w:val="0"/>
          <w:marTop w:val="0"/>
          <w:marBottom w:val="0"/>
          <w:divBdr>
            <w:top w:val="none" w:sz="0" w:space="0" w:color="auto"/>
            <w:left w:val="none" w:sz="0" w:space="0" w:color="auto"/>
            <w:bottom w:val="none" w:sz="0" w:space="0" w:color="auto"/>
            <w:right w:val="none" w:sz="0" w:space="0" w:color="auto"/>
          </w:divBdr>
          <w:divsChild>
            <w:div w:id="2022471587">
              <w:marLeft w:val="0"/>
              <w:marRight w:val="0"/>
              <w:marTop w:val="0"/>
              <w:marBottom w:val="0"/>
              <w:divBdr>
                <w:top w:val="none" w:sz="0" w:space="0" w:color="auto"/>
                <w:left w:val="none" w:sz="0" w:space="0" w:color="auto"/>
                <w:bottom w:val="none" w:sz="0" w:space="0" w:color="auto"/>
                <w:right w:val="none" w:sz="0" w:space="0" w:color="auto"/>
              </w:divBdr>
              <w:divsChild>
                <w:div w:id="2022471566">
                  <w:marLeft w:val="0"/>
                  <w:marRight w:val="0"/>
                  <w:marTop w:val="0"/>
                  <w:marBottom w:val="0"/>
                  <w:divBdr>
                    <w:top w:val="none" w:sz="0" w:space="0" w:color="auto"/>
                    <w:left w:val="none" w:sz="0" w:space="0" w:color="auto"/>
                    <w:bottom w:val="none" w:sz="0" w:space="0" w:color="auto"/>
                    <w:right w:val="none" w:sz="0" w:space="0" w:color="auto"/>
                  </w:divBdr>
                  <w:divsChild>
                    <w:div w:id="20224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8">
          <w:marLeft w:val="0"/>
          <w:marRight w:val="0"/>
          <w:marTop w:val="0"/>
          <w:marBottom w:val="0"/>
          <w:divBdr>
            <w:top w:val="none" w:sz="0" w:space="0" w:color="auto"/>
            <w:left w:val="none" w:sz="0" w:space="0" w:color="auto"/>
            <w:bottom w:val="none" w:sz="0" w:space="0" w:color="auto"/>
            <w:right w:val="none" w:sz="0" w:space="0" w:color="auto"/>
          </w:divBdr>
        </w:div>
        <w:div w:id="2022471551">
          <w:marLeft w:val="0"/>
          <w:marRight w:val="0"/>
          <w:marTop w:val="0"/>
          <w:marBottom w:val="0"/>
          <w:divBdr>
            <w:top w:val="none" w:sz="0" w:space="0" w:color="auto"/>
            <w:left w:val="none" w:sz="0" w:space="0" w:color="auto"/>
            <w:bottom w:val="none" w:sz="0" w:space="0" w:color="auto"/>
            <w:right w:val="none" w:sz="0" w:space="0" w:color="auto"/>
          </w:divBdr>
          <w:divsChild>
            <w:div w:id="2022471561">
              <w:marLeft w:val="0"/>
              <w:marRight w:val="0"/>
              <w:marTop w:val="0"/>
              <w:marBottom w:val="0"/>
              <w:divBdr>
                <w:top w:val="none" w:sz="0" w:space="0" w:color="auto"/>
                <w:left w:val="none" w:sz="0" w:space="0" w:color="auto"/>
                <w:bottom w:val="none" w:sz="0" w:space="0" w:color="auto"/>
                <w:right w:val="none" w:sz="0" w:space="0" w:color="auto"/>
              </w:divBdr>
              <w:divsChild>
                <w:div w:id="2022471584">
                  <w:marLeft w:val="0"/>
                  <w:marRight w:val="0"/>
                  <w:marTop w:val="0"/>
                  <w:marBottom w:val="0"/>
                  <w:divBdr>
                    <w:top w:val="none" w:sz="0" w:space="0" w:color="auto"/>
                    <w:left w:val="none" w:sz="0" w:space="0" w:color="auto"/>
                    <w:bottom w:val="none" w:sz="0" w:space="0" w:color="auto"/>
                    <w:right w:val="none" w:sz="0" w:space="0" w:color="auto"/>
                  </w:divBdr>
                  <w:divsChild>
                    <w:div w:id="2022471564">
                      <w:marLeft w:val="0"/>
                      <w:marRight w:val="0"/>
                      <w:marTop w:val="0"/>
                      <w:marBottom w:val="0"/>
                      <w:divBdr>
                        <w:top w:val="none" w:sz="0" w:space="0" w:color="auto"/>
                        <w:left w:val="none" w:sz="0" w:space="0" w:color="auto"/>
                        <w:bottom w:val="none" w:sz="0" w:space="0" w:color="auto"/>
                        <w:right w:val="none" w:sz="0" w:space="0" w:color="auto"/>
                      </w:divBdr>
                    </w:div>
                    <w:div w:id="2022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52">
          <w:marLeft w:val="0"/>
          <w:marRight w:val="0"/>
          <w:marTop w:val="0"/>
          <w:marBottom w:val="0"/>
          <w:divBdr>
            <w:top w:val="none" w:sz="0" w:space="0" w:color="auto"/>
            <w:left w:val="none" w:sz="0" w:space="0" w:color="auto"/>
            <w:bottom w:val="none" w:sz="0" w:space="0" w:color="auto"/>
            <w:right w:val="none" w:sz="0" w:space="0" w:color="auto"/>
          </w:divBdr>
        </w:div>
        <w:div w:id="2022471553">
          <w:marLeft w:val="0"/>
          <w:marRight w:val="0"/>
          <w:marTop w:val="0"/>
          <w:marBottom w:val="0"/>
          <w:divBdr>
            <w:top w:val="none" w:sz="0" w:space="0" w:color="auto"/>
            <w:left w:val="none" w:sz="0" w:space="0" w:color="auto"/>
            <w:bottom w:val="none" w:sz="0" w:space="0" w:color="auto"/>
            <w:right w:val="none" w:sz="0" w:space="0" w:color="auto"/>
          </w:divBdr>
        </w:div>
        <w:div w:id="2022471560">
          <w:marLeft w:val="0"/>
          <w:marRight w:val="0"/>
          <w:marTop w:val="0"/>
          <w:marBottom w:val="0"/>
          <w:divBdr>
            <w:top w:val="none" w:sz="0" w:space="0" w:color="auto"/>
            <w:left w:val="none" w:sz="0" w:space="0" w:color="auto"/>
            <w:bottom w:val="none" w:sz="0" w:space="0" w:color="auto"/>
            <w:right w:val="none" w:sz="0" w:space="0" w:color="auto"/>
          </w:divBdr>
          <w:divsChild>
            <w:div w:id="2022471569">
              <w:marLeft w:val="0"/>
              <w:marRight w:val="0"/>
              <w:marTop w:val="0"/>
              <w:marBottom w:val="0"/>
              <w:divBdr>
                <w:top w:val="none" w:sz="0" w:space="0" w:color="auto"/>
                <w:left w:val="none" w:sz="0" w:space="0" w:color="auto"/>
                <w:bottom w:val="none" w:sz="0" w:space="0" w:color="auto"/>
                <w:right w:val="none" w:sz="0" w:space="0" w:color="auto"/>
              </w:divBdr>
              <w:divsChild>
                <w:div w:id="2022471579">
                  <w:marLeft w:val="0"/>
                  <w:marRight w:val="0"/>
                  <w:marTop w:val="0"/>
                  <w:marBottom w:val="0"/>
                  <w:divBdr>
                    <w:top w:val="none" w:sz="0" w:space="0" w:color="auto"/>
                    <w:left w:val="none" w:sz="0" w:space="0" w:color="auto"/>
                    <w:bottom w:val="none" w:sz="0" w:space="0" w:color="auto"/>
                    <w:right w:val="none" w:sz="0" w:space="0" w:color="auto"/>
                  </w:divBdr>
                  <w:divsChild>
                    <w:div w:id="20224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2">
          <w:marLeft w:val="0"/>
          <w:marRight w:val="0"/>
          <w:marTop w:val="0"/>
          <w:marBottom w:val="0"/>
          <w:divBdr>
            <w:top w:val="none" w:sz="0" w:space="0" w:color="auto"/>
            <w:left w:val="none" w:sz="0" w:space="0" w:color="auto"/>
            <w:bottom w:val="none" w:sz="0" w:space="0" w:color="auto"/>
            <w:right w:val="none" w:sz="0" w:space="0" w:color="auto"/>
          </w:divBdr>
          <w:divsChild>
            <w:div w:id="2022471578">
              <w:marLeft w:val="0"/>
              <w:marRight w:val="0"/>
              <w:marTop w:val="0"/>
              <w:marBottom w:val="0"/>
              <w:divBdr>
                <w:top w:val="none" w:sz="0" w:space="0" w:color="auto"/>
                <w:left w:val="none" w:sz="0" w:space="0" w:color="auto"/>
                <w:bottom w:val="none" w:sz="0" w:space="0" w:color="auto"/>
                <w:right w:val="none" w:sz="0" w:space="0" w:color="auto"/>
              </w:divBdr>
              <w:divsChild>
                <w:div w:id="2022471582">
                  <w:marLeft w:val="0"/>
                  <w:marRight w:val="0"/>
                  <w:marTop w:val="0"/>
                  <w:marBottom w:val="0"/>
                  <w:divBdr>
                    <w:top w:val="none" w:sz="0" w:space="0" w:color="auto"/>
                    <w:left w:val="none" w:sz="0" w:space="0" w:color="auto"/>
                    <w:bottom w:val="none" w:sz="0" w:space="0" w:color="auto"/>
                    <w:right w:val="none" w:sz="0" w:space="0" w:color="auto"/>
                  </w:divBdr>
                  <w:divsChild>
                    <w:div w:id="20224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5">
          <w:marLeft w:val="0"/>
          <w:marRight w:val="0"/>
          <w:marTop w:val="0"/>
          <w:marBottom w:val="0"/>
          <w:divBdr>
            <w:top w:val="none" w:sz="0" w:space="0" w:color="auto"/>
            <w:left w:val="none" w:sz="0" w:space="0" w:color="auto"/>
            <w:bottom w:val="none" w:sz="0" w:space="0" w:color="auto"/>
            <w:right w:val="none" w:sz="0" w:space="0" w:color="auto"/>
          </w:divBdr>
        </w:div>
        <w:div w:id="2022471567">
          <w:marLeft w:val="0"/>
          <w:marRight w:val="0"/>
          <w:marTop w:val="0"/>
          <w:marBottom w:val="0"/>
          <w:divBdr>
            <w:top w:val="none" w:sz="0" w:space="0" w:color="auto"/>
            <w:left w:val="none" w:sz="0" w:space="0" w:color="auto"/>
            <w:bottom w:val="none" w:sz="0" w:space="0" w:color="auto"/>
            <w:right w:val="none" w:sz="0" w:space="0" w:color="auto"/>
          </w:divBdr>
        </w:div>
        <w:div w:id="2022471572">
          <w:marLeft w:val="0"/>
          <w:marRight w:val="0"/>
          <w:marTop w:val="0"/>
          <w:marBottom w:val="0"/>
          <w:divBdr>
            <w:top w:val="none" w:sz="0" w:space="0" w:color="auto"/>
            <w:left w:val="none" w:sz="0" w:space="0" w:color="auto"/>
            <w:bottom w:val="none" w:sz="0" w:space="0" w:color="auto"/>
            <w:right w:val="none" w:sz="0" w:space="0" w:color="auto"/>
          </w:divBdr>
        </w:div>
        <w:div w:id="2022471573">
          <w:marLeft w:val="0"/>
          <w:marRight w:val="0"/>
          <w:marTop w:val="0"/>
          <w:marBottom w:val="0"/>
          <w:divBdr>
            <w:top w:val="none" w:sz="0" w:space="0" w:color="auto"/>
            <w:left w:val="none" w:sz="0" w:space="0" w:color="auto"/>
            <w:bottom w:val="none" w:sz="0" w:space="0" w:color="auto"/>
            <w:right w:val="none" w:sz="0" w:space="0" w:color="auto"/>
          </w:divBdr>
          <w:divsChild>
            <w:div w:id="2022471549">
              <w:marLeft w:val="0"/>
              <w:marRight w:val="0"/>
              <w:marTop w:val="0"/>
              <w:marBottom w:val="0"/>
              <w:divBdr>
                <w:top w:val="none" w:sz="0" w:space="0" w:color="auto"/>
                <w:left w:val="none" w:sz="0" w:space="0" w:color="auto"/>
                <w:bottom w:val="none" w:sz="0" w:space="0" w:color="auto"/>
                <w:right w:val="none" w:sz="0" w:space="0" w:color="auto"/>
              </w:divBdr>
              <w:divsChild>
                <w:div w:id="2022471580">
                  <w:marLeft w:val="0"/>
                  <w:marRight w:val="0"/>
                  <w:marTop w:val="0"/>
                  <w:marBottom w:val="0"/>
                  <w:divBdr>
                    <w:top w:val="none" w:sz="0" w:space="0" w:color="auto"/>
                    <w:left w:val="none" w:sz="0" w:space="0" w:color="auto"/>
                    <w:bottom w:val="none" w:sz="0" w:space="0" w:color="auto"/>
                    <w:right w:val="none" w:sz="0" w:space="0" w:color="auto"/>
                  </w:divBdr>
                  <w:divsChild>
                    <w:div w:id="2022471542">
                      <w:marLeft w:val="0"/>
                      <w:marRight w:val="0"/>
                      <w:marTop w:val="0"/>
                      <w:marBottom w:val="0"/>
                      <w:divBdr>
                        <w:top w:val="none" w:sz="0" w:space="0" w:color="auto"/>
                        <w:left w:val="none" w:sz="0" w:space="0" w:color="auto"/>
                        <w:bottom w:val="none" w:sz="0" w:space="0" w:color="auto"/>
                        <w:right w:val="none" w:sz="0" w:space="0" w:color="auto"/>
                      </w:divBdr>
                    </w:div>
                    <w:div w:id="20224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74">
          <w:marLeft w:val="0"/>
          <w:marRight w:val="0"/>
          <w:marTop w:val="0"/>
          <w:marBottom w:val="0"/>
          <w:divBdr>
            <w:top w:val="none" w:sz="0" w:space="0" w:color="auto"/>
            <w:left w:val="none" w:sz="0" w:space="0" w:color="auto"/>
            <w:bottom w:val="none" w:sz="0" w:space="0" w:color="auto"/>
            <w:right w:val="none" w:sz="0" w:space="0" w:color="auto"/>
          </w:divBdr>
          <w:divsChild>
            <w:div w:id="2022471581">
              <w:marLeft w:val="0"/>
              <w:marRight w:val="0"/>
              <w:marTop w:val="0"/>
              <w:marBottom w:val="0"/>
              <w:divBdr>
                <w:top w:val="none" w:sz="0" w:space="0" w:color="auto"/>
                <w:left w:val="none" w:sz="0" w:space="0" w:color="auto"/>
                <w:bottom w:val="none" w:sz="0" w:space="0" w:color="auto"/>
                <w:right w:val="none" w:sz="0" w:space="0" w:color="auto"/>
              </w:divBdr>
              <w:divsChild>
                <w:div w:id="2022471556">
                  <w:marLeft w:val="0"/>
                  <w:marRight w:val="0"/>
                  <w:marTop w:val="0"/>
                  <w:marBottom w:val="0"/>
                  <w:divBdr>
                    <w:top w:val="none" w:sz="0" w:space="0" w:color="auto"/>
                    <w:left w:val="none" w:sz="0" w:space="0" w:color="auto"/>
                    <w:bottom w:val="none" w:sz="0" w:space="0" w:color="auto"/>
                    <w:right w:val="none" w:sz="0" w:space="0" w:color="auto"/>
                  </w:divBdr>
                  <w:divsChild>
                    <w:div w:id="20224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89">
          <w:marLeft w:val="0"/>
          <w:marRight w:val="0"/>
          <w:marTop w:val="0"/>
          <w:marBottom w:val="0"/>
          <w:divBdr>
            <w:top w:val="none" w:sz="0" w:space="0" w:color="auto"/>
            <w:left w:val="none" w:sz="0" w:space="0" w:color="auto"/>
            <w:bottom w:val="none" w:sz="0" w:space="0" w:color="auto"/>
            <w:right w:val="none" w:sz="0" w:space="0" w:color="auto"/>
          </w:divBdr>
          <w:divsChild>
            <w:div w:id="2022471583">
              <w:marLeft w:val="0"/>
              <w:marRight w:val="0"/>
              <w:marTop w:val="0"/>
              <w:marBottom w:val="0"/>
              <w:divBdr>
                <w:top w:val="none" w:sz="0" w:space="0" w:color="auto"/>
                <w:left w:val="none" w:sz="0" w:space="0" w:color="auto"/>
                <w:bottom w:val="none" w:sz="0" w:space="0" w:color="auto"/>
                <w:right w:val="none" w:sz="0" w:space="0" w:color="auto"/>
              </w:divBdr>
              <w:divsChild>
                <w:div w:id="2022471575">
                  <w:marLeft w:val="0"/>
                  <w:marRight w:val="0"/>
                  <w:marTop w:val="0"/>
                  <w:marBottom w:val="0"/>
                  <w:divBdr>
                    <w:top w:val="none" w:sz="0" w:space="0" w:color="auto"/>
                    <w:left w:val="none" w:sz="0" w:space="0" w:color="auto"/>
                    <w:bottom w:val="none" w:sz="0" w:space="0" w:color="auto"/>
                    <w:right w:val="none" w:sz="0" w:space="0" w:color="auto"/>
                  </w:divBdr>
                  <w:divsChild>
                    <w:div w:id="20224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90">
          <w:marLeft w:val="0"/>
          <w:marRight w:val="0"/>
          <w:marTop w:val="0"/>
          <w:marBottom w:val="0"/>
          <w:divBdr>
            <w:top w:val="none" w:sz="0" w:space="0" w:color="auto"/>
            <w:left w:val="none" w:sz="0" w:space="0" w:color="auto"/>
            <w:bottom w:val="none" w:sz="0" w:space="0" w:color="auto"/>
            <w:right w:val="none" w:sz="0" w:space="0" w:color="auto"/>
          </w:divBdr>
        </w:div>
      </w:divsChild>
    </w:div>
    <w:div w:id="2022471588">
      <w:marLeft w:val="0"/>
      <w:marRight w:val="0"/>
      <w:marTop w:val="0"/>
      <w:marBottom w:val="0"/>
      <w:divBdr>
        <w:top w:val="none" w:sz="0" w:space="0" w:color="auto"/>
        <w:left w:val="none" w:sz="0" w:space="0" w:color="auto"/>
        <w:bottom w:val="none" w:sz="0" w:space="0" w:color="auto"/>
        <w:right w:val="none" w:sz="0" w:space="0" w:color="auto"/>
      </w:divBdr>
    </w:div>
    <w:div w:id="2022471591">
      <w:marLeft w:val="0"/>
      <w:marRight w:val="0"/>
      <w:marTop w:val="0"/>
      <w:marBottom w:val="0"/>
      <w:divBdr>
        <w:top w:val="none" w:sz="0" w:space="0" w:color="auto"/>
        <w:left w:val="none" w:sz="0" w:space="0" w:color="auto"/>
        <w:bottom w:val="none" w:sz="0" w:space="0" w:color="auto"/>
        <w:right w:val="none" w:sz="0" w:space="0" w:color="auto"/>
      </w:divBdr>
    </w:div>
    <w:div w:id="2022471592">
      <w:marLeft w:val="0"/>
      <w:marRight w:val="0"/>
      <w:marTop w:val="0"/>
      <w:marBottom w:val="0"/>
      <w:divBdr>
        <w:top w:val="none" w:sz="0" w:space="0" w:color="auto"/>
        <w:left w:val="none" w:sz="0" w:space="0" w:color="auto"/>
        <w:bottom w:val="none" w:sz="0" w:space="0" w:color="auto"/>
        <w:right w:val="none" w:sz="0" w:space="0" w:color="auto"/>
      </w:divBdr>
    </w:div>
    <w:div w:id="2065833763">
      <w:bodyDiv w:val="1"/>
      <w:marLeft w:val="0"/>
      <w:marRight w:val="0"/>
      <w:marTop w:val="0"/>
      <w:marBottom w:val="0"/>
      <w:divBdr>
        <w:top w:val="none" w:sz="0" w:space="0" w:color="auto"/>
        <w:left w:val="none" w:sz="0" w:space="0" w:color="auto"/>
        <w:bottom w:val="none" w:sz="0" w:space="0" w:color="auto"/>
        <w:right w:val="none" w:sz="0" w:space="0" w:color="auto"/>
      </w:divBdr>
    </w:div>
    <w:div w:id="2068607828">
      <w:bodyDiv w:val="1"/>
      <w:marLeft w:val="0"/>
      <w:marRight w:val="0"/>
      <w:marTop w:val="0"/>
      <w:marBottom w:val="0"/>
      <w:divBdr>
        <w:top w:val="none" w:sz="0" w:space="0" w:color="auto"/>
        <w:left w:val="none" w:sz="0" w:space="0" w:color="auto"/>
        <w:bottom w:val="none" w:sz="0" w:space="0" w:color="auto"/>
        <w:right w:val="none" w:sz="0" w:space="0" w:color="auto"/>
      </w:divBdr>
    </w:div>
    <w:div w:id="20829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premecourt.gov/opinions/21pdf/20-1029_i42k.pdf" TargetMode="External"/><Relationship Id="rId18" Type="http://schemas.openxmlformats.org/officeDocument/2006/relationships/hyperlink" Target="https://decisions.scc-csc.ca/scc-csc/scc-csc/en/item/19298/index.do" TargetMode="External"/><Relationship Id="rId26" Type="http://schemas.openxmlformats.org/officeDocument/2006/relationships/hyperlink" Target="https://decisions.scc-csc.ca/scc-csc/scc-csc/en/item/19320/index.do" TargetMode="External"/><Relationship Id="rId39" Type="http://schemas.openxmlformats.org/officeDocument/2006/relationships/hyperlink" Target="https://www.saflii.org/za/cases/ZACC/2022/16.html" TargetMode="External"/><Relationship Id="rId21" Type="http://schemas.openxmlformats.org/officeDocument/2006/relationships/hyperlink" Target="https://www.supremecourt.gov/opinions/21pdf/20-659_3ea4.pdf" TargetMode="External"/><Relationship Id="rId34" Type="http://schemas.openxmlformats.org/officeDocument/2006/relationships/hyperlink" Target="https://www.courtsofnz.govt.nz/assets/cases/2022/2022-NZSC-44.pdf" TargetMode="External"/><Relationship Id="rId42" Type="http://schemas.openxmlformats.org/officeDocument/2006/relationships/hyperlink" Target="https://www.saflii.org/za/cases/ZACC/2022/14.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cisions.scc-csc.ca/scc-csc/scc-csc/en/item/19347/index.do" TargetMode="External"/><Relationship Id="rId29" Type="http://schemas.openxmlformats.org/officeDocument/2006/relationships/hyperlink" Target="https://www.saflii.org/za/cases/ZACC/2022/1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tigation.sg/gd/s/2022_SGCA_43" TargetMode="External"/><Relationship Id="rId24" Type="http://schemas.openxmlformats.org/officeDocument/2006/relationships/hyperlink" Target="https://www.supremecourt.gov/opinions/21pdf/20-826_p702.pdf" TargetMode="External"/><Relationship Id="rId32" Type="http://schemas.openxmlformats.org/officeDocument/2006/relationships/hyperlink" Target="https://www.supremecourt.uk/cases/docs/uksc-2020-0129-judgment.pdf" TargetMode="External"/><Relationship Id="rId37" Type="http://schemas.openxmlformats.org/officeDocument/2006/relationships/hyperlink" Target="https://www.supremecourt.gov/opinions/21pdf/20-979_h3ci.pdf" TargetMode="External"/><Relationship Id="rId40" Type="http://schemas.openxmlformats.org/officeDocument/2006/relationships/hyperlink" Target="https://www.supremecourt.uk/cases/docs/uksc-2019-0215-judgment.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cisions.scc-csc.ca/scc-csc/scc-csc/en/item/19389/index.do" TargetMode="External"/><Relationship Id="rId23" Type="http://schemas.openxmlformats.org/officeDocument/2006/relationships/hyperlink" Target="https://www.supremecourt.uk/cases/docs/uksc-2020-0113-judgment.pdf" TargetMode="External"/><Relationship Id="rId28" Type="http://schemas.openxmlformats.org/officeDocument/2006/relationships/hyperlink" Target="https://www.supremecourt.gov/opinions/21pdf/20-1009_19m2.pdf" TargetMode="External"/><Relationship Id="rId36" Type="http://schemas.openxmlformats.org/officeDocument/2006/relationships/hyperlink" Target="https://www.supremecourt.gov/opinions/21pdf/20-1566_l5gm.pdf" TargetMode="External"/><Relationship Id="rId10" Type="http://schemas.openxmlformats.org/officeDocument/2006/relationships/hyperlink" Target="https://www.elitigation.sg/gd/s/2022_SGCA_41" TargetMode="External"/><Relationship Id="rId19" Type="http://schemas.openxmlformats.org/officeDocument/2006/relationships/hyperlink" Target="https://decisions.scc-csc.ca/scc-csc/scc-csc/en/item/19299/index.do" TargetMode="External"/><Relationship Id="rId31" Type="http://schemas.openxmlformats.org/officeDocument/2006/relationships/hyperlink" Target="https://www.supremecourt.gov/opinions/21pdf/21-12_new_k5fm.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premecourt.gov/opinions/21pdf/20-1472_6j37.pdf" TargetMode="External"/><Relationship Id="rId14" Type="http://schemas.openxmlformats.org/officeDocument/2006/relationships/hyperlink" Target="https://decisions.scc-csc.ca/scc-csc/scc-csc/en/item/19405/index.do" TargetMode="External"/><Relationship Id="rId22" Type="http://schemas.openxmlformats.org/officeDocument/2006/relationships/hyperlink" Target="https://www.supremecourt.gov/opinions/21pdf/20-303_new_21o2.pdf" TargetMode="External"/><Relationship Id="rId27" Type="http://schemas.openxmlformats.org/officeDocument/2006/relationships/hyperlink" Target="https://www.supremecourt.uk/cases/docs/uksc-2020-0103-judgment.pdf" TargetMode="External"/><Relationship Id="rId30" Type="http://schemas.openxmlformats.org/officeDocument/2006/relationships/hyperlink" Target="https://www.supremecourt.gov/opinions/21pdf/20-219_1b82.pdf" TargetMode="External"/><Relationship Id="rId35" Type="http://schemas.openxmlformats.org/officeDocument/2006/relationships/hyperlink" Target="https://decisions.scc-csc.ca/scc-csc/scc-csc/en/item/19396/index.do"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elitigation.sg/gd/s/2022_SGCA_46" TargetMode="External"/><Relationship Id="rId17" Type="http://schemas.openxmlformats.org/officeDocument/2006/relationships/hyperlink" Target="https://decisions.scc-csc.ca/scc-csc/scc-csc/en/item/19349/index.do" TargetMode="External"/><Relationship Id="rId25" Type="http://schemas.openxmlformats.org/officeDocument/2006/relationships/hyperlink" Target="https://www.hklii.hk/eng/hk/cases/hkcfa/2022/7.html" TargetMode="External"/><Relationship Id="rId33" Type="http://schemas.openxmlformats.org/officeDocument/2006/relationships/hyperlink" Target="https://www.saflii.org/za/cases/ZACC/2022/15.html" TargetMode="External"/><Relationship Id="rId38" Type="http://schemas.openxmlformats.org/officeDocument/2006/relationships/hyperlink" Target="https://www.courtsofnz.govt.nz/assets/cases/2022/2022-NZSC-60.pdf" TargetMode="External"/><Relationship Id="rId20" Type="http://schemas.openxmlformats.org/officeDocument/2006/relationships/hyperlink" Target="https://www.supremecourt.gov/opinions/21pdf/20-1800_7lho.pdf" TargetMode="External"/><Relationship Id="rId41" Type="http://schemas.openxmlformats.org/officeDocument/2006/relationships/hyperlink" Target="https://www.supremecourt.uk/cases/docs/uksc-2018-0152-judgment-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CEE5-8979-436A-AD37-0CD267CB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6887</Words>
  <Characters>44564</Characters>
  <Application>Microsoft Office Word</Application>
  <DocSecurity>0</DocSecurity>
  <Lines>371</Lines>
  <Paragraphs>102</Paragraphs>
  <ScaleCrop>false</ScaleCrop>
  <Company/>
  <LinksUpToDate>false</LinksUpToDate>
  <CharactersWithSpaces>51349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2022-06-17T04:13:00Z</dcterms:created>
  <dcterms:modified xsi:type="dcterms:W3CDTF">2022-06-17T04:13:00Z</dcterms:modified>
</cp:coreProperties>
</file>