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CE8" w:rsidRPr="00B546B2" w:rsidRDefault="00122616" w:rsidP="009D0CE8">
      <w:pPr>
        <w:jc w:val="left"/>
      </w:pPr>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64540" cy="6553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E8" w:rsidRPr="00B546B2">
        <w:tab/>
      </w:r>
      <w:r w:rsidR="009D0CE8" w:rsidRPr="00B546B2">
        <w:br w:type="textWrapping" w:clear="all"/>
      </w:r>
    </w:p>
    <w:p w:rsidR="009D0CE8" w:rsidRPr="00B546B2" w:rsidRDefault="009D0CE8" w:rsidP="009D0CE8">
      <w:pPr>
        <w:jc w:val="center"/>
      </w:pPr>
    </w:p>
    <w:p w:rsidR="009D0CE8" w:rsidRPr="00B546B2" w:rsidRDefault="009D0CE8" w:rsidP="009D0CE8">
      <w:pPr>
        <w:pStyle w:val="BullTitle1"/>
      </w:pPr>
      <w:bookmarkStart w:id="1" w:name="Top"/>
      <w:r w:rsidRPr="00B546B2">
        <w:t xml:space="preserve">Overseas </w:t>
      </w:r>
      <w:bookmarkStart w:id="2" w:name="Home"/>
      <w:r w:rsidRPr="00B546B2">
        <w:t xml:space="preserve">Decisions </w:t>
      </w:r>
      <w:bookmarkEnd w:id="2"/>
      <w:r w:rsidRPr="00B546B2">
        <w:t>Bulletin</w:t>
      </w:r>
    </w:p>
    <w:bookmarkEnd w:id="1"/>
    <w:p w:rsidR="009D0CE8" w:rsidRPr="00B546B2" w:rsidRDefault="009D0CE8" w:rsidP="009D0CE8"/>
    <w:p w:rsidR="009D0CE8" w:rsidRPr="00B546B2" w:rsidRDefault="009D0CE8" w:rsidP="009D0CE8">
      <w:pPr>
        <w:pStyle w:val="BullTitle2"/>
      </w:pPr>
      <w:r w:rsidRPr="00B546B2">
        <w:t xml:space="preserve">Produced by the Legal Research Officer, </w:t>
      </w:r>
      <w:r w:rsidRPr="00B546B2">
        <w:br/>
        <w:t>High Court of Australia Library</w:t>
      </w:r>
    </w:p>
    <w:p w:rsidR="009D0CE8" w:rsidRPr="00B546B2" w:rsidRDefault="009D0CE8" w:rsidP="009D0CE8">
      <w:pPr>
        <w:pStyle w:val="BullTitle3"/>
      </w:pPr>
    </w:p>
    <w:p w:rsidR="009D0CE8" w:rsidRPr="00B546B2" w:rsidRDefault="009D0CE8" w:rsidP="009D0CE8">
      <w:pPr>
        <w:pStyle w:val="BullTitle3"/>
      </w:pPr>
      <w:r w:rsidRPr="00227DEC">
        <w:t>Volume 1</w:t>
      </w:r>
      <w:r w:rsidR="002936F6" w:rsidRPr="00227DEC">
        <w:t>8</w:t>
      </w:r>
      <w:r w:rsidRPr="00227DEC">
        <w:t xml:space="preserve"> Number </w:t>
      </w:r>
      <w:r w:rsidR="00227DEC" w:rsidRPr="00227DEC">
        <w:t>4</w:t>
      </w:r>
      <w:r w:rsidRPr="00227DEC">
        <w:t xml:space="preserve"> (</w:t>
      </w:r>
      <w:r w:rsidR="00A7097D" w:rsidRPr="00227DEC">
        <w:t xml:space="preserve">1 </w:t>
      </w:r>
      <w:r w:rsidR="00227DEC" w:rsidRPr="00227DEC">
        <w:t>July</w:t>
      </w:r>
      <w:r w:rsidR="007E4E01" w:rsidRPr="00227DEC">
        <w:t xml:space="preserve"> –</w:t>
      </w:r>
      <w:r w:rsidR="00727206" w:rsidRPr="00227DEC">
        <w:t xml:space="preserve"> </w:t>
      </w:r>
      <w:r w:rsidR="00227DEC" w:rsidRPr="00227DEC">
        <w:t>31 August</w:t>
      </w:r>
      <w:r w:rsidR="002B1A95" w:rsidRPr="00227DEC">
        <w:t xml:space="preserve"> 20</w:t>
      </w:r>
      <w:r w:rsidR="00CE0463" w:rsidRPr="00227DEC">
        <w:t>2</w:t>
      </w:r>
      <w:r w:rsidR="00725F4B" w:rsidRPr="00227DEC">
        <w:t>1</w:t>
      </w:r>
      <w:r w:rsidRPr="00227DEC">
        <w:t>)</w:t>
      </w:r>
    </w:p>
    <w:p w:rsidR="009D0CE8" w:rsidRPr="00B546B2" w:rsidRDefault="009D0CE8" w:rsidP="009D0CE8"/>
    <w:p w:rsidR="009D0CE8" w:rsidRPr="00B546B2" w:rsidRDefault="009D0CE8" w:rsidP="009D0CE8">
      <w:r w:rsidRPr="00B546B2">
        <w:t>Decisions of the Supreme Court of the United Kingdom, the Supreme Court of Canada, the Supreme Court of the United States, the Constitutional Court of South Africa, the Supreme Court of New Zealand and the Hong Kong Court of Final Appeal. Admiralty, arbitration and constitutional decisions of the Court of Appeal of Singapore.</w:t>
      </w:r>
    </w:p>
    <w:p w:rsidR="009D0CE8" w:rsidRPr="00B546B2" w:rsidRDefault="009D0CE8" w:rsidP="009D0CE8">
      <w:pPr>
        <w:pStyle w:val="BullDivider2"/>
        <w:rPr>
          <w:rFonts w:cs="Arial"/>
          <w:highlight w:val="yellow"/>
        </w:rPr>
      </w:pPr>
    </w:p>
    <w:p w:rsidR="002F4F7E" w:rsidRPr="00B546B2" w:rsidRDefault="002F4F7E" w:rsidP="002F4F7E">
      <w:pPr>
        <w:rPr>
          <w:highlight w:val="yellow"/>
          <w:lang w:eastAsia="en-AU"/>
        </w:rPr>
      </w:pPr>
    </w:p>
    <w:p w:rsidR="002F4F7E" w:rsidRPr="00B20BAC" w:rsidRDefault="00227DEC" w:rsidP="002F4F7E">
      <w:pPr>
        <w:pStyle w:val="Heading1"/>
      </w:pPr>
      <w:r>
        <w:t>Aboriginal Law</w:t>
      </w:r>
    </w:p>
    <w:p w:rsidR="002F4F7E" w:rsidRPr="00856E9C" w:rsidRDefault="002F4F7E" w:rsidP="002F4F7E">
      <w:pPr>
        <w:rPr>
          <w:highlight w:val="yellow"/>
          <w:lang w:eastAsia="en-AU"/>
        </w:rPr>
      </w:pPr>
    </w:p>
    <w:p w:rsidR="002F4F7E" w:rsidRPr="002F4F7E" w:rsidRDefault="00227DEC" w:rsidP="002F4F7E">
      <w:pPr>
        <w:pStyle w:val="Heading2"/>
      </w:pPr>
      <w:r>
        <w:t>Southwind v Canada</w:t>
      </w:r>
    </w:p>
    <w:p w:rsidR="002F4F7E" w:rsidRPr="002F4F7E" w:rsidRDefault="00227DEC" w:rsidP="002F4F7E">
      <w:pPr>
        <w:rPr>
          <w:lang w:eastAsia="en-AU"/>
        </w:rPr>
      </w:pPr>
      <w:r>
        <w:rPr>
          <w:b/>
          <w:lang w:eastAsia="en-AU"/>
        </w:rPr>
        <w:t xml:space="preserve">Supreme Court of </w:t>
      </w:r>
      <w:r w:rsidR="002F4F7E" w:rsidRPr="002F4F7E">
        <w:rPr>
          <w:b/>
          <w:lang w:eastAsia="en-AU"/>
        </w:rPr>
        <w:t>C</w:t>
      </w:r>
      <w:r w:rsidR="007F5EEF">
        <w:rPr>
          <w:b/>
          <w:lang w:eastAsia="en-AU"/>
        </w:rPr>
        <w:t>anada</w:t>
      </w:r>
      <w:r w:rsidR="002F4F7E" w:rsidRPr="002F4F7E">
        <w:rPr>
          <w:b/>
          <w:lang w:eastAsia="en-AU"/>
        </w:rPr>
        <w:t xml:space="preserve">: </w:t>
      </w:r>
      <w:hyperlink r:id="rId9" w:history="1">
        <w:r w:rsidRPr="00227DEC">
          <w:rPr>
            <w:rStyle w:val="Hyperlink"/>
            <w:lang w:eastAsia="en-AU"/>
          </w:rPr>
          <w:t>[2021] SCC 28</w:t>
        </w:r>
      </w:hyperlink>
    </w:p>
    <w:p w:rsidR="002F4F7E" w:rsidRPr="002F4F7E" w:rsidRDefault="002F4F7E" w:rsidP="002F4F7E">
      <w:pPr>
        <w:rPr>
          <w:lang w:eastAsia="en-AU"/>
        </w:rPr>
      </w:pPr>
    </w:p>
    <w:p w:rsidR="002F4F7E" w:rsidRPr="002F4F7E" w:rsidRDefault="002F4F7E" w:rsidP="002F4F7E">
      <w:pPr>
        <w:rPr>
          <w:lang w:eastAsia="en-AU"/>
        </w:rPr>
      </w:pPr>
      <w:r w:rsidRPr="002F4F7E">
        <w:rPr>
          <w:b/>
          <w:lang w:eastAsia="en-AU"/>
        </w:rPr>
        <w:t>Judgment delivered:</w:t>
      </w:r>
      <w:r w:rsidRPr="002F4F7E">
        <w:rPr>
          <w:lang w:eastAsia="en-AU"/>
        </w:rPr>
        <w:t xml:space="preserve"> </w:t>
      </w:r>
      <w:r w:rsidR="00227DEC">
        <w:rPr>
          <w:lang w:eastAsia="en-AU"/>
        </w:rPr>
        <w:t>16 July 2021</w:t>
      </w:r>
    </w:p>
    <w:p w:rsidR="002F4F7E" w:rsidRPr="002F4F7E" w:rsidRDefault="002F4F7E" w:rsidP="002F4F7E">
      <w:pPr>
        <w:rPr>
          <w:lang w:eastAsia="en-AU"/>
        </w:rPr>
      </w:pPr>
    </w:p>
    <w:p w:rsidR="002F4F7E" w:rsidRPr="002F4F7E" w:rsidRDefault="002F4F7E" w:rsidP="002F4F7E">
      <w:pPr>
        <w:rPr>
          <w:lang w:eastAsia="en-AU"/>
        </w:rPr>
      </w:pPr>
      <w:r w:rsidRPr="002F4F7E">
        <w:rPr>
          <w:b/>
          <w:lang w:eastAsia="en-AU"/>
        </w:rPr>
        <w:t xml:space="preserve">Coram: </w:t>
      </w:r>
      <w:r w:rsidR="00227DEC">
        <w:rPr>
          <w:color w:val="000000"/>
        </w:rPr>
        <w:t>Wagner CJ, Abella, Moldaver, Karakatsanis, Côté, Brown, Rowe, Martin and Kasirer JJ</w:t>
      </w:r>
    </w:p>
    <w:p w:rsidR="002F4F7E" w:rsidRPr="002F4F7E" w:rsidRDefault="002F4F7E" w:rsidP="002F4F7E">
      <w:pPr>
        <w:rPr>
          <w:lang w:eastAsia="en-AU"/>
        </w:rPr>
      </w:pPr>
    </w:p>
    <w:p w:rsidR="002F4F7E" w:rsidRPr="002F4F7E" w:rsidRDefault="002B1A95" w:rsidP="002F4F7E">
      <w:pPr>
        <w:rPr>
          <w:b/>
          <w:lang w:eastAsia="en-AU"/>
        </w:rPr>
      </w:pPr>
      <w:r>
        <w:rPr>
          <w:b/>
          <w:lang w:eastAsia="en-AU"/>
        </w:rPr>
        <w:t>Catchwords:</w:t>
      </w:r>
    </w:p>
    <w:p w:rsidR="002F4F7E" w:rsidRPr="00856E9C" w:rsidRDefault="002F4F7E" w:rsidP="002F4F7E">
      <w:pPr>
        <w:rPr>
          <w:b/>
          <w:highlight w:val="yellow"/>
          <w:lang w:eastAsia="en-AU"/>
        </w:rPr>
      </w:pPr>
    </w:p>
    <w:p w:rsidR="002F4F7E" w:rsidRDefault="00227DEC" w:rsidP="002F4F7E">
      <w:pPr>
        <w:ind w:left="720"/>
        <w:rPr>
          <w:lang w:eastAsia="en-AU"/>
        </w:rPr>
      </w:pPr>
      <w:r w:rsidRPr="00227DEC">
        <w:rPr>
          <w:lang w:eastAsia="en-AU"/>
        </w:rPr>
        <w:t xml:space="preserve">Aboriginal law — Fiduciary duty — Reserve land — Remedy — Equitable compensation — </w:t>
      </w:r>
      <w:r>
        <w:rPr>
          <w:lang w:eastAsia="en-AU"/>
        </w:rPr>
        <w:t>Where p</w:t>
      </w:r>
      <w:r w:rsidRPr="00227DEC">
        <w:rPr>
          <w:lang w:eastAsia="en-AU"/>
        </w:rPr>
        <w:t xml:space="preserve">art of First Nation’s reserve land flooded to power hydroelectricity generation without consent of First Nation, without compensation and without lawful authorization — </w:t>
      </w:r>
      <w:r>
        <w:rPr>
          <w:lang w:eastAsia="en-AU"/>
        </w:rPr>
        <w:t>Where c</w:t>
      </w:r>
      <w:r w:rsidRPr="00227DEC">
        <w:rPr>
          <w:lang w:eastAsia="en-AU"/>
        </w:rPr>
        <w:t xml:space="preserve">laim filed against Canada for breach of fiduciary duty and of obligations under </w:t>
      </w:r>
      <w:r w:rsidRPr="00227DEC">
        <w:rPr>
          <w:i/>
          <w:lang w:eastAsia="en-AU"/>
        </w:rPr>
        <w:t>Indian Act</w:t>
      </w:r>
      <w:r w:rsidRPr="00227DEC">
        <w:rPr>
          <w:lang w:eastAsia="en-AU"/>
        </w:rPr>
        <w:t xml:space="preserve">  and applicable treaty — </w:t>
      </w:r>
      <w:r>
        <w:rPr>
          <w:lang w:eastAsia="en-AU"/>
        </w:rPr>
        <w:t>Where t</w:t>
      </w:r>
      <w:r w:rsidRPr="00227DEC">
        <w:rPr>
          <w:lang w:eastAsia="en-AU"/>
        </w:rPr>
        <w:t>rial judge conclud</w:t>
      </w:r>
      <w:r>
        <w:rPr>
          <w:lang w:eastAsia="en-AU"/>
        </w:rPr>
        <w:t>ed</w:t>
      </w:r>
      <w:r w:rsidRPr="00227DEC">
        <w:rPr>
          <w:lang w:eastAsia="en-AU"/>
        </w:rPr>
        <w:t xml:space="preserve"> that Canada breached fiduciary duty to First Nation and awarding equitable compensation for loss of flooded land — Whether trial judge erred in assessment of equitable compensation.</w:t>
      </w:r>
    </w:p>
    <w:p w:rsidR="00227DEC" w:rsidRPr="00856E9C" w:rsidRDefault="00227DEC" w:rsidP="002F4F7E">
      <w:pPr>
        <w:ind w:left="720"/>
        <w:rPr>
          <w:highlight w:val="yellow"/>
          <w:lang w:eastAsia="en-AU"/>
        </w:rPr>
      </w:pPr>
    </w:p>
    <w:p w:rsidR="00A92ED7" w:rsidRDefault="002F4F7E" w:rsidP="002F4F7E">
      <w:pPr>
        <w:rPr>
          <w:lang w:eastAsia="en-AU"/>
        </w:rPr>
      </w:pPr>
      <w:r w:rsidRPr="002F4F7E">
        <w:rPr>
          <w:b/>
          <w:lang w:eastAsia="en-AU"/>
        </w:rPr>
        <w:t>Held (</w:t>
      </w:r>
      <w:r w:rsidR="00227DEC">
        <w:rPr>
          <w:b/>
          <w:lang w:eastAsia="en-AU"/>
        </w:rPr>
        <w:t>8</w:t>
      </w:r>
      <w:r w:rsidR="002B1A95">
        <w:rPr>
          <w:b/>
          <w:lang w:eastAsia="en-AU"/>
        </w:rPr>
        <w:t>:</w:t>
      </w:r>
      <w:r w:rsidR="00227DEC">
        <w:rPr>
          <w:b/>
          <w:lang w:eastAsia="en-AU"/>
        </w:rPr>
        <w:t>1</w:t>
      </w:r>
      <w:r w:rsidRPr="002F4F7E">
        <w:rPr>
          <w:b/>
          <w:lang w:eastAsia="en-AU"/>
        </w:rPr>
        <w:t xml:space="preserve">): </w:t>
      </w:r>
      <w:r w:rsidR="00227DEC">
        <w:rPr>
          <w:lang w:eastAsia="en-AU"/>
        </w:rPr>
        <w:t>Appeal allowed.</w:t>
      </w:r>
    </w:p>
    <w:p w:rsidR="00A92ED7" w:rsidRPr="00B546B2" w:rsidRDefault="00A92ED7" w:rsidP="00A92ED7">
      <w:pPr>
        <w:pStyle w:val="BullDivider2"/>
        <w:rPr>
          <w:rFonts w:cs="Arial"/>
          <w:highlight w:val="yellow"/>
        </w:rPr>
      </w:pPr>
    </w:p>
    <w:p w:rsidR="00A92ED7" w:rsidRPr="00B546B2" w:rsidRDefault="00A92ED7" w:rsidP="00A92ED7">
      <w:pPr>
        <w:rPr>
          <w:highlight w:val="yellow"/>
        </w:rPr>
      </w:pPr>
    </w:p>
    <w:p w:rsidR="00A92ED7" w:rsidRDefault="00A92ED7" w:rsidP="00A92ED7">
      <w:pPr>
        <w:pStyle w:val="Heading1"/>
      </w:pPr>
      <w:r>
        <w:t>Administrative Law</w:t>
      </w:r>
    </w:p>
    <w:p w:rsidR="00A92ED7" w:rsidRDefault="00A92ED7" w:rsidP="002F4F7E">
      <w:pPr>
        <w:rPr>
          <w:lang w:eastAsia="en-AU"/>
        </w:rPr>
      </w:pPr>
    </w:p>
    <w:p w:rsidR="00A92ED7" w:rsidRPr="002F4F7E" w:rsidRDefault="00A92ED7" w:rsidP="00A92ED7">
      <w:pPr>
        <w:pStyle w:val="Heading2"/>
      </w:pPr>
      <w:r>
        <w:lastRenderedPageBreak/>
        <w:t>R (BF (Eritrea)) v Secretary of State for the Home Department</w:t>
      </w:r>
    </w:p>
    <w:p w:rsidR="00A92ED7" w:rsidRPr="002F4F7E" w:rsidRDefault="00A92ED7" w:rsidP="00A92ED7">
      <w:pPr>
        <w:rPr>
          <w:lang w:eastAsia="en-AU"/>
        </w:rPr>
      </w:pPr>
      <w:r>
        <w:rPr>
          <w:b/>
          <w:lang w:eastAsia="en-AU"/>
        </w:rPr>
        <w:t>Supreme Court of the United Kingdom</w:t>
      </w:r>
      <w:r w:rsidRPr="002F4F7E">
        <w:rPr>
          <w:b/>
          <w:lang w:eastAsia="en-AU"/>
        </w:rPr>
        <w:t xml:space="preserve">: </w:t>
      </w:r>
      <w:hyperlink r:id="rId10" w:history="1">
        <w:r w:rsidRPr="00A82750">
          <w:rPr>
            <w:rStyle w:val="Hyperlink"/>
            <w:lang w:eastAsia="en-AU"/>
          </w:rPr>
          <w:t>[2021] UKSC 3</w:t>
        </w:r>
        <w:r>
          <w:rPr>
            <w:rStyle w:val="Hyperlink"/>
            <w:lang w:eastAsia="en-AU"/>
          </w:rPr>
          <w:t>8</w:t>
        </w:r>
      </w:hyperlink>
    </w:p>
    <w:p w:rsidR="00A92ED7" w:rsidRPr="002F4F7E" w:rsidRDefault="00A92ED7" w:rsidP="00A92ED7">
      <w:pPr>
        <w:rPr>
          <w:lang w:eastAsia="en-AU"/>
        </w:rPr>
      </w:pPr>
    </w:p>
    <w:p w:rsidR="00A92ED7" w:rsidRPr="002F4F7E" w:rsidRDefault="00A92ED7" w:rsidP="00A92ED7">
      <w:pPr>
        <w:rPr>
          <w:lang w:eastAsia="en-AU"/>
        </w:rPr>
      </w:pPr>
      <w:r w:rsidRPr="002F4F7E">
        <w:rPr>
          <w:b/>
          <w:lang w:eastAsia="en-AU"/>
        </w:rPr>
        <w:t>Judgment delivered:</w:t>
      </w:r>
      <w:r w:rsidRPr="002F4F7E">
        <w:rPr>
          <w:lang w:eastAsia="en-AU"/>
        </w:rPr>
        <w:t xml:space="preserve"> </w:t>
      </w:r>
      <w:r>
        <w:rPr>
          <w:lang w:eastAsia="en-AU"/>
        </w:rPr>
        <w:t>30 July 2021</w:t>
      </w:r>
    </w:p>
    <w:p w:rsidR="00A92ED7" w:rsidRPr="002F4F7E" w:rsidRDefault="00A92ED7" w:rsidP="00A92ED7">
      <w:pPr>
        <w:rPr>
          <w:lang w:eastAsia="en-AU"/>
        </w:rPr>
      </w:pPr>
    </w:p>
    <w:p w:rsidR="00A92ED7" w:rsidRPr="002F4F7E" w:rsidRDefault="00A92ED7" w:rsidP="00A92ED7">
      <w:pPr>
        <w:rPr>
          <w:lang w:eastAsia="en-AU"/>
        </w:rPr>
      </w:pPr>
      <w:r w:rsidRPr="002F4F7E">
        <w:rPr>
          <w:b/>
          <w:lang w:eastAsia="en-AU"/>
        </w:rPr>
        <w:t xml:space="preserve">Coram: </w:t>
      </w:r>
      <w:r w:rsidRPr="00A82750">
        <w:rPr>
          <w:lang w:eastAsia="en-AU"/>
        </w:rPr>
        <w:t xml:space="preserve">Lord </w:t>
      </w:r>
      <w:r>
        <w:rPr>
          <w:lang w:eastAsia="en-AU"/>
        </w:rPr>
        <w:t>Reed, Lord Lloyd-Jones, Lord Briggs, Lord Sales and Lord Burnett</w:t>
      </w:r>
    </w:p>
    <w:p w:rsidR="00A92ED7" w:rsidRPr="002F4F7E" w:rsidRDefault="00A92ED7" w:rsidP="00A92ED7">
      <w:pPr>
        <w:rPr>
          <w:lang w:eastAsia="en-AU"/>
        </w:rPr>
      </w:pPr>
    </w:p>
    <w:p w:rsidR="00A92ED7" w:rsidRPr="002F4F7E" w:rsidRDefault="00A92ED7" w:rsidP="00A92ED7">
      <w:pPr>
        <w:rPr>
          <w:b/>
          <w:lang w:eastAsia="en-AU"/>
        </w:rPr>
      </w:pPr>
      <w:r>
        <w:rPr>
          <w:b/>
          <w:lang w:eastAsia="en-AU"/>
        </w:rPr>
        <w:t>Catchwords:</w:t>
      </w:r>
    </w:p>
    <w:p w:rsidR="00A92ED7" w:rsidRPr="00856E9C" w:rsidRDefault="00A92ED7" w:rsidP="00A92ED7">
      <w:pPr>
        <w:rPr>
          <w:b/>
          <w:highlight w:val="yellow"/>
          <w:lang w:eastAsia="en-AU"/>
        </w:rPr>
      </w:pPr>
    </w:p>
    <w:p w:rsidR="00A92ED7" w:rsidRPr="00A92ED7" w:rsidRDefault="00A92ED7" w:rsidP="00A92ED7">
      <w:pPr>
        <w:ind w:left="720"/>
        <w:rPr>
          <w:lang w:eastAsia="en-AU"/>
        </w:rPr>
      </w:pPr>
      <w:r>
        <w:rPr>
          <w:lang w:eastAsia="en-AU"/>
        </w:rPr>
        <w:t xml:space="preserve">Administrative law – Judicial review – Lawfulness of policy – </w:t>
      </w:r>
      <w:r w:rsidR="00580849">
        <w:rPr>
          <w:lang w:eastAsia="en-AU"/>
        </w:rPr>
        <w:t xml:space="preserve">Where Departmental policy </w:t>
      </w:r>
      <w:r w:rsidR="00580849" w:rsidRPr="00580849">
        <w:rPr>
          <w:i/>
          <w:lang w:eastAsia="en-AU"/>
        </w:rPr>
        <w:t>Enforcement Instructions and Guidance</w:t>
      </w:r>
      <w:r w:rsidR="00580849">
        <w:rPr>
          <w:lang w:eastAsia="en-AU"/>
        </w:rPr>
        <w:t xml:space="preserve"> s 55.9.3.1 provided for criteria for circumstances that asylum seeker would be treated as adult – Where Criterion C provided asylum seeker not be accepted as under 18 years old if physical appearance and demeanour strongly suggests significantly over 18 years and no other credible evidence exists – Where respondent national of Eritrea and asylum seeker claiming to be 16 years old – Where immigration officers considered his physical appearance suggested significantly over 18 years old and applied Criterion C – Where respondent applied for judicial review of Guidance on basis physical appearance and demeanour unreliable indicator of age – Where Upper Tribunal dismissed application and Court of Appeal allowed appeal – Whether Court of Appeal applied correct test</w:t>
      </w:r>
      <w:r w:rsidR="00420BDA">
        <w:rPr>
          <w:lang w:eastAsia="en-AU"/>
        </w:rPr>
        <w:t xml:space="preserve"> of lawfulness of policy – </w:t>
      </w:r>
      <w:r w:rsidR="00580849">
        <w:rPr>
          <w:lang w:eastAsia="en-AU"/>
        </w:rPr>
        <w:t xml:space="preserve">Whether Guidance unlawful because directs officials to act contrary to legal obligations. </w:t>
      </w:r>
    </w:p>
    <w:p w:rsidR="00A92ED7" w:rsidRPr="00856E9C" w:rsidRDefault="00A92ED7" w:rsidP="00A92ED7">
      <w:pPr>
        <w:ind w:left="720"/>
        <w:rPr>
          <w:highlight w:val="yellow"/>
          <w:lang w:eastAsia="en-AU"/>
        </w:rPr>
      </w:pPr>
    </w:p>
    <w:p w:rsidR="00A92ED7" w:rsidRPr="000D3E8D" w:rsidRDefault="00A92ED7" w:rsidP="00A92ED7">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w:t>
      </w:r>
      <w:r w:rsidR="00420BDA">
        <w:rPr>
          <w:lang w:eastAsia="en-AU"/>
        </w:rPr>
        <w:t xml:space="preserve">allowed. </w:t>
      </w:r>
    </w:p>
    <w:p w:rsidR="00A92ED7" w:rsidRPr="00181993" w:rsidRDefault="00A92ED7" w:rsidP="00A92ED7">
      <w:pPr>
        <w:pStyle w:val="BullDivider1"/>
        <w:pBdr>
          <w:bottom w:val="dotted" w:sz="4" w:space="0" w:color="auto"/>
        </w:pBdr>
      </w:pPr>
    </w:p>
    <w:p w:rsidR="00A92ED7" w:rsidRDefault="00A92ED7" w:rsidP="00A92ED7"/>
    <w:p w:rsidR="00A92ED7" w:rsidRPr="002F4F7E" w:rsidRDefault="00A92ED7" w:rsidP="00A92ED7">
      <w:pPr>
        <w:pStyle w:val="Heading2"/>
      </w:pPr>
      <w:r>
        <w:t>R (A) v Secretary of State for the Home Department</w:t>
      </w:r>
    </w:p>
    <w:p w:rsidR="00A92ED7" w:rsidRPr="002F4F7E" w:rsidRDefault="00A92ED7" w:rsidP="00A92ED7">
      <w:pPr>
        <w:rPr>
          <w:lang w:eastAsia="en-AU"/>
        </w:rPr>
      </w:pPr>
      <w:r>
        <w:rPr>
          <w:b/>
          <w:lang w:eastAsia="en-AU"/>
        </w:rPr>
        <w:t>Supreme Court of the United Kingdom</w:t>
      </w:r>
      <w:r w:rsidRPr="002F4F7E">
        <w:rPr>
          <w:b/>
          <w:lang w:eastAsia="en-AU"/>
        </w:rPr>
        <w:t xml:space="preserve">: </w:t>
      </w:r>
      <w:hyperlink r:id="rId11" w:history="1">
        <w:r w:rsidRPr="00A82750">
          <w:rPr>
            <w:rStyle w:val="Hyperlink"/>
            <w:lang w:eastAsia="en-AU"/>
          </w:rPr>
          <w:t>[2021] UKSC 3</w:t>
        </w:r>
        <w:r>
          <w:rPr>
            <w:rStyle w:val="Hyperlink"/>
            <w:lang w:eastAsia="en-AU"/>
          </w:rPr>
          <w:t>7</w:t>
        </w:r>
      </w:hyperlink>
    </w:p>
    <w:p w:rsidR="00A92ED7" w:rsidRPr="002F4F7E" w:rsidRDefault="00A92ED7" w:rsidP="00A92ED7">
      <w:pPr>
        <w:rPr>
          <w:lang w:eastAsia="en-AU"/>
        </w:rPr>
      </w:pPr>
    </w:p>
    <w:p w:rsidR="00A92ED7" w:rsidRPr="002F4F7E" w:rsidRDefault="00A92ED7" w:rsidP="00A92ED7">
      <w:pPr>
        <w:rPr>
          <w:lang w:eastAsia="en-AU"/>
        </w:rPr>
      </w:pPr>
      <w:r w:rsidRPr="002F4F7E">
        <w:rPr>
          <w:b/>
          <w:lang w:eastAsia="en-AU"/>
        </w:rPr>
        <w:t>Judgment delivered:</w:t>
      </w:r>
      <w:r w:rsidRPr="002F4F7E">
        <w:rPr>
          <w:lang w:eastAsia="en-AU"/>
        </w:rPr>
        <w:t xml:space="preserve"> </w:t>
      </w:r>
      <w:r>
        <w:rPr>
          <w:lang w:eastAsia="en-AU"/>
        </w:rPr>
        <w:t>30 July 2021</w:t>
      </w:r>
    </w:p>
    <w:p w:rsidR="00A92ED7" w:rsidRPr="002F4F7E" w:rsidRDefault="00A92ED7" w:rsidP="00A92ED7">
      <w:pPr>
        <w:rPr>
          <w:lang w:eastAsia="en-AU"/>
        </w:rPr>
      </w:pPr>
    </w:p>
    <w:p w:rsidR="00A92ED7" w:rsidRPr="002F4F7E" w:rsidRDefault="00A92ED7" w:rsidP="00A92ED7">
      <w:pPr>
        <w:rPr>
          <w:lang w:eastAsia="en-AU"/>
        </w:rPr>
      </w:pPr>
      <w:r w:rsidRPr="002F4F7E">
        <w:rPr>
          <w:b/>
          <w:lang w:eastAsia="en-AU"/>
        </w:rPr>
        <w:t xml:space="preserve">Coram: </w:t>
      </w:r>
      <w:r w:rsidRPr="00A82750">
        <w:rPr>
          <w:lang w:eastAsia="en-AU"/>
        </w:rPr>
        <w:t xml:space="preserve">Lord </w:t>
      </w:r>
      <w:r>
        <w:rPr>
          <w:lang w:eastAsia="en-AU"/>
        </w:rPr>
        <w:t>Reed, Lord Lloyd-Jones, Lord Briggs, Lord Sales and Lord Burnett</w:t>
      </w:r>
    </w:p>
    <w:p w:rsidR="00A92ED7" w:rsidRPr="002F4F7E" w:rsidRDefault="00A92ED7" w:rsidP="00A92ED7">
      <w:pPr>
        <w:rPr>
          <w:lang w:eastAsia="en-AU"/>
        </w:rPr>
      </w:pPr>
    </w:p>
    <w:p w:rsidR="00A92ED7" w:rsidRPr="002F4F7E" w:rsidRDefault="00A92ED7" w:rsidP="00A92ED7">
      <w:pPr>
        <w:rPr>
          <w:b/>
          <w:lang w:eastAsia="en-AU"/>
        </w:rPr>
      </w:pPr>
      <w:r>
        <w:rPr>
          <w:b/>
          <w:lang w:eastAsia="en-AU"/>
        </w:rPr>
        <w:t>Catchwords:</w:t>
      </w:r>
    </w:p>
    <w:p w:rsidR="00A92ED7" w:rsidRPr="00856E9C" w:rsidRDefault="00A92ED7" w:rsidP="00A92ED7">
      <w:pPr>
        <w:rPr>
          <w:b/>
          <w:highlight w:val="yellow"/>
          <w:lang w:eastAsia="en-AU"/>
        </w:rPr>
      </w:pPr>
    </w:p>
    <w:p w:rsidR="00A92ED7" w:rsidRPr="00A92ED7" w:rsidRDefault="00A92ED7" w:rsidP="00A92ED7">
      <w:pPr>
        <w:ind w:left="720"/>
        <w:rPr>
          <w:lang w:eastAsia="en-AU"/>
        </w:rPr>
      </w:pPr>
      <w:r>
        <w:rPr>
          <w:lang w:eastAsia="en-AU"/>
        </w:rPr>
        <w:t xml:space="preserve">Administrative law – Judicial review – Lawfulness of policy – Human rights – Respect for private life – Where appellant convicted child sex offender – Where Child Sex Offender Disclosure Scheme set up to coordinate approach of police to responding to requests for information from members of public about child sex offenders – Where Secretary issued </w:t>
      </w:r>
      <w:r w:rsidRPr="00580849">
        <w:rPr>
          <w:i/>
          <w:lang w:eastAsia="en-AU"/>
        </w:rPr>
        <w:t>Child Sex Offender Disclosure Scheme Guidance</w:t>
      </w:r>
      <w:r>
        <w:rPr>
          <w:lang w:eastAsia="en-AU"/>
        </w:rPr>
        <w:t xml:space="preserve">, which includes paragraph reminding police to consider whether person about whom disclosure is made should be given opportunity to make representations – Where appellant applied for judicial review of Guidance – Where Administrative Court held Guidance lawful and Court of Appeal dismissed appeal – </w:t>
      </w:r>
      <w:r w:rsidR="00420BDA">
        <w:rPr>
          <w:lang w:eastAsia="en-AU"/>
        </w:rPr>
        <w:t xml:space="preserve">Whether Court of Appeal applied correct test of lawfulness of policy – </w:t>
      </w:r>
      <w:r w:rsidR="00580849">
        <w:rPr>
          <w:lang w:eastAsia="en-AU"/>
        </w:rPr>
        <w:t xml:space="preserve">Whether Guidance unlawful because directs officials to act contrary to legal obligations </w:t>
      </w:r>
      <w:r>
        <w:rPr>
          <w:lang w:eastAsia="en-AU"/>
        </w:rPr>
        <w:t xml:space="preserve">– Whether Guidance unlawful due to conflict </w:t>
      </w:r>
      <w:r>
        <w:rPr>
          <w:lang w:eastAsia="en-AU"/>
        </w:rPr>
        <w:lastRenderedPageBreak/>
        <w:t xml:space="preserve">with art 8(2) (respect for private life) of </w:t>
      </w:r>
      <w:r>
        <w:rPr>
          <w:i/>
          <w:lang w:eastAsia="en-AU"/>
        </w:rPr>
        <w:t>European Convention on Human Rights</w:t>
      </w:r>
      <w:r>
        <w:rPr>
          <w:lang w:eastAsia="en-AU"/>
        </w:rPr>
        <w:t xml:space="preserve"> – Whether Guidance unlawful due to inherent unfairness. </w:t>
      </w:r>
    </w:p>
    <w:p w:rsidR="00A92ED7" w:rsidRPr="00856E9C" w:rsidRDefault="00A92ED7" w:rsidP="00A92ED7">
      <w:pPr>
        <w:ind w:left="720"/>
        <w:rPr>
          <w:highlight w:val="yellow"/>
          <w:lang w:eastAsia="en-AU"/>
        </w:rPr>
      </w:pPr>
    </w:p>
    <w:p w:rsidR="0017729B" w:rsidRDefault="00A92ED7" w:rsidP="00A92ED7">
      <w:pPr>
        <w:rPr>
          <w:lang w:eastAsia="en-AU"/>
        </w:rPr>
      </w:pPr>
      <w:r w:rsidRPr="002F4F7E">
        <w:rPr>
          <w:b/>
          <w:lang w:eastAsia="en-AU"/>
        </w:rPr>
        <w:t>Held (</w:t>
      </w:r>
      <w:r>
        <w:rPr>
          <w:b/>
          <w:lang w:eastAsia="en-AU"/>
        </w:rPr>
        <w:t>5:0</w:t>
      </w:r>
      <w:r w:rsidRPr="002F4F7E">
        <w:rPr>
          <w:b/>
          <w:lang w:eastAsia="en-AU"/>
        </w:rPr>
        <w:t xml:space="preserve">): </w:t>
      </w:r>
      <w:r>
        <w:rPr>
          <w:lang w:eastAsia="en-AU"/>
        </w:rPr>
        <w:t>Appeal dismissed.</w:t>
      </w:r>
    </w:p>
    <w:p w:rsidR="000B6229" w:rsidRPr="00181993" w:rsidRDefault="000B6229" w:rsidP="000B6229">
      <w:pPr>
        <w:pStyle w:val="BullDivider1"/>
        <w:pBdr>
          <w:bottom w:val="dotted" w:sz="4" w:space="0" w:color="auto"/>
        </w:pBdr>
      </w:pPr>
    </w:p>
    <w:p w:rsidR="000B6229" w:rsidRDefault="000B6229" w:rsidP="000B6229"/>
    <w:p w:rsidR="000B6229" w:rsidRPr="002F4F7E" w:rsidRDefault="000B6229" w:rsidP="000B6229">
      <w:pPr>
        <w:pStyle w:val="Heading2"/>
      </w:pPr>
      <w:r>
        <w:t>Minister of Water and Sanitation v Sembcorp Siza Water (Pty) Ltd &amp; Anor</w:t>
      </w:r>
    </w:p>
    <w:p w:rsidR="000B6229" w:rsidRDefault="000B6229" w:rsidP="000B6229">
      <w:pPr>
        <w:rPr>
          <w:lang w:eastAsia="en-AU"/>
        </w:rPr>
      </w:pPr>
      <w:r>
        <w:rPr>
          <w:b/>
          <w:lang w:eastAsia="en-AU"/>
        </w:rPr>
        <w:t>Constitutional Court of South Africa</w:t>
      </w:r>
      <w:r w:rsidRPr="002F4F7E">
        <w:rPr>
          <w:b/>
          <w:lang w:eastAsia="en-AU"/>
        </w:rPr>
        <w:t xml:space="preserve">: </w:t>
      </w:r>
      <w:hyperlink r:id="rId12" w:history="1">
        <w:r w:rsidRPr="0017729B">
          <w:rPr>
            <w:rStyle w:val="Hyperlink"/>
            <w:lang w:eastAsia="en-AU"/>
          </w:rPr>
          <w:t xml:space="preserve">[2021] ZACC </w:t>
        </w:r>
        <w:r>
          <w:rPr>
            <w:rStyle w:val="Hyperlink"/>
            <w:lang w:eastAsia="en-AU"/>
          </w:rPr>
          <w:t>21</w:t>
        </w:r>
      </w:hyperlink>
    </w:p>
    <w:p w:rsidR="000B6229" w:rsidRPr="002F4F7E" w:rsidRDefault="000B6229" w:rsidP="000B6229">
      <w:pPr>
        <w:rPr>
          <w:lang w:eastAsia="en-AU"/>
        </w:rPr>
      </w:pPr>
    </w:p>
    <w:p w:rsidR="000B6229" w:rsidRPr="002F4F7E" w:rsidRDefault="000B6229" w:rsidP="000B6229">
      <w:pPr>
        <w:rPr>
          <w:lang w:eastAsia="en-AU"/>
        </w:rPr>
      </w:pPr>
      <w:r w:rsidRPr="002F4F7E">
        <w:rPr>
          <w:b/>
          <w:lang w:eastAsia="en-AU"/>
        </w:rPr>
        <w:t>Judgment delivered:</w:t>
      </w:r>
      <w:r w:rsidRPr="002F4F7E">
        <w:rPr>
          <w:lang w:eastAsia="en-AU"/>
        </w:rPr>
        <w:t xml:space="preserve"> </w:t>
      </w:r>
      <w:r>
        <w:rPr>
          <w:lang w:eastAsia="en-AU"/>
        </w:rPr>
        <w:t>23 July 2021</w:t>
      </w:r>
    </w:p>
    <w:p w:rsidR="000B6229" w:rsidRPr="002F4F7E" w:rsidRDefault="000B6229" w:rsidP="000B6229">
      <w:pPr>
        <w:rPr>
          <w:lang w:eastAsia="en-AU"/>
        </w:rPr>
      </w:pPr>
    </w:p>
    <w:p w:rsidR="000B6229" w:rsidRPr="002F4F7E" w:rsidRDefault="000B6229" w:rsidP="000B6229">
      <w:pPr>
        <w:rPr>
          <w:lang w:eastAsia="en-AU"/>
        </w:rPr>
      </w:pPr>
      <w:r w:rsidRPr="002F4F7E">
        <w:rPr>
          <w:b/>
          <w:lang w:eastAsia="en-AU"/>
        </w:rPr>
        <w:t xml:space="preserve">Coram: </w:t>
      </w:r>
      <w:r w:rsidRPr="000B6229">
        <w:rPr>
          <w:lang w:eastAsia="en-AU"/>
        </w:rPr>
        <w:t xml:space="preserve">Mogoeng CJ, Jafta, Madlanga </w:t>
      </w:r>
      <w:r>
        <w:rPr>
          <w:lang w:eastAsia="en-AU"/>
        </w:rPr>
        <w:t>J</w:t>
      </w:r>
      <w:r w:rsidRPr="000B6229">
        <w:rPr>
          <w:lang w:eastAsia="en-AU"/>
        </w:rPr>
        <w:t>J, Mathopo AJ, Mhlantla</w:t>
      </w:r>
      <w:r>
        <w:rPr>
          <w:lang w:eastAsia="en-AU"/>
        </w:rPr>
        <w:t>,</w:t>
      </w:r>
      <w:r w:rsidRPr="000B6229">
        <w:rPr>
          <w:lang w:eastAsia="en-AU"/>
        </w:rPr>
        <w:t xml:space="preserve"> Theron, Tshiqi </w:t>
      </w:r>
      <w:r>
        <w:rPr>
          <w:lang w:eastAsia="en-AU"/>
        </w:rPr>
        <w:t>J</w:t>
      </w:r>
      <w:r w:rsidRPr="000B6229">
        <w:rPr>
          <w:lang w:eastAsia="en-AU"/>
        </w:rPr>
        <w:t>J and Victor AJ</w:t>
      </w:r>
    </w:p>
    <w:p w:rsidR="000B6229" w:rsidRPr="002F4F7E" w:rsidRDefault="000B6229" w:rsidP="000B6229">
      <w:pPr>
        <w:rPr>
          <w:lang w:eastAsia="en-AU"/>
        </w:rPr>
      </w:pPr>
    </w:p>
    <w:p w:rsidR="000B6229" w:rsidRPr="002F4F7E" w:rsidRDefault="000B6229" w:rsidP="000B6229">
      <w:pPr>
        <w:rPr>
          <w:b/>
          <w:lang w:eastAsia="en-AU"/>
        </w:rPr>
      </w:pPr>
      <w:r>
        <w:rPr>
          <w:b/>
          <w:lang w:eastAsia="en-AU"/>
        </w:rPr>
        <w:t>Catchwords:</w:t>
      </w:r>
    </w:p>
    <w:p w:rsidR="000B6229" w:rsidRPr="00856E9C" w:rsidRDefault="000B6229" w:rsidP="000B6229">
      <w:pPr>
        <w:rPr>
          <w:b/>
          <w:highlight w:val="yellow"/>
          <w:lang w:eastAsia="en-AU"/>
        </w:rPr>
      </w:pPr>
    </w:p>
    <w:p w:rsidR="000B6229" w:rsidRPr="0017729B" w:rsidRDefault="000B6229" w:rsidP="000B6229">
      <w:pPr>
        <w:ind w:left="720"/>
        <w:rPr>
          <w:lang w:eastAsia="en-AU"/>
        </w:rPr>
      </w:pPr>
      <w:r>
        <w:rPr>
          <w:lang w:eastAsia="en-AU"/>
        </w:rPr>
        <w:t>Administrative law – Judicial review – Unlawfulness – Irrationality – Unfair discrimination – Where first respondent private company contracted to supply water and sanitation on behalf of Ilembe Municipality – Where second respondent s</w:t>
      </w:r>
      <w:r w:rsidR="00664464">
        <w:rPr>
          <w:lang w:eastAsia="en-AU"/>
        </w:rPr>
        <w:t>old</w:t>
      </w:r>
      <w:r>
        <w:rPr>
          <w:lang w:eastAsia="en-AU"/>
        </w:rPr>
        <w:t xml:space="preserve"> water to </w:t>
      </w:r>
      <w:r w:rsidR="00664464">
        <w:rPr>
          <w:lang w:eastAsia="en-AU"/>
        </w:rPr>
        <w:t xml:space="preserve">first respondent – Where, until 2013, first respondent enjoyed annual tariff increases equivalent to those imposed on second respondent’s other customers, who were municipalities that supplied water directly – Where, in 2014, second respondent decided to increase tariff significantly more for first respondent compared to other municipalities – Where second respondent applied to Minister to approve tariff increases and Minister approved – Where first respondent challenged decisions made by second respondent and Minister as unlawful, irrational and unfairly discriminatory – Where High Court held first respondent unfairly discriminated against as corporation despite providing Ilembe Municipality’s constitutional and statutory obligations and therefore decisions irrational – Where Supreme Court of Appeal dismissed Minister and second respondent’s appeal – Whether second respondent or Minister’s decision invalid. </w:t>
      </w:r>
    </w:p>
    <w:p w:rsidR="000B6229" w:rsidRPr="00856E9C" w:rsidRDefault="000B6229" w:rsidP="000B6229">
      <w:pPr>
        <w:ind w:left="720"/>
        <w:rPr>
          <w:highlight w:val="yellow"/>
          <w:lang w:eastAsia="en-AU"/>
        </w:rPr>
      </w:pPr>
    </w:p>
    <w:p w:rsidR="000B6229" w:rsidRPr="000D3E8D" w:rsidRDefault="000B6229" w:rsidP="000B6229">
      <w:pPr>
        <w:rPr>
          <w:lang w:eastAsia="en-AU"/>
        </w:rPr>
      </w:pPr>
      <w:r w:rsidRPr="002F4F7E">
        <w:rPr>
          <w:b/>
          <w:lang w:eastAsia="en-AU"/>
        </w:rPr>
        <w:t>Held (</w:t>
      </w:r>
      <w:r>
        <w:rPr>
          <w:b/>
          <w:lang w:eastAsia="en-AU"/>
        </w:rPr>
        <w:t>7:1</w:t>
      </w:r>
      <w:r w:rsidRPr="002F4F7E">
        <w:rPr>
          <w:b/>
          <w:lang w:eastAsia="en-AU"/>
        </w:rPr>
        <w:t xml:space="preserve">): </w:t>
      </w:r>
      <w:r w:rsidR="0078404C">
        <w:rPr>
          <w:lang w:eastAsia="en-AU"/>
        </w:rPr>
        <w:t xml:space="preserve">Leave to appeal granted, Minister’s appeal dismissed, second respondent’s cross-appeal allowed. </w:t>
      </w:r>
    </w:p>
    <w:p w:rsidR="0017729B" w:rsidRPr="00181993" w:rsidRDefault="0017729B" w:rsidP="0017729B">
      <w:pPr>
        <w:pStyle w:val="BullDivider1"/>
        <w:pBdr>
          <w:bottom w:val="dotted" w:sz="4" w:space="0" w:color="auto"/>
        </w:pBdr>
      </w:pPr>
    </w:p>
    <w:p w:rsidR="0017729B" w:rsidRDefault="0017729B" w:rsidP="0017729B"/>
    <w:p w:rsidR="0017729B" w:rsidRPr="002F4F7E" w:rsidRDefault="0017729B" w:rsidP="0017729B">
      <w:pPr>
        <w:pStyle w:val="Heading2"/>
      </w:pPr>
      <w:r>
        <w:t>Public Protector &amp; Ors v President of the Republic of South Africa &amp; Ors</w:t>
      </w:r>
    </w:p>
    <w:p w:rsidR="0017729B" w:rsidRDefault="0017729B" w:rsidP="0017729B">
      <w:pPr>
        <w:rPr>
          <w:lang w:eastAsia="en-AU"/>
        </w:rPr>
      </w:pPr>
      <w:r>
        <w:rPr>
          <w:b/>
          <w:lang w:eastAsia="en-AU"/>
        </w:rPr>
        <w:t>Constitutional Court of South Africa</w:t>
      </w:r>
      <w:r w:rsidRPr="002F4F7E">
        <w:rPr>
          <w:b/>
          <w:lang w:eastAsia="en-AU"/>
        </w:rPr>
        <w:t xml:space="preserve">: </w:t>
      </w:r>
      <w:hyperlink r:id="rId13" w:history="1">
        <w:r w:rsidRPr="0017729B">
          <w:rPr>
            <w:rStyle w:val="Hyperlink"/>
            <w:lang w:eastAsia="en-AU"/>
          </w:rPr>
          <w:t>[2021] ZACC 19</w:t>
        </w:r>
      </w:hyperlink>
    </w:p>
    <w:p w:rsidR="0017729B" w:rsidRPr="002F4F7E" w:rsidRDefault="0017729B" w:rsidP="0017729B">
      <w:pPr>
        <w:rPr>
          <w:lang w:eastAsia="en-AU"/>
        </w:rPr>
      </w:pPr>
    </w:p>
    <w:p w:rsidR="0017729B" w:rsidRPr="002F4F7E" w:rsidRDefault="0017729B" w:rsidP="0017729B">
      <w:pPr>
        <w:rPr>
          <w:lang w:eastAsia="en-AU"/>
        </w:rPr>
      </w:pPr>
      <w:r w:rsidRPr="002F4F7E">
        <w:rPr>
          <w:b/>
          <w:lang w:eastAsia="en-AU"/>
        </w:rPr>
        <w:t>Judgment delivered:</w:t>
      </w:r>
      <w:r w:rsidRPr="002F4F7E">
        <w:rPr>
          <w:lang w:eastAsia="en-AU"/>
        </w:rPr>
        <w:t xml:space="preserve"> </w:t>
      </w:r>
      <w:r>
        <w:rPr>
          <w:lang w:eastAsia="en-AU"/>
        </w:rPr>
        <w:t>1 July 2021</w:t>
      </w:r>
    </w:p>
    <w:p w:rsidR="0017729B" w:rsidRPr="002F4F7E" w:rsidRDefault="0017729B" w:rsidP="0017729B">
      <w:pPr>
        <w:rPr>
          <w:lang w:eastAsia="en-AU"/>
        </w:rPr>
      </w:pPr>
    </w:p>
    <w:p w:rsidR="0017729B" w:rsidRPr="002F4F7E" w:rsidRDefault="0017729B" w:rsidP="0017729B">
      <w:pPr>
        <w:rPr>
          <w:lang w:eastAsia="en-AU"/>
        </w:rPr>
      </w:pPr>
      <w:r w:rsidRPr="002F4F7E">
        <w:rPr>
          <w:b/>
          <w:lang w:eastAsia="en-AU"/>
        </w:rPr>
        <w:t xml:space="preserve">Coram: </w:t>
      </w:r>
      <w:r w:rsidRPr="0017729B">
        <w:rPr>
          <w:lang w:eastAsia="en-AU"/>
        </w:rPr>
        <w:t>Mogoeng CJ, Jafta</w:t>
      </w:r>
      <w:r>
        <w:rPr>
          <w:lang w:eastAsia="en-AU"/>
        </w:rPr>
        <w:t xml:space="preserve">, </w:t>
      </w:r>
      <w:r w:rsidRPr="0017729B">
        <w:rPr>
          <w:lang w:eastAsia="en-AU"/>
        </w:rPr>
        <w:t xml:space="preserve">Madlanga </w:t>
      </w:r>
      <w:r>
        <w:rPr>
          <w:lang w:eastAsia="en-AU"/>
        </w:rPr>
        <w:t>J</w:t>
      </w:r>
      <w:r w:rsidRPr="0017729B">
        <w:rPr>
          <w:lang w:eastAsia="en-AU"/>
        </w:rPr>
        <w:t>J, Mathopo AJ, Mhlantla, Theron, Tshiqi J</w:t>
      </w:r>
      <w:r>
        <w:rPr>
          <w:lang w:eastAsia="en-AU"/>
        </w:rPr>
        <w:t>J</w:t>
      </w:r>
      <w:r w:rsidRPr="0017729B">
        <w:rPr>
          <w:lang w:eastAsia="en-AU"/>
        </w:rPr>
        <w:t xml:space="preserve"> and Victor AJ</w:t>
      </w:r>
    </w:p>
    <w:p w:rsidR="0017729B" w:rsidRPr="002F4F7E" w:rsidRDefault="0017729B" w:rsidP="0017729B">
      <w:pPr>
        <w:rPr>
          <w:lang w:eastAsia="en-AU"/>
        </w:rPr>
      </w:pPr>
    </w:p>
    <w:p w:rsidR="0017729B" w:rsidRPr="002F4F7E" w:rsidRDefault="0017729B" w:rsidP="0017729B">
      <w:pPr>
        <w:rPr>
          <w:b/>
          <w:lang w:eastAsia="en-AU"/>
        </w:rPr>
      </w:pPr>
      <w:r>
        <w:rPr>
          <w:b/>
          <w:lang w:eastAsia="en-AU"/>
        </w:rPr>
        <w:t>Catchwords:</w:t>
      </w:r>
    </w:p>
    <w:p w:rsidR="0017729B" w:rsidRPr="00856E9C" w:rsidRDefault="0017729B" w:rsidP="0017729B">
      <w:pPr>
        <w:rPr>
          <w:b/>
          <w:highlight w:val="yellow"/>
          <w:lang w:eastAsia="en-AU"/>
        </w:rPr>
      </w:pPr>
    </w:p>
    <w:p w:rsidR="0017729B" w:rsidRPr="0017729B" w:rsidRDefault="0017729B" w:rsidP="0017729B">
      <w:pPr>
        <w:ind w:left="720"/>
        <w:rPr>
          <w:lang w:eastAsia="en-AU"/>
        </w:rPr>
      </w:pPr>
      <w:r>
        <w:rPr>
          <w:lang w:eastAsia="en-AU"/>
        </w:rPr>
        <w:t xml:space="preserve">Administrative law – Judicial review – Unlawfulness – Irrationality – Procedural fairness – Where first appellant decided to investigate and </w:t>
      </w:r>
      <w:r>
        <w:rPr>
          <w:lang w:eastAsia="en-AU"/>
        </w:rPr>
        <w:lastRenderedPageBreak/>
        <w:t xml:space="preserve">report on CR17 campaign for African National Congress leadership – Where certain payments made to first respondent’s son were subject to complaints regarding breach of </w:t>
      </w:r>
      <w:r>
        <w:rPr>
          <w:i/>
          <w:lang w:eastAsia="en-AU"/>
        </w:rPr>
        <w:t xml:space="preserve">Members’ Ethics Act </w:t>
      </w:r>
      <w:r>
        <w:rPr>
          <w:lang w:eastAsia="en-AU"/>
        </w:rPr>
        <w:t xml:space="preserve">and </w:t>
      </w:r>
      <w:r>
        <w:rPr>
          <w:i/>
          <w:lang w:eastAsia="en-AU"/>
        </w:rPr>
        <w:t xml:space="preserve">Executive Ethics Code </w:t>
      </w:r>
      <w:r>
        <w:rPr>
          <w:lang w:eastAsia="en-AU"/>
        </w:rPr>
        <w:t>– Where first appellant conducted investigation and concluded first defendant “wilfully” misled Parliament and breached Ethics Act and Code – Where first respondent applied to review and set aside first appellant’s decision to investigate and report on basis first appellant made error of law – Where High Court set aside decision and findings of first appellant – Whether first appellant erred in interpreting “wilfully” to mean “deliberately or inadvertently” – Whether first appellant’s findings irrational – Whether first appellant’s investigation breached procedural fairness.</w:t>
      </w:r>
    </w:p>
    <w:p w:rsidR="0017729B" w:rsidRPr="00856E9C" w:rsidRDefault="0017729B" w:rsidP="0017729B">
      <w:pPr>
        <w:ind w:left="720"/>
        <w:rPr>
          <w:highlight w:val="yellow"/>
          <w:lang w:eastAsia="en-AU"/>
        </w:rPr>
      </w:pPr>
    </w:p>
    <w:p w:rsidR="00A92ED7" w:rsidRPr="000D3E8D" w:rsidRDefault="0017729B" w:rsidP="00A92ED7">
      <w:pPr>
        <w:rPr>
          <w:lang w:eastAsia="en-AU"/>
        </w:rPr>
      </w:pPr>
      <w:r w:rsidRPr="002F4F7E">
        <w:rPr>
          <w:b/>
          <w:lang w:eastAsia="en-AU"/>
        </w:rPr>
        <w:t>Held (</w:t>
      </w:r>
      <w:r>
        <w:rPr>
          <w:b/>
          <w:lang w:eastAsia="en-AU"/>
        </w:rPr>
        <w:t>7:1</w:t>
      </w:r>
      <w:r w:rsidRPr="002F4F7E">
        <w:rPr>
          <w:b/>
          <w:lang w:eastAsia="en-AU"/>
        </w:rPr>
        <w:t xml:space="preserve">): </w:t>
      </w:r>
      <w:r>
        <w:rPr>
          <w:lang w:eastAsia="en-AU"/>
        </w:rPr>
        <w:t>Appeal dismissed.</w:t>
      </w:r>
    </w:p>
    <w:p w:rsidR="001247EB" w:rsidRPr="00B546B2" w:rsidRDefault="001247EB" w:rsidP="001247EB">
      <w:pPr>
        <w:pStyle w:val="BullDivider2"/>
        <w:rPr>
          <w:rFonts w:cs="Arial"/>
          <w:highlight w:val="yellow"/>
        </w:rPr>
      </w:pPr>
    </w:p>
    <w:p w:rsidR="001247EB" w:rsidRPr="00B546B2" w:rsidRDefault="001247EB" w:rsidP="001247EB">
      <w:pPr>
        <w:rPr>
          <w:highlight w:val="yellow"/>
        </w:rPr>
      </w:pPr>
    </w:p>
    <w:p w:rsidR="001247EB" w:rsidRDefault="001247EB" w:rsidP="001247EB">
      <w:pPr>
        <w:pStyle w:val="Heading1"/>
      </w:pPr>
      <w:r>
        <w:t>Constitutional Law</w:t>
      </w:r>
    </w:p>
    <w:p w:rsidR="001247EB" w:rsidRDefault="001247EB" w:rsidP="001247EB"/>
    <w:p w:rsidR="001247EB" w:rsidRPr="002F4F7E" w:rsidRDefault="001247EB" w:rsidP="001247EB">
      <w:pPr>
        <w:pStyle w:val="Heading2"/>
      </w:pPr>
      <w:r>
        <w:t>Qwelane v South African Human Rights Commission &amp; Anor</w:t>
      </w:r>
    </w:p>
    <w:p w:rsidR="001247EB" w:rsidRPr="001247EB" w:rsidRDefault="001247EB" w:rsidP="001247EB">
      <w:pPr>
        <w:rPr>
          <w:lang w:eastAsia="en-AU"/>
        </w:rPr>
      </w:pPr>
      <w:r>
        <w:rPr>
          <w:b/>
          <w:lang w:eastAsia="en-AU"/>
        </w:rPr>
        <w:t>Constitutional Court of South Africa</w:t>
      </w:r>
      <w:r w:rsidRPr="002F4F7E">
        <w:rPr>
          <w:b/>
          <w:lang w:eastAsia="en-AU"/>
        </w:rPr>
        <w:t xml:space="preserve">: </w:t>
      </w:r>
      <w:hyperlink r:id="rId14" w:history="1">
        <w:r w:rsidRPr="001247EB">
          <w:rPr>
            <w:rStyle w:val="Hyperlink"/>
            <w:lang w:eastAsia="en-AU"/>
          </w:rPr>
          <w:t>[2021] ZACC 22</w:t>
        </w:r>
      </w:hyperlink>
    </w:p>
    <w:p w:rsidR="001247EB" w:rsidRPr="002F4F7E" w:rsidRDefault="001247EB" w:rsidP="001247EB">
      <w:pPr>
        <w:rPr>
          <w:lang w:eastAsia="en-AU"/>
        </w:rPr>
      </w:pPr>
    </w:p>
    <w:p w:rsidR="001247EB" w:rsidRPr="002F4F7E" w:rsidRDefault="001247EB" w:rsidP="001247EB">
      <w:pPr>
        <w:rPr>
          <w:lang w:eastAsia="en-AU"/>
        </w:rPr>
      </w:pPr>
      <w:r w:rsidRPr="002F4F7E">
        <w:rPr>
          <w:b/>
          <w:lang w:eastAsia="en-AU"/>
        </w:rPr>
        <w:t>Judgment delivered:</w:t>
      </w:r>
      <w:r>
        <w:rPr>
          <w:lang w:eastAsia="en-AU"/>
        </w:rPr>
        <w:t xml:space="preserve"> 20 July 2021</w:t>
      </w:r>
    </w:p>
    <w:p w:rsidR="001247EB" w:rsidRPr="002F4F7E" w:rsidRDefault="001247EB" w:rsidP="001247EB">
      <w:pPr>
        <w:rPr>
          <w:lang w:eastAsia="en-AU"/>
        </w:rPr>
      </w:pPr>
    </w:p>
    <w:p w:rsidR="001247EB" w:rsidRDefault="001247EB" w:rsidP="001247EB">
      <w:pPr>
        <w:rPr>
          <w:lang w:eastAsia="en-AU"/>
        </w:rPr>
      </w:pPr>
      <w:r w:rsidRPr="002F4F7E">
        <w:rPr>
          <w:b/>
          <w:lang w:eastAsia="en-AU"/>
        </w:rPr>
        <w:t xml:space="preserve">Coram: </w:t>
      </w:r>
      <w:r w:rsidRPr="001247EB">
        <w:rPr>
          <w:lang w:eastAsia="en-AU"/>
        </w:rPr>
        <w:t>Khampepe, Madlang</w:t>
      </w:r>
      <w:r>
        <w:rPr>
          <w:lang w:eastAsia="en-AU"/>
        </w:rPr>
        <w:t>a</w:t>
      </w:r>
      <w:r w:rsidRPr="001247EB">
        <w:rPr>
          <w:lang w:eastAsia="en-AU"/>
        </w:rPr>
        <w:t>, Majiedt J</w:t>
      </w:r>
      <w:r>
        <w:rPr>
          <w:lang w:eastAsia="en-AU"/>
        </w:rPr>
        <w:t>J</w:t>
      </w:r>
      <w:r w:rsidRPr="001247EB">
        <w:rPr>
          <w:lang w:eastAsia="en-AU"/>
        </w:rPr>
        <w:t>, Mathopo AJ, Mhlantla, Theron, Tshiqi J</w:t>
      </w:r>
      <w:r>
        <w:rPr>
          <w:lang w:eastAsia="en-AU"/>
        </w:rPr>
        <w:t>J</w:t>
      </w:r>
      <w:r w:rsidRPr="001247EB">
        <w:rPr>
          <w:lang w:eastAsia="en-AU"/>
        </w:rPr>
        <w:t xml:space="preserve"> and Victor AJ</w:t>
      </w:r>
    </w:p>
    <w:p w:rsidR="001247EB" w:rsidRPr="002F4F7E" w:rsidRDefault="001247EB" w:rsidP="001247EB">
      <w:pPr>
        <w:rPr>
          <w:lang w:eastAsia="en-AU"/>
        </w:rPr>
      </w:pPr>
    </w:p>
    <w:p w:rsidR="001247EB" w:rsidRPr="002F4F7E" w:rsidRDefault="001247EB" w:rsidP="001247EB">
      <w:pPr>
        <w:rPr>
          <w:b/>
          <w:lang w:eastAsia="en-AU"/>
        </w:rPr>
      </w:pPr>
      <w:r>
        <w:rPr>
          <w:b/>
          <w:lang w:eastAsia="en-AU"/>
        </w:rPr>
        <w:t>Catchwords:</w:t>
      </w:r>
    </w:p>
    <w:p w:rsidR="001247EB" w:rsidRPr="00856E9C" w:rsidRDefault="001247EB" w:rsidP="001247EB">
      <w:pPr>
        <w:rPr>
          <w:b/>
          <w:highlight w:val="yellow"/>
          <w:lang w:eastAsia="en-AU"/>
        </w:rPr>
      </w:pPr>
    </w:p>
    <w:p w:rsidR="001247EB" w:rsidRPr="008657BF" w:rsidRDefault="001247EB" w:rsidP="001247EB">
      <w:pPr>
        <w:ind w:left="720"/>
        <w:rPr>
          <w:lang w:eastAsia="en-AU"/>
        </w:rPr>
      </w:pPr>
      <w:r>
        <w:rPr>
          <w:lang w:eastAsia="en-AU"/>
        </w:rPr>
        <w:t xml:space="preserve">Constitutional law </w:t>
      </w:r>
      <w:r w:rsidR="008657BF">
        <w:rPr>
          <w:lang w:eastAsia="en-AU"/>
        </w:rPr>
        <w:t>–</w:t>
      </w:r>
      <w:r>
        <w:rPr>
          <w:lang w:eastAsia="en-AU"/>
        </w:rPr>
        <w:t xml:space="preserve"> </w:t>
      </w:r>
      <w:r w:rsidR="008657BF">
        <w:rPr>
          <w:lang w:eastAsia="en-AU"/>
        </w:rPr>
        <w:t xml:space="preserve">Right to free expression – Vagueness – Where applicant published article expressing offensive views about LGBT people – Where South African Human Rights Commission received complaints of hate speech in relation to article and referred complaints to Equality Court – Where, in response, applicant instituted constitutional challenge to s 10(1) of </w:t>
      </w:r>
      <w:r w:rsidR="008657BF">
        <w:rPr>
          <w:i/>
          <w:lang w:eastAsia="en-AU"/>
        </w:rPr>
        <w:t xml:space="preserve">Equality Act </w:t>
      </w:r>
      <w:r w:rsidR="008657BF">
        <w:rPr>
          <w:lang w:eastAsia="en-AU"/>
        </w:rPr>
        <w:t xml:space="preserve">on basis unjustifiably limits right to free expression or impermissibly vague – Where High Court dismissed applicant’s challenge and found applicant engaged in hate speech – Where Supreme Court of Appeal substantially allowed appeal – Whether s 10(1) unjustifiably limits right to free expression – Whether s 10(1) impermissibly vague – Whether applicant engaged in hate speech. </w:t>
      </w:r>
    </w:p>
    <w:p w:rsidR="001247EB" w:rsidRPr="00856E9C" w:rsidRDefault="001247EB" w:rsidP="001247EB">
      <w:pPr>
        <w:ind w:left="720"/>
        <w:rPr>
          <w:highlight w:val="yellow"/>
          <w:lang w:eastAsia="en-AU"/>
        </w:rPr>
      </w:pPr>
    </w:p>
    <w:p w:rsidR="00C8310F" w:rsidRDefault="001247EB" w:rsidP="001247EB">
      <w:pPr>
        <w:rPr>
          <w:lang w:eastAsia="en-AU"/>
        </w:rPr>
      </w:pPr>
      <w:r w:rsidRPr="002F4F7E">
        <w:rPr>
          <w:b/>
          <w:lang w:eastAsia="en-AU"/>
        </w:rPr>
        <w:t>Held (</w:t>
      </w:r>
      <w:r>
        <w:rPr>
          <w:b/>
          <w:lang w:eastAsia="en-AU"/>
        </w:rPr>
        <w:t>8:0</w:t>
      </w:r>
      <w:r w:rsidRPr="002F4F7E">
        <w:rPr>
          <w:b/>
          <w:lang w:eastAsia="en-AU"/>
        </w:rPr>
        <w:t xml:space="preserve">): </w:t>
      </w:r>
      <w:r w:rsidR="008657BF">
        <w:rPr>
          <w:lang w:eastAsia="en-AU"/>
        </w:rPr>
        <w:t>Declaration of constitutional invalidity confirmed</w:t>
      </w:r>
      <w:r w:rsidR="00245DAD">
        <w:rPr>
          <w:lang w:eastAsia="en-AU"/>
        </w:rPr>
        <w:t xml:space="preserve"> in part</w:t>
      </w:r>
      <w:r w:rsidR="00580959">
        <w:rPr>
          <w:lang w:eastAsia="en-AU"/>
        </w:rPr>
        <w:t xml:space="preserve">; leave to appeal granted, appeal allowed. </w:t>
      </w:r>
    </w:p>
    <w:p w:rsidR="00ED40E9" w:rsidRPr="00181993" w:rsidRDefault="00ED40E9" w:rsidP="00ED40E9">
      <w:pPr>
        <w:pStyle w:val="BullDivider1"/>
        <w:pBdr>
          <w:bottom w:val="dotted" w:sz="4" w:space="0" w:color="auto"/>
        </w:pBdr>
      </w:pPr>
    </w:p>
    <w:p w:rsidR="00ED40E9" w:rsidRDefault="00ED40E9" w:rsidP="00ED40E9">
      <w:pPr>
        <w:rPr>
          <w:lang w:eastAsia="en-AU"/>
        </w:rPr>
      </w:pPr>
    </w:p>
    <w:p w:rsidR="00ED40E9" w:rsidRPr="002F4F7E" w:rsidRDefault="002133BA" w:rsidP="00ED40E9">
      <w:pPr>
        <w:pStyle w:val="Heading2"/>
      </w:pPr>
      <w:r>
        <w:t>Brnovich &amp; Ors v Democratic National Committee &amp; Ors; Arizona Republican Part &amp; Ors v Democratic National Committee &amp; Ors</w:t>
      </w:r>
    </w:p>
    <w:p w:rsidR="00ED40E9" w:rsidRPr="002F4F7E" w:rsidRDefault="00ED40E9" w:rsidP="00ED40E9">
      <w:pPr>
        <w:rPr>
          <w:lang w:eastAsia="en-AU"/>
        </w:rPr>
      </w:pPr>
      <w:r>
        <w:rPr>
          <w:b/>
          <w:lang w:eastAsia="en-AU"/>
        </w:rPr>
        <w:t>Supreme Court of the United States</w:t>
      </w:r>
      <w:r w:rsidRPr="002F4F7E">
        <w:rPr>
          <w:b/>
          <w:lang w:eastAsia="en-AU"/>
        </w:rPr>
        <w:t xml:space="preserve">: </w:t>
      </w:r>
      <w:hyperlink r:id="rId15" w:history="1">
        <w:r>
          <w:rPr>
            <w:rStyle w:val="Hyperlink"/>
            <w:lang w:eastAsia="en-AU"/>
          </w:rPr>
          <w:t>Docket</w:t>
        </w:r>
        <w:r w:rsidRPr="00242C96">
          <w:rPr>
            <w:rStyle w:val="Hyperlink"/>
            <w:lang w:eastAsia="en-AU"/>
          </w:rPr>
          <w:t xml:space="preserve"> No. </w:t>
        </w:r>
        <w:r w:rsidR="002133BA">
          <w:rPr>
            <w:rStyle w:val="Hyperlink"/>
            <w:lang w:eastAsia="en-AU"/>
          </w:rPr>
          <w:t>19-1257; 19-1258</w:t>
        </w:r>
      </w:hyperlink>
    </w:p>
    <w:p w:rsidR="00ED40E9" w:rsidRPr="002F4F7E" w:rsidRDefault="00ED40E9" w:rsidP="00ED40E9">
      <w:pPr>
        <w:rPr>
          <w:lang w:eastAsia="en-AU"/>
        </w:rPr>
      </w:pPr>
    </w:p>
    <w:p w:rsidR="00ED40E9" w:rsidRPr="002F4F7E" w:rsidRDefault="00ED40E9" w:rsidP="00ED40E9">
      <w:pPr>
        <w:rPr>
          <w:lang w:eastAsia="en-AU"/>
        </w:rPr>
      </w:pPr>
      <w:r w:rsidRPr="002F4F7E">
        <w:rPr>
          <w:b/>
          <w:lang w:eastAsia="en-AU"/>
        </w:rPr>
        <w:t>Judgment delivered:</w:t>
      </w:r>
      <w:r w:rsidRPr="002F4F7E">
        <w:rPr>
          <w:lang w:eastAsia="en-AU"/>
        </w:rPr>
        <w:t xml:space="preserve"> </w:t>
      </w:r>
      <w:r>
        <w:rPr>
          <w:lang w:eastAsia="en-AU"/>
        </w:rPr>
        <w:t>1 July 2021</w:t>
      </w:r>
    </w:p>
    <w:p w:rsidR="00ED40E9" w:rsidRPr="002F4F7E" w:rsidRDefault="00ED40E9" w:rsidP="00ED40E9">
      <w:pPr>
        <w:rPr>
          <w:lang w:eastAsia="en-AU"/>
        </w:rPr>
      </w:pPr>
    </w:p>
    <w:p w:rsidR="00ED40E9" w:rsidRPr="002F4F7E" w:rsidRDefault="00ED40E9" w:rsidP="00ED40E9">
      <w:pPr>
        <w:rPr>
          <w:lang w:eastAsia="en-AU"/>
        </w:rPr>
      </w:pPr>
      <w:r w:rsidRPr="002F4F7E">
        <w:rPr>
          <w:b/>
          <w:lang w:eastAsia="en-AU"/>
        </w:rPr>
        <w:lastRenderedPageBreak/>
        <w:t xml:space="preserve">Coram: </w:t>
      </w:r>
      <w:r>
        <w:rPr>
          <w:lang w:eastAsia="en-AU"/>
        </w:rPr>
        <w:t>Roberts CJ, Thomas, Breyer, Alito, Sotomayor, Kagan, Gorsuch, Kavanaugh and Barrett JJ</w:t>
      </w:r>
    </w:p>
    <w:p w:rsidR="00ED40E9" w:rsidRPr="002F4F7E" w:rsidRDefault="00ED40E9" w:rsidP="00ED40E9">
      <w:pPr>
        <w:rPr>
          <w:lang w:eastAsia="en-AU"/>
        </w:rPr>
      </w:pPr>
    </w:p>
    <w:p w:rsidR="00ED40E9" w:rsidRPr="002F4F7E" w:rsidRDefault="00ED40E9" w:rsidP="00ED40E9">
      <w:pPr>
        <w:rPr>
          <w:b/>
          <w:lang w:eastAsia="en-AU"/>
        </w:rPr>
      </w:pPr>
      <w:r>
        <w:rPr>
          <w:b/>
          <w:lang w:eastAsia="en-AU"/>
        </w:rPr>
        <w:t>Catchwords:</w:t>
      </w:r>
    </w:p>
    <w:p w:rsidR="00ED40E9" w:rsidRPr="00856E9C" w:rsidRDefault="00ED40E9" w:rsidP="00ED40E9">
      <w:pPr>
        <w:rPr>
          <w:b/>
          <w:highlight w:val="yellow"/>
          <w:lang w:eastAsia="en-AU"/>
        </w:rPr>
      </w:pPr>
    </w:p>
    <w:p w:rsidR="00ED40E9" w:rsidRPr="009B241E" w:rsidRDefault="00ED40E9" w:rsidP="00ED40E9">
      <w:pPr>
        <w:ind w:left="720"/>
        <w:rPr>
          <w:lang w:eastAsia="en-AU"/>
        </w:rPr>
      </w:pPr>
      <w:r>
        <w:rPr>
          <w:lang w:eastAsia="en-AU"/>
        </w:rPr>
        <w:t xml:space="preserve">Constitutional law – </w:t>
      </w:r>
      <w:r w:rsidR="002133BA">
        <w:rPr>
          <w:lang w:eastAsia="en-AU"/>
        </w:rPr>
        <w:t xml:space="preserve">Fifteenth Amendment – Voting Rights – Racial discrimination – Where Arizona law provided ballot cast in precinct by person registered in different precinct not counted – Where Arizona law provided crime for any person other than postal worker, election official, or voter’s caregiver, family or household member to collect mail ballot – Where respondents allege both restrictions have discriminatory effects on Indian, Hispanic and African-American citizens in violation of </w:t>
      </w:r>
      <w:r w:rsidR="002133BA">
        <w:t xml:space="preserve">§2 of </w:t>
      </w:r>
      <w:r w:rsidR="002133BA">
        <w:rPr>
          <w:i/>
        </w:rPr>
        <w:t xml:space="preserve">Voting Rights Act of 1965 </w:t>
      </w:r>
      <w:r w:rsidR="002133BA">
        <w:t xml:space="preserve">and Fifteenth Amendment right to vote not denied by race – Where District Court rejected claims and Ninth Circuit reversed – Whether voting restrictions racially discriminatory and  violate </w:t>
      </w:r>
      <w:r w:rsidR="002133BA">
        <w:rPr>
          <w:i/>
        </w:rPr>
        <w:t xml:space="preserve">Voting Rights Act </w:t>
      </w:r>
      <w:r w:rsidR="002133BA">
        <w:t xml:space="preserve">or Fifteenth Amendment. </w:t>
      </w:r>
      <w:r>
        <w:rPr>
          <w:lang w:eastAsia="en-AU"/>
        </w:rPr>
        <w:t xml:space="preserve"> </w:t>
      </w:r>
    </w:p>
    <w:p w:rsidR="00ED40E9" w:rsidRPr="00856E9C" w:rsidRDefault="00ED40E9" w:rsidP="00ED40E9">
      <w:pPr>
        <w:ind w:left="720"/>
        <w:rPr>
          <w:highlight w:val="yellow"/>
          <w:lang w:eastAsia="en-AU"/>
        </w:rPr>
      </w:pPr>
    </w:p>
    <w:p w:rsidR="00ED40E9" w:rsidRPr="000D3E8D" w:rsidRDefault="00ED40E9" w:rsidP="00ED40E9">
      <w:pPr>
        <w:rPr>
          <w:lang w:eastAsia="en-AU"/>
        </w:rPr>
      </w:pPr>
      <w:r w:rsidRPr="002F4F7E">
        <w:rPr>
          <w:b/>
          <w:lang w:eastAsia="en-AU"/>
        </w:rPr>
        <w:t>Held (</w:t>
      </w:r>
      <w:r>
        <w:rPr>
          <w:b/>
          <w:lang w:eastAsia="en-AU"/>
        </w:rPr>
        <w:t>6:3</w:t>
      </w:r>
      <w:r w:rsidRPr="002F4F7E">
        <w:rPr>
          <w:b/>
          <w:lang w:eastAsia="en-AU"/>
        </w:rPr>
        <w:t xml:space="preserve">): </w:t>
      </w:r>
      <w:r>
        <w:rPr>
          <w:lang w:eastAsia="en-AU"/>
        </w:rPr>
        <w:t xml:space="preserve">Reversed and remanded.  </w:t>
      </w:r>
    </w:p>
    <w:p w:rsidR="00C8310F" w:rsidRPr="00181993" w:rsidRDefault="00C8310F" w:rsidP="00C8310F">
      <w:pPr>
        <w:pStyle w:val="BullDivider1"/>
        <w:pBdr>
          <w:bottom w:val="dotted" w:sz="4" w:space="0" w:color="auto"/>
        </w:pBdr>
      </w:pPr>
    </w:p>
    <w:p w:rsidR="00C8310F" w:rsidRDefault="00C8310F" w:rsidP="001247EB">
      <w:pPr>
        <w:rPr>
          <w:lang w:eastAsia="en-AU"/>
        </w:rPr>
      </w:pPr>
    </w:p>
    <w:p w:rsidR="00C8310F" w:rsidRPr="002F4F7E" w:rsidRDefault="00242C96" w:rsidP="00C8310F">
      <w:pPr>
        <w:pStyle w:val="Heading2"/>
      </w:pPr>
      <w:r>
        <w:t>Americans for Prospetity Foundation v Bonta; Thomas More Law Center v Bonta</w:t>
      </w:r>
    </w:p>
    <w:p w:rsidR="00C8310F" w:rsidRPr="002F4F7E" w:rsidRDefault="00C8310F" w:rsidP="00C8310F">
      <w:pPr>
        <w:rPr>
          <w:lang w:eastAsia="en-AU"/>
        </w:rPr>
      </w:pPr>
      <w:r>
        <w:rPr>
          <w:b/>
          <w:lang w:eastAsia="en-AU"/>
        </w:rPr>
        <w:t xml:space="preserve">Supreme Court of the </w:t>
      </w:r>
      <w:r w:rsidR="00242C96">
        <w:rPr>
          <w:b/>
          <w:lang w:eastAsia="en-AU"/>
        </w:rPr>
        <w:t>United States</w:t>
      </w:r>
      <w:r w:rsidRPr="002F4F7E">
        <w:rPr>
          <w:b/>
          <w:lang w:eastAsia="en-AU"/>
        </w:rPr>
        <w:t xml:space="preserve">: </w:t>
      </w:r>
      <w:hyperlink r:id="rId16" w:history="1">
        <w:r w:rsidR="00242C96">
          <w:rPr>
            <w:rStyle w:val="Hyperlink"/>
            <w:lang w:eastAsia="en-AU"/>
          </w:rPr>
          <w:t>Docket</w:t>
        </w:r>
        <w:r w:rsidR="00242C96" w:rsidRPr="00242C96">
          <w:rPr>
            <w:rStyle w:val="Hyperlink"/>
            <w:lang w:eastAsia="en-AU"/>
          </w:rPr>
          <w:t xml:space="preserve"> No.</w:t>
        </w:r>
        <w:r w:rsidR="002133BA">
          <w:rPr>
            <w:rStyle w:val="Hyperlink"/>
            <w:lang w:eastAsia="en-AU"/>
          </w:rPr>
          <w:t xml:space="preserve"> 19-251; 19-255</w:t>
        </w:r>
      </w:hyperlink>
    </w:p>
    <w:p w:rsidR="00C8310F" w:rsidRPr="002F4F7E" w:rsidRDefault="00C8310F" w:rsidP="00C8310F">
      <w:pPr>
        <w:rPr>
          <w:lang w:eastAsia="en-AU"/>
        </w:rPr>
      </w:pPr>
    </w:p>
    <w:p w:rsidR="00C8310F" w:rsidRPr="002F4F7E" w:rsidRDefault="00C8310F" w:rsidP="00C8310F">
      <w:pPr>
        <w:rPr>
          <w:lang w:eastAsia="en-AU"/>
        </w:rPr>
      </w:pPr>
      <w:r w:rsidRPr="002F4F7E">
        <w:rPr>
          <w:b/>
          <w:lang w:eastAsia="en-AU"/>
        </w:rPr>
        <w:t>Judgment delivered:</w:t>
      </w:r>
      <w:r w:rsidRPr="002F4F7E">
        <w:rPr>
          <w:lang w:eastAsia="en-AU"/>
        </w:rPr>
        <w:t xml:space="preserve"> </w:t>
      </w:r>
      <w:r w:rsidR="00F16D90">
        <w:rPr>
          <w:lang w:eastAsia="en-AU"/>
        </w:rPr>
        <w:t>1 July 2021</w:t>
      </w:r>
    </w:p>
    <w:p w:rsidR="00C8310F" w:rsidRPr="002F4F7E" w:rsidRDefault="00C8310F" w:rsidP="00C8310F">
      <w:pPr>
        <w:rPr>
          <w:lang w:eastAsia="en-AU"/>
        </w:rPr>
      </w:pPr>
    </w:p>
    <w:p w:rsidR="00C8310F" w:rsidRPr="002F4F7E" w:rsidRDefault="00C8310F" w:rsidP="00C8310F">
      <w:pPr>
        <w:rPr>
          <w:lang w:eastAsia="en-AU"/>
        </w:rPr>
      </w:pPr>
      <w:r w:rsidRPr="002F4F7E">
        <w:rPr>
          <w:b/>
          <w:lang w:eastAsia="en-AU"/>
        </w:rPr>
        <w:t xml:space="preserve">Coram: </w:t>
      </w:r>
      <w:r w:rsidR="00F16D90">
        <w:rPr>
          <w:lang w:eastAsia="en-AU"/>
        </w:rPr>
        <w:t>Roberts CJ, Thomas, Breyer, Alito, Sotomayor, Kagan, Gorsuch, Kavanaugh and Barrett JJ</w:t>
      </w:r>
    </w:p>
    <w:p w:rsidR="00C8310F" w:rsidRPr="002F4F7E" w:rsidRDefault="00C8310F" w:rsidP="00C8310F">
      <w:pPr>
        <w:rPr>
          <w:lang w:eastAsia="en-AU"/>
        </w:rPr>
      </w:pPr>
    </w:p>
    <w:p w:rsidR="00C8310F" w:rsidRPr="002F4F7E" w:rsidRDefault="00C8310F" w:rsidP="00C8310F">
      <w:pPr>
        <w:rPr>
          <w:b/>
          <w:lang w:eastAsia="en-AU"/>
        </w:rPr>
      </w:pPr>
      <w:r>
        <w:rPr>
          <w:b/>
          <w:lang w:eastAsia="en-AU"/>
        </w:rPr>
        <w:t>Catchwords:</w:t>
      </w:r>
    </w:p>
    <w:p w:rsidR="00C8310F" w:rsidRPr="00856E9C" w:rsidRDefault="00C8310F" w:rsidP="00C8310F">
      <w:pPr>
        <w:rPr>
          <w:b/>
          <w:highlight w:val="yellow"/>
          <w:lang w:eastAsia="en-AU"/>
        </w:rPr>
      </w:pPr>
    </w:p>
    <w:p w:rsidR="00C8310F" w:rsidRPr="009B241E" w:rsidRDefault="00F16D90" w:rsidP="00C8310F">
      <w:pPr>
        <w:ind w:left="720"/>
        <w:rPr>
          <w:lang w:eastAsia="en-AU"/>
        </w:rPr>
      </w:pPr>
      <w:r>
        <w:rPr>
          <w:lang w:eastAsia="en-AU"/>
        </w:rPr>
        <w:t xml:space="preserve">Constitutional law – First Amendment – Freedom of association – Where petitioners charitable organisations registered in California – Where condition of registration must disclose identities of major donors – Where petitioners refused to disclose and respondent threatened suspension of registration and fines for non-compliance – Where petitioners challenged constitutionality of disclosure requirement on basis violated First Amendment freedom of association – Where District Court held disclosure burdened freedom of information and Ninth Circuit allowed appeal by respondent – Whether disclosure requirement breaches freedom of association in First Amendment. </w:t>
      </w:r>
    </w:p>
    <w:p w:rsidR="00C8310F" w:rsidRPr="00856E9C" w:rsidRDefault="00C8310F" w:rsidP="00C8310F">
      <w:pPr>
        <w:ind w:left="720"/>
        <w:rPr>
          <w:highlight w:val="yellow"/>
          <w:lang w:eastAsia="en-AU"/>
        </w:rPr>
      </w:pPr>
    </w:p>
    <w:p w:rsidR="00C8310F" w:rsidRPr="000D3E8D" w:rsidRDefault="00C8310F" w:rsidP="00C8310F">
      <w:pPr>
        <w:rPr>
          <w:lang w:eastAsia="en-AU"/>
        </w:rPr>
      </w:pPr>
      <w:r w:rsidRPr="002F4F7E">
        <w:rPr>
          <w:b/>
          <w:lang w:eastAsia="en-AU"/>
        </w:rPr>
        <w:t>Held (</w:t>
      </w:r>
      <w:r w:rsidR="00F16D90">
        <w:rPr>
          <w:b/>
          <w:lang w:eastAsia="en-AU"/>
        </w:rPr>
        <w:t>6</w:t>
      </w:r>
      <w:r>
        <w:rPr>
          <w:b/>
          <w:lang w:eastAsia="en-AU"/>
        </w:rPr>
        <w:t>:</w:t>
      </w:r>
      <w:r w:rsidR="00F16D90">
        <w:rPr>
          <w:b/>
          <w:lang w:eastAsia="en-AU"/>
        </w:rPr>
        <w:t>3</w:t>
      </w:r>
      <w:r w:rsidRPr="002F4F7E">
        <w:rPr>
          <w:b/>
          <w:lang w:eastAsia="en-AU"/>
        </w:rPr>
        <w:t xml:space="preserve">): </w:t>
      </w:r>
      <w:r w:rsidR="00F16D90">
        <w:rPr>
          <w:lang w:eastAsia="en-AU"/>
        </w:rPr>
        <w:t xml:space="preserve">Reversed and remanded. </w:t>
      </w:r>
      <w:r>
        <w:rPr>
          <w:lang w:eastAsia="en-AU"/>
        </w:rPr>
        <w:t xml:space="preserve"> </w:t>
      </w:r>
    </w:p>
    <w:p w:rsidR="00C920EA" w:rsidRPr="00B546B2" w:rsidRDefault="00C920EA" w:rsidP="00C920EA">
      <w:pPr>
        <w:pStyle w:val="BullDivider2"/>
        <w:rPr>
          <w:rFonts w:cs="Arial"/>
          <w:highlight w:val="yellow"/>
        </w:rPr>
      </w:pPr>
    </w:p>
    <w:p w:rsidR="00C920EA" w:rsidRPr="00B546B2" w:rsidRDefault="00C920EA" w:rsidP="00C920EA">
      <w:pPr>
        <w:rPr>
          <w:highlight w:val="yellow"/>
        </w:rPr>
      </w:pPr>
    </w:p>
    <w:p w:rsidR="00201235" w:rsidRDefault="00201235" w:rsidP="00201235">
      <w:pPr>
        <w:pStyle w:val="Heading1"/>
      </w:pPr>
      <w:r>
        <w:t>Contracts</w:t>
      </w:r>
    </w:p>
    <w:p w:rsidR="00201235" w:rsidRDefault="00201235" w:rsidP="00201235"/>
    <w:p w:rsidR="00342F77" w:rsidRPr="002F4F7E" w:rsidRDefault="00342F77" w:rsidP="00342F77">
      <w:pPr>
        <w:pStyle w:val="Heading2"/>
      </w:pPr>
      <w:r>
        <w:t xml:space="preserve">Pakistan International Airline Corporation v Times Travel (UK) Ltd </w:t>
      </w:r>
    </w:p>
    <w:p w:rsidR="00342F77" w:rsidRPr="002F4F7E" w:rsidRDefault="00342F77" w:rsidP="00342F77">
      <w:pPr>
        <w:rPr>
          <w:lang w:eastAsia="en-AU"/>
        </w:rPr>
      </w:pPr>
      <w:r>
        <w:rPr>
          <w:b/>
          <w:lang w:eastAsia="en-AU"/>
        </w:rPr>
        <w:t>Supreme Court of the United Kingdom</w:t>
      </w:r>
      <w:r w:rsidRPr="002F4F7E">
        <w:rPr>
          <w:b/>
          <w:lang w:eastAsia="en-AU"/>
        </w:rPr>
        <w:t xml:space="preserve">: </w:t>
      </w:r>
      <w:hyperlink r:id="rId17" w:history="1">
        <w:r w:rsidRPr="00342F77">
          <w:rPr>
            <w:rStyle w:val="Hyperlink"/>
            <w:lang w:eastAsia="en-AU"/>
          </w:rPr>
          <w:t>[2021] UKSC 40</w:t>
        </w:r>
      </w:hyperlink>
    </w:p>
    <w:p w:rsidR="00342F77" w:rsidRPr="002F4F7E" w:rsidRDefault="00342F77" w:rsidP="00342F77">
      <w:pPr>
        <w:rPr>
          <w:lang w:eastAsia="en-AU"/>
        </w:rPr>
      </w:pPr>
    </w:p>
    <w:p w:rsidR="00342F77" w:rsidRPr="002F4F7E" w:rsidRDefault="00342F77" w:rsidP="00342F77">
      <w:pPr>
        <w:rPr>
          <w:lang w:eastAsia="en-AU"/>
        </w:rPr>
      </w:pPr>
      <w:r w:rsidRPr="002F4F7E">
        <w:rPr>
          <w:b/>
          <w:lang w:eastAsia="en-AU"/>
        </w:rPr>
        <w:lastRenderedPageBreak/>
        <w:t>Judgment delivered:</w:t>
      </w:r>
      <w:r w:rsidRPr="002F4F7E">
        <w:rPr>
          <w:lang w:eastAsia="en-AU"/>
        </w:rPr>
        <w:t xml:space="preserve"> </w:t>
      </w:r>
      <w:r>
        <w:rPr>
          <w:lang w:eastAsia="en-AU"/>
        </w:rPr>
        <w:t>18 August 2021</w:t>
      </w:r>
    </w:p>
    <w:p w:rsidR="00342F77" w:rsidRPr="002F4F7E" w:rsidRDefault="00342F77" w:rsidP="00342F77">
      <w:pPr>
        <w:rPr>
          <w:lang w:eastAsia="en-AU"/>
        </w:rPr>
      </w:pPr>
    </w:p>
    <w:p w:rsidR="00342F77" w:rsidRPr="002F4F7E" w:rsidRDefault="00342F77" w:rsidP="00342F77">
      <w:pPr>
        <w:rPr>
          <w:lang w:eastAsia="en-AU"/>
        </w:rPr>
      </w:pPr>
      <w:r w:rsidRPr="002F4F7E">
        <w:rPr>
          <w:b/>
          <w:lang w:eastAsia="en-AU"/>
        </w:rPr>
        <w:t xml:space="preserve">Coram: </w:t>
      </w:r>
      <w:r w:rsidRPr="003B3C02">
        <w:rPr>
          <w:lang w:eastAsia="en-AU"/>
        </w:rPr>
        <w:t xml:space="preserve">Lord </w:t>
      </w:r>
      <w:r>
        <w:rPr>
          <w:lang w:eastAsia="en-AU"/>
        </w:rPr>
        <w:t>Reed, Lord Hodge, Lord Lloyd-Jones, Lord Kitchin and Lord Burrows</w:t>
      </w:r>
    </w:p>
    <w:p w:rsidR="00342F77" w:rsidRPr="002F4F7E" w:rsidRDefault="00342F77" w:rsidP="00342F77">
      <w:pPr>
        <w:rPr>
          <w:lang w:eastAsia="en-AU"/>
        </w:rPr>
      </w:pPr>
    </w:p>
    <w:p w:rsidR="00342F77" w:rsidRPr="002F4F7E" w:rsidRDefault="00342F77" w:rsidP="00342F77">
      <w:pPr>
        <w:rPr>
          <w:b/>
          <w:lang w:eastAsia="en-AU"/>
        </w:rPr>
      </w:pPr>
      <w:r>
        <w:rPr>
          <w:b/>
          <w:lang w:eastAsia="en-AU"/>
        </w:rPr>
        <w:t>Catchwords:</w:t>
      </w:r>
    </w:p>
    <w:p w:rsidR="00342F77" w:rsidRPr="00856E9C" w:rsidRDefault="00342F77" w:rsidP="00342F77">
      <w:pPr>
        <w:rPr>
          <w:b/>
          <w:highlight w:val="yellow"/>
          <w:lang w:eastAsia="en-AU"/>
        </w:rPr>
      </w:pPr>
    </w:p>
    <w:p w:rsidR="00342F77" w:rsidRPr="009B241E" w:rsidRDefault="00342F77" w:rsidP="00342F77">
      <w:pPr>
        <w:ind w:left="720"/>
        <w:rPr>
          <w:lang w:eastAsia="en-AU"/>
        </w:rPr>
      </w:pPr>
      <w:r>
        <w:rPr>
          <w:lang w:eastAsia="en-AU"/>
        </w:rPr>
        <w:t>Contracts – Rescission –</w:t>
      </w:r>
      <w:r w:rsidR="00180D2F">
        <w:rPr>
          <w:lang w:eastAsia="en-AU"/>
        </w:rPr>
        <w:t xml:space="preserve"> Lawful act </w:t>
      </w:r>
      <w:r w:rsidR="00791EE3">
        <w:rPr>
          <w:lang w:eastAsia="en-AU"/>
        </w:rPr>
        <w:t xml:space="preserve">economic </w:t>
      </w:r>
      <w:r w:rsidR="00180D2F">
        <w:rPr>
          <w:lang w:eastAsia="en-AU"/>
        </w:rPr>
        <w:t>duress – Where appellant travel agent business consisted almost exclusively of selling plane tickets operated by respondent – Wher</w:t>
      </w:r>
      <w:r w:rsidR="00C61094">
        <w:rPr>
          <w:lang w:eastAsia="en-AU"/>
        </w:rPr>
        <w:t>e</w:t>
      </w:r>
      <w:r w:rsidR="00180D2F">
        <w:rPr>
          <w:lang w:eastAsia="en-AU"/>
        </w:rPr>
        <w:t xml:space="preserve"> dispute arose when certain travel agents, including appellant, alleged respondent withheld commission payments – Where travel agents brought claim to recover commission, but appellant did not join due to pressure from respondent – Where respondent lawfully gave notice of termination of agency contract with appellant and offered new contract, which included waiver by appellant of claims of unpaid commission</w:t>
      </w:r>
      <w:r w:rsidR="00C61094">
        <w:rPr>
          <w:lang w:eastAsia="en-AU"/>
        </w:rPr>
        <w:t xml:space="preserve"> </w:t>
      </w:r>
      <w:r w:rsidR="00180D2F">
        <w:rPr>
          <w:lang w:eastAsia="en-AU"/>
        </w:rPr>
        <w:t xml:space="preserve">– Where appellant </w:t>
      </w:r>
      <w:r w:rsidR="00C61094">
        <w:rPr>
          <w:lang w:eastAsia="en-AU"/>
        </w:rPr>
        <w:t xml:space="preserve">agreed but </w:t>
      </w:r>
      <w:r w:rsidR="00180D2F">
        <w:rPr>
          <w:lang w:eastAsia="en-AU"/>
        </w:rPr>
        <w:t xml:space="preserve">subsequently brought claim for unpaid commission, arguing </w:t>
      </w:r>
      <w:r w:rsidR="00791EE3">
        <w:rPr>
          <w:lang w:eastAsia="en-AU"/>
        </w:rPr>
        <w:t>recession based on lawful act economic duress – Where High Court allowed claim but found respondent genuinely believed commission not due – Where Court of Appeal allowed respondent’s appeal as respondent not acted in bad faith – Whether party can rescind contract on basis of lawful act economic duress</w:t>
      </w:r>
      <w:r w:rsidR="008D76F0">
        <w:rPr>
          <w:lang w:eastAsia="en-AU"/>
        </w:rPr>
        <w:t xml:space="preserve"> – Whether respondent’s acts constituted lawful act economic duress. </w:t>
      </w:r>
    </w:p>
    <w:p w:rsidR="00342F77" w:rsidRPr="00856E9C" w:rsidRDefault="00342F77" w:rsidP="00342F77">
      <w:pPr>
        <w:ind w:left="720"/>
        <w:rPr>
          <w:highlight w:val="yellow"/>
          <w:lang w:eastAsia="en-AU"/>
        </w:rPr>
      </w:pPr>
    </w:p>
    <w:p w:rsidR="00342F77" w:rsidRPr="000D3E8D" w:rsidRDefault="00342F77" w:rsidP="00342F77">
      <w:pPr>
        <w:rPr>
          <w:lang w:eastAsia="en-AU"/>
        </w:rPr>
      </w:pPr>
      <w:r w:rsidRPr="002F4F7E">
        <w:rPr>
          <w:b/>
          <w:lang w:eastAsia="en-AU"/>
        </w:rPr>
        <w:t>Held (</w:t>
      </w:r>
      <w:r w:rsidR="00791EE3">
        <w:rPr>
          <w:b/>
          <w:lang w:eastAsia="en-AU"/>
        </w:rPr>
        <w:t>5</w:t>
      </w:r>
      <w:r>
        <w:rPr>
          <w:b/>
          <w:lang w:eastAsia="en-AU"/>
        </w:rPr>
        <w:t>:0</w:t>
      </w:r>
      <w:r w:rsidRPr="002F4F7E">
        <w:rPr>
          <w:b/>
          <w:lang w:eastAsia="en-AU"/>
        </w:rPr>
        <w:t xml:space="preserve">): </w:t>
      </w:r>
      <w:r>
        <w:rPr>
          <w:lang w:eastAsia="en-AU"/>
        </w:rPr>
        <w:t xml:space="preserve">Appeal </w:t>
      </w:r>
      <w:r w:rsidR="00791EE3">
        <w:rPr>
          <w:lang w:eastAsia="en-AU"/>
        </w:rPr>
        <w:t>dismissed.</w:t>
      </w:r>
      <w:r>
        <w:rPr>
          <w:lang w:eastAsia="en-AU"/>
        </w:rPr>
        <w:t xml:space="preserve"> </w:t>
      </w:r>
    </w:p>
    <w:p w:rsidR="00342F77" w:rsidRPr="00181993" w:rsidRDefault="00342F77" w:rsidP="00342F77">
      <w:pPr>
        <w:pStyle w:val="BullDivider1"/>
        <w:pBdr>
          <w:bottom w:val="dotted" w:sz="4" w:space="0" w:color="auto"/>
        </w:pBdr>
      </w:pPr>
    </w:p>
    <w:p w:rsidR="00342F77" w:rsidRDefault="00342F77" w:rsidP="00342F77"/>
    <w:p w:rsidR="00196B53" w:rsidRPr="002F4F7E" w:rsidRDefault="00196B53" w:rsidP="00196B53">
      <w:pPr>
        <w:pStyle w:val="Heading2"/>
      </w:pPr>
      <w:r>
        <w:t>X v Kuoni Travel Ltd</w:t>
      </w:r>
    </w:p>
    <w:p w:rsidR="00196B53" w:rsidRPr="002F4F7E" w:rsidRDefault="00196B53" w:rsidP="00196B53">
      <w:pPr>
        <w:rPr>
          <w:lang w:eastAsia="en-AU"/>
        </w:rPr>
      </w:pPr>
      <w:r>
        <w:rPr>
          <w:b/>
          <w:lang w:eastAsia="en-AU"/>
        </w:rPr>
        <w:t>Supreme Court of the United Kingdom</w:t>
      </w:r>
      <w:r w:rsidRPr="002F4F7E">
        <w:rPr>
          <w:b/>
          <w:lang w:eastAsia="en-AU"/>
        </w:rPr>
        <w:t xml:space="preserve">: </w:t>
      </w:r>
      <w:hyperlink r:id="rId18" w:history="1">
        <w:r w:rsidRPr="0088737A">
          <w:rPr>
            <w:rStyle w:val="Hyperlink"/>
            <w:lang w:eastAsia="en-AU"/>
          </w:rPr>
          <w:t xml:space="preserve">[2021] UKSC </w:t>
        </w:r>
        <w:r w:rsidR="008A65BC">
          <w:rPr>
            <w:rStyle w:val="Hyperlink"/>
            <w:lang w:eastAsia="en-AU"/>
          </w:rPr>
          <w:t>34</w:t>
        </w:r>
      </w:hyperlink>
    </w:p>
    <w:p w:rsidR="00196B53" w:rsidRPr="002F4F7E" w:rsidRDefault="00196B53" w:rsidP="00196B53">
      <w:pPr>
        <w:rPr>
          <w:lang w:eastAsia="en-AU"/>
        </w:rPr>
      </w:pPr>
    </w:p>
    <w:p w:rsidR="00196B53" w:rsidRPr="002F4F7E" w:rsidRDefault="00196B53" w:rsidP="00196B53">
      <w:pPr>
        <w:rPr>
          <w:lang w:eastAsia="en-AU"/>
        </w:rPr>
      </w:pPr>
      <w:r w:rsidRPr="002F4F7E">
        <w:rPr>
          <w:b/>
          <w:lang w:eastAsia="en-AU"/>
        </w:rPr>
        <w:t>Judgment delivered:</w:t>
      </w:r>
      <w:r w:rsidRPr="002F4F7E">
        <w:rPr>
          <w:lang w:eastAsia="en-AU"/>
        </w:rPr>
        <w:t xml:space="preserve"> </w:t>
      </w:r>
      <w:r w:rsidR="008A65BC">
        <w:rPr>
          <w:lang w:eastAsia="en-AU"/>
        </w:rPr>
        <w:t>30</w:t>
      </w:r>
      <w:r>
        <w:rPr>
          <w:lang w:eastAsia="en-AU"/>
        </w:rPr>
        <w:t xml:space="preserve"> July 2021</w:t>
      </w:r>
    </w:p>
    <w:p w:rsidR="00196B53" w:rsidRPr="002F4F7E" w:rsidRDefault="00196B53" w:rsidP="00196B53">
      <w:pPr>
        <w:rPr>
          <w:lang w:eastAsia="en-AU"/>
        </w:rPr>
      </w:pPr>
    </w:p>
    <w:p w:rsidR="00196B53" w:rsidRPr="002F4F7E" w:rsidRDefault="00196B53" w:rsidP="00196B53">
      <w:pPr>
        <w:rPr>
          <w:lang w:eastAsia="en-AU"/>
        </w:rPr>
      </w:pPr>
      <w:r w:rsidRPr="002F4F7E">
        <w:rPr>
          <w:b/>
          <w:lang w:eastAsia="en-AU"/>
        </w:rPr>
        <w:t xml:space="preserve">Coram: </w:t>
      </w:r>
      <w:r w:rsidRPr="003B3C02">
        <w:rPr>
          <w:lang w:eastAsia="en-AU"/>
        </w:rPr>
        <w:t>Lord H</w:t>
      </w:r>
      <w:r w:rsidR="008A65BC">
        <w:rPr>
          <w:lang w:eastAsia="en-AU"/>
        </w:rPr>
        <w:t>odge, Lord Lloyd-Jones, Lady Arden and Lord Kitchin</w:t>
      </w:r>
    </w:p>
    <w:p w:rsidR="00196B53" w:rsidRPr="002F4F7E" w:rsidRDefault="00196B53" w:rsidP="00196B53">
      <w:pPr>
        <w:rPr>
          <w:lang w:eastAsia="en-AU"/>
        </w:rPr>
      </w:pPr>
    </w:p>
    <w:p w:rsidR="00196B53" w:rsidRPr="002F4F7E" w:rsidRDefault="00196B53" w:rsidP="00196B53">
      <w:pPr>
        <w:rPr>
          <w:b/>
          <w:lang w:eastAsia="en-AU"/>
        </w:rPr>
      </w:pPr>
      <w:r>
        <w:rPr>
          <w:b/>
          <w:lang w:eastAsia="en-AU"/>
        </w:rPr>
        <w:t>Catchwords:</w:t>
      </w:r>
    </w:p>
    <w:p w:rsidR="00196B53" w:rsidRPr="00856E9C" w:rsidRDefault="00196B53" w:rsidP="00196B53">
      <w:pPr>
        <w:rPr>
          <w:b/>
          <w:highlight w:val="yellow"/>
          <w:lang w:eastAsia="en-AU"/>
        </w:rPr>
      </w:pPr>
    </w:p>
    <w:p w:rsidR="00196B53" w:rsidRPr="009B241E" w:rsidRDefault="00196B53" w:rsidP="008A65BC">
      <w:pPr>
        <w:ind w:left="720"/>
        <w:rPr>
          <w:lang w:eastAsia="en-AU"/>
        </w:rPr>
      </w:pPr>
      <w:r>
        <w:rPr>
          <w:lang w:eastAsia="en-AU"/>
        </w:rPr>
        <w:t>Contracts – Breach of contract</w:t>
      </w:r>
      <w:r w:rsidR="008A65BC">
        <w:rPr>
          <w:lang w:eastAsia="en-AU"/>
        </w:rPr>
        <w:t xml:space="preserve"> – Package holiday contracts – Where appellant contracted with respondent for package holiday, including accommodation at hotel – Where contract governed by </w:t>
      </w:r>
      <w:r w:rsidR="008A65BC" w:rsidRPr="008A65BC">
        <w:rPr>
          <w:i/>
          <w:lang w:eastAsia="en-AU"/>
        </w:rPr>
        <w:t>EU Directive 90/314/EEC on package travel, package holidays and package tours</w:t>
      </w:r>
      <w:r w:rsidR="008A65BC">
        <w:rPr>
          <w:i/>
          <w:lang w:eastAsia="en-AU"/>
        </w:rPr>
        <w:t xml:space="preserve"> </w:t>
      </w:r>
      <w:r w:rsidR="008A65BC">
        <w:rPr>
          <w:lang w:eastAsia="en-AU"/>
        </w:rPr>
        <w:t>– Where, during holiday, appellant sexual</w:t>
      </w:r>
      <w:r w:rsidR="005C5A84">
        <w:rPr>
          <w:lang w:eastAsia="en-AU"/>
        </w:rPr>
        <w:t>ly</w:t>
      </w:r>
      <w:r w:rsidR="008A65BC">
        <w:rPr>
          <w:lang w:eastAsia="en-AU"/>
        </w:rPr>
        <w:t xml:space="preserve"> assaulted by hotel employee – Where appellant sued respondent for breach of contract and for breach of obligations under Directive – Where High Court dismissed claim on basis art 5(2) of Directive provides defence to claim if sexual assault events which, even with all due care, respondent could not have foreseen or forestalled – Where Court of Appeal dismissed appeal – Where, on appeal, Supreme Court referred question to EU Court of Justice – Where Court of Justice in </w:t>
      </w:r>
      <w:r w:rsidR="008A65BC" w:rsidRPr="008A65BC">
        <w:rPr>
          <w:i/>
          <w:lang w:eastAsia="en-AU"/>
        </w:rPr>
        <w:t>X v Kuoni Travel Ltd (Case C-578/19)</w:t>
      </w:r>
      <w:r w:rsidR="008A65BC">
        <w:rPr>
          <w:lang w:eastAsia="en-AU"/>
        </w:rPr>
        <w:t xml:space="preserve"> decided art 5(2) does not apply where act result of employees of suppliers of servicers – Whether respondent liable to appellant for breach of contract and breach of Directive.</w:t>
      </w:r>
    </w:p>
    <w:p w:rsidR="00196B53" w:rsidRPr="00856E9C" w:rsidRDefault="00196B53" w:rsidP="00196B53">
      <w:pPr>
        <w:ind w:left="720"/>
        <w:rPr>
          <w:highlight w:val="yellow"/>
          <w:lang w:eastAsia="en-AU"/>
        </w:rPr>
      </w:pPr>
    </w:p>
    <w:p w:rsidR="00196B53" w:rsidRPr="000D3E8D" w:rsidRDefault="00196B53" w:rsidP="00196B53">
      <w:pPr>
        <w:rPr>
          <w:lang w:eastAsia="en-AU"/>
        </w:rPr>
      </w:pPr>
      <w:r w:rsidRPr="002F4F7E">
        <w:rPr>
          <w:b/>
          <w:lang w:eastAsia="en-AU"/>
        </w:rPr>
        <w:lastRenderedPageBreak/>
        <w:t>Held (</w:t>
      </w:r>
      <w:r w:rsidR="008A65BC">
        <w:rPr>
          <w:b/>
          <w:lang w:eastAsia="en-AU"/>
        </w:rPr>
        <w:t>4</w:t>
      </w:r>
      <w:r>
        <w:rPr>
          <w:b/>
          <w:lang w:eastAsia="en-AU"/>
        </w:rPr>
        <w:t>:</w:t>
      </w:r>
      <w:r w:rsidR="008A65BC">
        <w:rPr>
          <w:b/>
          <w:lang w:eastAsia="en-AU"/>
        </w:rPr>
        <w:t>0</w:t>
      </w:r>
      <w:r w:rsidRPr="002F4F7E">
        <w:rPr>
          <w:b/>
          <w:lang w:eastAsia="en-AU"/>
        </w:rPr>
        <w:t xml:space="preserve">): </w:t>
      </w:r>
      <w:r>
        <w:rPr>
          <w:lang w:eastAsia="en-AU"/>
        </w:rPr>
        <w:t>Appeal allowed</w:t>
      </w:r>
      <w:r w:rsidR="008A65BC">
        <w:rPr>
          <w:lang w:eastAsia="en-AU"/>
        </w:rPr>
        <w:t>.</w:t>
      </w:r>
      <w:r>
        <w:rPr>
          <w:lang w:eastAsia="en-AU"/>
        </w:rPr>
        <w:t xml:space="preserve"> </w:t>
      </w:r>
    </w:p>
    <w:p w:rsidR="00181274" w:rsidRPr="00181993" w:rsidRDefault="00181274" w:rsidP="00181274">
      <w:pPr>
        <w:pStyle w:val="BullDivider1"/>
        <w:pBdr>
          <w:bottom w:val="dotted" w:sz="4" w:space="0" w:color="auto"/>
        </w:pBdr>
      </w:pPr>
    </w:p>
    <w:p w:rsidR="00181274" w:rsidRDefault="00181274" w:rsidP="00181274"/>
    <w:p w:rsidR="00181274" w:rsidRPr="002F4F7E" w:rsidRDefault="00181274" w:rsidP="00181274">
      <w:pPr>
        <w:pStyle w:val="Heading2"/>
      </w:pPr>
      <w:r>
        <w:t>Corner Brook (City) v Bailey</w:t>
      </w:r>
    </w:p>
    <w:p w:rsidR="00181274" w:rsidRPr="002F4F7E" w:rsidRDefault="00181274" w:rsidP="00181274">
      <w:pPr>
        <w:rPr>
          <w:lang w:eastAsia="en-AU"/>
        </w:rPr>
      </w:pPr>
      <w:r>
        <w:rPr>
          <w:b/>
          <w:lang w:eastAsia="en-AU"/>
        </w:rPr>
        <w:t>Supreme Court of Canada</w:t>
      </w:r>
      <w:r w:rsidRPr="002F4F7E">
        <w:rPr>
          <w:b/>
          <w:lang w:eastAsia="en-AU"/>
        </w:rPr>
        <w:t xml:space="preserve">: </w:t>
      </w:r>
      <w:hyperlink r:id="rId19" w:history="1">
        <w:r w:rsidRPr="00CA6AB8">
          <w:rPr>
            <w:rStyle w:val="Hyperlink"/>
            <w:lang w:eastAsia="en-AU"/>
          </w:rPr>
          <w:t>[2021] SCC 29</w:t>
        </w:r>
      </w:hyperlink>
    </w:p>
    <w:p w:rsidR="00181274" w:rsidRPr="002F4F7E" w:rsidRDefault="00181274" w:rsidP="00181274">
      <w:pPr>
        <w:rPr>
          <w:lang w:eastAsia="en-AU"/>
        </w:rPr>
      </w:pPr>
    </w:p>
    <w:p w:rsidR="00181274" w:rsidRPr="002F4F7E" w:rsidRDefault="00181274" w:rsidP="00181274">
      <w:pPr>
        <w:rPr>
          <w:lang w:eastAsia="en-AU"/>
        </w:rPr>
      </w:pPr>
      <w:r w:rsidRPr="002F4F7E">
        <w:rPr>
          <w:b/>
          <w:lang w:eastAsia="en-AU"/>
        </w:rPr>
        <w:t>Judgment delivered:</w:t>
      </w:r>
      <w:r w:rsidRPr="002F4F7E">
        <w:rPr>
          <w:lang w:eastAsia="en-AU"/>
        </w:rPr>
        <w:t xml:space="preserve"> </w:t>
      </w:r>
      <w:r>
        <w:rPr>
          <w:lang w:eastAsia="en-AU"/>
        </w:rPr>
        <w:t>23 July 2021</w:t>
      </w:r>
    </w:p>
    <w:p w:rsidR="00181274" w:rsidRPr="002F4F7E" w:rsidRDefault="00181274" w:rsidP="00181274">
      <w:pPr>
        <w:rPr>
          <w:lang w:eastAsia="en-AU"/>
        </w:rPr>
      </w:pPr>
    </w:p>
    <w:p w:rsidR="00181274" w:rsidRPr="002F4F7E" w:rsidRDefault="00181274" w:rsidP="00181274">
      <w:pPr>
        <w:rPr>
          <w:lang w:eastAsia="en-AU"/>
        </w:rPr>
      </w:pPr>
      <w:r w:rsidRPr="002F4F7E">
        <w:rPr>
          <w:b/>
          <w:lang w:eastAsia="en-AU"/>
        </w:rPr>
        <w:t xml:space="preserve">Coram: </w:t>
      </w:r>
      <w:r>
        <w:rPr>
          <w:color w:val="000000"/>
        </w:rPr>
        <w:t>Wagner CJ, Abella, Moldaver, Karakatsanis, Côté, Brown, Rowe, Martin and Kasirer JJ</w:t>
      </w:r>
    </w:p>
    <w:p w:rsidR="00181274" w:rsidRPr="002F4F7E" w:rsidRDefault="00181274" w:rsidP="00181274">
      <w:pPr>
        <w:rPr>
          <w:lang w:eastAsia="en-AU"/>
        </w:rPr>
      </w:pPr>
    </w:p>
    <w:p w:rsidR="00181274" w:rsidRPr="002F4F7E" w:rsidRDefault="00181274" w:rsidP="00181274">
      <w:pPr>
        <w:rPr>
          <w:b/>
          <w:lang w:eastAsia="en-AU"/>
        </w:rPr>
      </w:pPr>
      <w:r>
        <w:rPr>
          <w:b/>
          <w:lang w:eastAsia="en-AU"/>
        </w:rPr>
        <w:t>Catchwords:</w:t>
      </w:r>
    </w:p>
    <w:p w:rsidR="00181274" w:rsidRPr="00856E9C" w:rsidRDefault="00181274" w:rsidP="00181274">
      <w:pPr>
        <w:rPr>
          <w:b/>
          <w:highlight w:val="yellow"/>
          <w:lang w:eastAsia="en-AU"/>
        </w:rPr>
      </w:pPr>
    </w:p>
    <w:p w:rsidR="00181274" w:rsidRDefault="00181274" w:rsidP="00181274">
      <w:pPr>
        <w:ind w:left="720"/>
        <w:rPr>
          <w:lang w:eastAsia="en-AU"/>
        </w:rPr>
      </w:pPr>
      <w:r w:rsidRPr="00CA6AB8">
        <w:rPr>
          <w:lang w:eastAsia="en-AU"/>
        </w:rPr>
        <w:t xml:space="preserve">Contracts — Interpretation — Releases — Scope of release — </w:t>
      </w:r>
      <w:r>
        <w:rPr>
          <w:lang w:eastAsia="en-AU"/>
        </w:rPr>
        <w:t>Where c</w:t>
      </w:r>
      <w:r w:rsidRPr="00CA6AB8">
        <w:rPr>
          <w:lang w:eastAsia="en-AU"/>
        </w:rPr>
        <w:t xml:space="preserve">ity employee struck by car — </w:t>
      </w:r>
      <w:r>
        <w:rPr>
          <w:lang w:eastAsia="en-AU"/>
        </w:rPr>
        <w:t>Where d</w:t>
      </w:r>
      <w:r w:rsidRPr="00CA6AB8">
        <w:rPr>
          <w:lang w:eastAsia="en-AU"/>
        </w:rPr>
        <w:t>river su</w:t>
      </w:r>
      <w:r>
        <w:rPr>
          <w:lang w:eastAsia="en-AU"/>
        </w:rPr>
        <w:t>ed</w:t>
      </w:r>
      <w:r w:rsidRPr="00CA6AB8">
        <w:rPr>
          <w:lang w:eastAsia="en-AU"/>
        </w:rPr>
        <w:t xml:space="preserve"> city — </w:t>
      </w:r>
      <w:r>
        <w:rPr>
          <w:lang w:eastAsia="en-AU"/>
        </w:rPr>
        <w:t>Where d</w:t>
      </w:r>
      <w:r w:rsidRPr="00CA6AB8">
        <w:rPr>
          <w:lang w:eastAsia="en-AU"/>
        </w:rPr>
        <w:t>river and city enter</w:t>
      </w:r>
      <w:r>
        <w:rPr>
          <w:lang w:eastAsia="en-AU"/>
        </w:rPr>
        <w:t>ed</w:t>
      </w:r>
      <w:r w:rsidRPr="00CA6AB8">
        <w:rPr>
          <w:lang w:eastAsia="en-AU"/>
        </w:rPr>
        <w:t xml:space="preserve"> into release agreement to settle action — </w:t>
      </w:r>
      <w:r>
        <w:rPr>
          <w:lang w:eastAsia="en-AU"/>
        </w:rPr>
        <w:t>Where d</w:t>
      </w:r>
      <w:r w:rsidRPr="00CA6AB8">
        <w:rPr>
          <w:lang w:eastAsia="en-AU"/>
        </w:rPr>
        <w:t>river subsequently br</w:t>
      </w:r>
      <w:r>
        <w:rPr>
          <w:lang w:eastAsia="en-AU"/>
        </w:rPr>
        <w:t>ought</w:t>
      </w:r>
      <w:r w:rsidRPr="00CA6AB8">
        <w:rPr>
          <w:lang w:eastAsia="en-AU"/>
        </w:rPr>
        <w:t xml:space="preserve"> third party claim against city in separate action by employee against her — </w:t>
      </w:r>
      <w:r>
        <w:rPr>
          <w:lang w:eastAsia="en-AU"/>
        </w:rPr>
        <w:t>Where c</w:t>
      </w:r>
      <w:r w:rsidRPr="00CA6AB8">
        <w:rPr>
          <w:lang w:eastAsia="en-AU"/>
        </w:rPr>
        <w:t>ity appl</w:t>
      </w:r>
      <w:r>
        <w:rPr>
          <w:lang w:eastAsia="en-AU"/>
        </w:rPr>
        <w:t>ied</w:t>
      </w:r>
      <w:r w:rsidRPr="00CA6AB8">
        <w:rPr>
          <w:lang w:eastAsia="en-AU"/>
        </w:rPr>
        <w:t xml:space="preserve"> for summary trial on basis that third party claim barred by release agreement — </w:t>
      </w:r>
      <w:r>
        <w:rPr>
          <w:lang w:eastAsia="en-AU"/>
        </w:rPr>
        <w:t>Where a</w:t>
      </w:r>
      <w:r w:rsidRPr="00CA6AB8">
        <w:rPr>
          <w:lang w:eastAsia="en-AU"/>
        </w:rPr>
        <w:t>pplication judge stay</w:t>
      </w:r>
      <w:r>
        <w:rPr>
          <w:lang w:eastAsia="en-AU"/>
        </w:rPr>
        <w:t>ed</w:t>
      </w:r>
      <w:r w:rsidRPr="00CA6AB8">
        <w:rPr>
          <w:lang w:eastAsia="en-AU"/>
        </w:rPr>
        <w:t xml:space="preserve"> claim — </w:t>
      </w:r>
      <w:r>
        <w:rPr>
          <w:lang w:eastAsia="en-AU"/>
        </w:rPr>
        <w:t xml:space="preserve">Where </w:t>
      </w:r>
      <w:r w:rsidRPr="00CA6AB8">
        <w:rPr>
          <w:lang w:eastAsia="en-AU"/>
        </w:rPr>
        <w:t>Court of Appeal reinstat</w:t>
      </w:r>
      <w:r>
        <w:rPr>
          <w:lang w:eastAsia="en-AU"/>
        </w:rPr>
        <w:t>ed</w:t>
      </w:r>
      <w:r w:rsidRPr="00CA6AB8">
        <w:rPr>
          <w:lang w:eastAsia="en-AU"/>
        </w:rPr>
        <w:t xml:space="preserve"> claim — Whether special interpretive rule applies to releases — Whether application judge made reviewable error in interpretation of release.</w:t>
      </w:r>
    </w:p>
    <w:p w:rsidR="00181274" w:rsidRPr="00856E9C" w:rsidRDefault="00181274" w:rsidP="00181274">
      <w:pPr>
        <w:ind w:left="720"/>
        <w:rPr>
          <w:highlight w:val="yellow"/>
          <w:lang w:eastAsia="en-AU"/>
        </w:rPr>
      </w:pPr>
    </w:p>
    <w:p w:rsidR="00181274" w:rsidRDefault="00181274" w:rsidP="00181274">
      <w:pPr>
        <w:rPr>
          <w:lang w:eastAsia="en-AU"/>
        </w:rPr>
      </w:pPr>
      <w:r w:rsidRPr="002F4F7E">
        <w:rPr>
          <w:b/>
          <w:lang w:eastAsia="en-AU"/>
        </w:rPr>
        <w:t>Held (</w:t>
      </w:r>
      <w:r>
        <w:rPr>
          <w:b/>
          <w:lang w:eastAsia="en-AU"/>
        </w:rPr>
        <w:t>9:0</w:t>
      </w:r>
      <w:r w:rsidRPr="002F4F7E">
        <w:rPr>
          <w:b/>
          <w:lang w:eastAsia="en-AU"/>
        </w:rPr>
        <w:t xml:space="preserve">): </w:t>
      </w:r>
      <w:r>
        <w:rPr>
          <w:lang w:eastAsia="en-AU"/>
        </w:rPr>
        <w:t xml:space="preserve">Appeal allowed. </w:t>
      </w:r>
    </w:p>
    <w:p w:rsidR="00196B53" w:rsidRPr="00181993" w:rsidRDefault="00196B53" w:rsidP="00196B53">
      <w:pPr>
        <w:pStyle w:val="BullDivider1"/>
        <w:pBdr>
          <w:bottom w:val="dotted" w:sz="4" w:space="0" w:color="auto"/>
        </w:pBdr>
      </w:pPr>
    </w:p>
    <w:p w:rsidR="00196B53" w:rsidRDefault="00196B53" w:rsidP="00196B53"/>
    <w:p w:rsidR="003B3C02" w:rsidRPr="002F4F7E" w:rsidRDefault="003B3C02" w:rsidP="003B3C02">
      <w:pPr>
        <w:pStyle w:val="Heading2"/>
      </w:pPr>
      <w:r>
        <w:t>Triple Point Technology, Inc v PTT Public Company Ltd</w:t>
      </w:r>
    </w:p>
    <w:p w:rsidR="003B3C02" w:rsidRPr="002F4F7E" w:rsidRDefault="003B3C02" w:rsidP="003B3C02">
      <w:pPr>
        <w:rPr>
          <w:lang w:eastAsia="en-AU"/>
        </w:rPr>
      </w:pPr>
      <w:r>
        <w:rPr>
          <w:b/>
          <w:lang w:eastAsia="en-AU"/>
        </w:rPr>
        <w:t>Supreme Court of the United Kingdom</w:t>
      </w:r>
      <w:r w:rsidRPr="002F4F7E">
        <w:rPr>
          <w:b/>
          <w:lang w:eastAsia="en-AU"/>
        </w:rPr>
        <w:t xml:space="preserve">: </w:t>
      </w:r>
      <w:hyperlink r:id="rId20" w:history="1">
        <w:r w:rsidRPr="0088737A">
          <w:rPr>
            <w:rStyle w:val="Hyperlink"/>
            <w:lang w:eastAsia="en-AU"/>
          </w:rPr>
          <w:t>[2021] UKSC 2</w:t>
        </w:r>
        <w:r>
          <w:rPr>
            <w:rStyle w:val="Hyperlink"/>
            <w:lang w:eastAsia="en-AU"/>
          </w:rPr>
          <w:t>9</w:t>
        </w:r>
      </w:hyperlink>
    </w:p>
    <w:p w:rsidR="003B3C02" w:rsidRPr="002F4F7E" w:rsidRDefault="003B3C02" w:rsidP="003B3C02">
      <w:pPr>
        <w:rPr>
          <w:lang w:eastAsia="en-AU"/>
        </w:rPr>
      </w:pPr>
    </w:p>
    <w:p w:rsidR="003B3C02" w:rsidRPr="002F4F7E" w:rsidRDefault="003B3C02" w:rsidP="003B3C02">
      <w:pPr>
        <w:rPr>
          <w:lang w:eastAsia="en-AU"/>
        </w:rPr>
      </w:pPr>
      <w:r w:rsidRPr="002F4F7E">
        <w:rPr>
          <w:b/>
          <w:lang w:eastAsia="en-AU"/>
        </w:rPr>
        <w:t>Judgment delivered:</w:t>
      </w:r>
      <w:r w:rsidRPr="002F4F7E">
        <w:rPr>
          <w:lang w:eastAsia="en-AU"/>
        </w:rPr>
        <w:t xml:space="preserve"> </w:t>
      </w:r>
      <w:r>
        <w:rPr>
          <w:lang w:eastAsia="en-AU"/>
        </w:rPr>
        <w:t>16 July 2021</w:t>
      </w:r>
    </w:p>
    <w:p w:rsidR="003B3C02" w:rsidRPr="002F4F7E" w:rsidRDefault="003B3C02" w:rsidP="003B3C02">
      <w:pPr>
        <w:rPr>
          <w:lang w:eastAsia="en-AU"/>
        </w:rPr>
      </w:pPr>
    </w:p>
    <w:p w:rsidR="003B3C02" w:rsidRPr="002F4F7E" w:rsidRDefault="003B3C02" w:rsidP="003B3C02">
      <w:pPr>
        <w:rPr>
          <w:lang w:eastAsia="en-AU"/>
        </w:rPr>
      </w:pPr>
      <w:r w:rsidRPr="002F4F7E">
        <w:rPr>
          <w:b/>
          <w:lang w:eastAsia="en-AU"/>
        </w:rPr>
        <w:t xml:space="preserve">Coram: </w:t>
      </w:r>
      <w:r w:rsidRPr="003B3C02">
        <w:rPr>
          <w:lang w:eastAsia="en-AU"/>
        </w:rPr>
        <w:t>Lord Hodge, Lady Arden, Lord Sales, Lord Leggatt, Lord Burrows</w:t>
      </w:r>
    </w:p>
    <w:p w:rsidR="003B3C02" w:rsidRPr="002F4F7E" w:rsidRDefault="003B3C02" w:rsidP="003B3C02">
      <w:pPr>
        <w:rPr>
          <w:lang w:eastAsia="en-AU"/>
        </w:rPr>
      </w:pPr>
    </w:p>
    <w:p w:rsidR="003B3C02" w:rsidRPr="002F4F7E" w:rsidRDefault="003B3C02" w:rsidP="003B3C02">
      <w:pPr>
        <w:rPr>
          <w:b/>
          <w:lang w:eastAsia="en-AU"/>
        </w:rPr>
      </w:pPr>
      <w:r>
        <w:rPr>
          <w:b/>
          <w:lang w:eastAsia="en-AU"/>
        </w:rPr>
        <w:t>Catchwords:</w:t>
      </w:r>
    </w:p>
    <w:p w:rsidR="003B3C02" w:rsidRPr="00856E9C" w:rsidRDefault="003B3C02" w:rsidP="003B3C02">
      <w:pPr>
        <w:rPr>
          <w:b/>
          <w:highlight w:val="yellow"/>
          <w:lang w:eastAsia="en-AU"/>
        </w:rPr>
      </w:pPr>
    </w:p>
    <w:p w:rsidR="003B3C02" w:rsidRPr="009B241E" w:rsidRDefault="00256B0D" w:rsidP="003B3C02">
      <w:pPr>
        <w:ind w:left="720"/>
        <w:rPr>
          <w:lang w:eastAsia="en-AU"/>
        </w:rPr>
      </w:pPr>
      <w:r>
        <w:rPr>
          <w:lang w:eastAsia="en-AU"/>
        </w:rPr>
        <w:t>Contracts – Breach of contract</w:t>
      </w:r>
      <w:r w:rsidR="008A65BC">
        <w:rPr>
          <w:lang w:eastAsia="en-AU"/>
        </w:rPr>
        <w:t xml:space="preserve"> –</w:t>
      </w:r>
      <w:r>
        <w:rPr>
          <w:lang w:eastAsia="en-AU"/>
        </w:rPr>
        <w:t xml:space="preserve"> Termination – Liquidated damages – Where appellant contracted with respondent to build software, payable in 9 instalments by reference to milestones – Where contract provided for liquidated damages for delay, cap on damages recoverable and exception to cap for negligence – Where respondent completed first two milestones late and appellant terminated contract – Where respondent claimed against appellant to recover outstanding invoices and appellant counter-claimed for damages for breach and liquidated damages for delay – Where primary judge dismissed respondent claim and allowed appellant’s claim – Where Court of Appeal set aside primary judge’s award of liquidated damages, held all damages subject to cap and held exception for negligence did not apply to breach of contractual obligation to exercise care – Whether liquidated damages payable under contract in respect of work not completed before contract termination – Whether contractual cap on damages applied to liquidated damages – Whether exception to cap for negligence means only tort or includes breach of contractual duty. </w:t>
      </w:r>
    </w:p>
    <w:p w:rsidR="003B3C02" w:rsidRPr="00856E9C" w:rsidRDefault="003B3C02" w:rsidP="003B3C02">
      <w:pPr>
        <w:ind w:left="720"/>
        <w:rPr>
          <w:highlight w:val="yellow"/>
          <w:lang w:eastAsia="en-AU"/>
        </w:rPr>
      </w:pPr>
    </w:p>
    <w:p w:rsidR="00181274" w:rsidRDefault="003B3C02" w:rsidP="003B3C02">
      <w:pPr>
        <w:rPr>
          <w:lang w:eastAsia="en-AU"/>
        </w:rPr>
      </w:pPr>
      <w:r w:rsidRPr="002F4F7E">
        <w:rPr>
          <w:b/>
          <w:lang w:eastAsia="en-AU"/>
        </w:rPr>
        <w:t>Held (</w:t>
      </w:r>
      <w:r w:rsidR="00256B0D">
        <w:rPr>
          <w:b/>
          <w:lang w:eastAsia="en-AU"/>
        </w:rPr>
        <w:t>3</w:t>
      </w:r>
      <w:r>
        <w:rPr>
          <w:b/>
          <w:lang w:eastAsia="en-AU"/>
        </w:rPr>
        <w:t>:</w:t>
      </w:r>
      <w:r w:rsidR="00256B0D">
        <w:rPr>
          <w:b/>
          <w:lang w:eastAsia="en-AU"/>
        </w:rPr>
        <w:t>2</w:t>
      </w:r>
      <w:r w:rsidRPr="002F4F7E">
        <w:rPr>
          <w:b/>
          <w:lang w:eastAsia="en-AU"/>
        </w:rPr>
        <w:t xml:space="preserve">): </w:t>
      </w:r>
      <w:r>
        <w:rPr>
          <w:lang w:eastAsia="en-AU"/>
        </w:rPr>
        <w:t xml:space="preserve">Appeal </w:t>
      </w:r>
      <w:r w:rsidR="00256B0D">
        <w:rPr>
          <w:lang w:eastAsia="en-AU"/>
        </w:rPr>
        <w:t xml:space="preserve">allowed in part. </w:t>
      </w:r>
      <w:r>
        <w:rPr>
          <w:lang w:eastAsia="en-AU"/>
        </w:rPr>
        <w:t xml:space="preserve"> </w:t>
      </w:r>
    </w:p>
    <w:p w:rsidR="00181274" w:rsidRPr="00181993" w:rsidRDefault="00181274" w:rsidP="00181274">
      <w:pPr>
        <w:pStyle w:val="BullDivider1"/>
        <w:pBdr>
          <w:bottom w:val="dotted" w:sz="4" w:space="0" w:color="auto"/>
        </w:pBdr>
      </w:pPr>
    </w:p>
    <w:p w:rsidR="00181274" w:rsidRDefault="00181274" w:rsidP="00181274"/>
    <w:p w:rsidR="00181274" w:rsidRPr="002F4F7E" w:rsidRDefault="00181274" w:rsidP="00181274">
      <w:pPr>
        <w:pStyle w:val="Heading2"/>
      </w:pPr>
      <w:r>
        <w:t>Bathurst Resources Ltd &amp; Anor v L &amp; M Coal Holdings Ltd</w:t>
      </w:r>
    </w:p>
    <w:p w:rsidR="00181274" w:rsidRPr="002F4F7E" w:rsidRDefault="00181274" w:rsidP="00181274">
      <w:pPr>
        <w:rPr>
          <w:lang w:eastAsia="en-AU"/>
        </w:rPr>
      </w:pPr>
      <w:r>
        <w:rPr>
          <w:b/>
          <w:lang w:eastAsia="en-AU"/>
        </w:rPr>
        <w:t>Supreme Court of New Zealand</w:t>
      </w:r>
      <w:r w:rsidRPr="002F4F7E">
        <w:rPr>
          <w:b/>
          <w:lang w:eastAsia="en-AU"/>
        </w:rPr>
        <w:t xml:space="preserve">: </w:t>
      </w:r>
      <w:hyperlink r:id="rId21" w:history="1">
        <w:r w:rsidRPr="00181274">
          <w:rPr>
            <w:rStyle w:val="Hyperlink"/>
            <w:lang w:eastAsia="en-AU"/>
          </w:rPr>
          <w:t>[2021] NZSC 85</w:t>
        </w:r>
      </w:hyperlink>
    </w:p>
    <w:p w:rsidR="00181274" w:rsidRPr="002F4F7E" w:rsidRDefault="00181274" w:rsidP="00181274">
      <w:pPr>
        <w:rPr>
          <w:lang w:eastAsia="en-AU"/>
        </w:rPr>
      </w:pPr>
    </w:p>
    <w:p w:rsidR="00181274" w:rsidRPr="002F4F7E" w:rsidRDefault="00181274" w:rsidP="00181274">
      <w:pPr>
        <w:rPr>
          <w:lang w:eastAsia="en-AU"/>
        </w:rPr>
      </w:pPr>
      <w:r w:rsidRPr="002F4F7E">
        <w:rPr>
          <w:b/>
          <w:lang w:eastAsia="en-AU"/>
        </w:rPr>
        <w:t>Judgment delivered:</w:t>
      </w:r>
      <w:r w:rsidRPr="002F4F7E">
        <w:rPr>
          <w:lang w:eastAsia="en-AU"/>
        </w:rPr>
        <w:t xml:space="preserve"> </w:t>
      </w:r>
      <w:r>
        <w:rPr>
          <w:lang w:eastAsia="en-AU"/>
        </w:rPr>
        <w:t>14 July 2021</w:t>
      </w:r>
    </w:p>
    <w:p w:rsidR="00181274" w:rsidRPr="002F4F7E" w:rsidRDefault="00181274" w:rsidP="00181274">
      <w:pPr>
        <w:rPr>
          <w:lang w:eastAsia="en-AU"/>
        </w:rPr>
      </w:pPr>
    </w:p>
    <w:p w:rsidR="00181274" w:rsidRPr="002F4F7E" w:rsidRDefault="00181274" w:rsidP="00181274">
      <w:pPr>
        <w:rPr>
          <w:lang w:eastAsia="en-AU"/>
        </w:rPr>
      </w:pPr>
      <w:r w:rsidRPr="002F4F7E">
        <w:rPr>
          <w:b/>
          <w:lang w:eastAsia="en-AU"/>
        </w:rPr>
        <w:t xml:space="preserve">Coram: </w:t>
      </w:r>
      <w:r>
        <w:rPr>
          <w:lang w:eastAsia="en-AU"/>
        </w:rPr>
        <w:t>Winkelmann CJ, Glazebrook, O’Regan, Ellen France and Williams JJ</w:t>
      </w:r>
    </w:p>
    <w:p w:rsidR="00181274" w:rsidRPr="002F4F7E" w:rsidRDefault="00181274" w:rsidP="00181274">
      <w:pPr>
        <w:rPr>
          <w:lang w:eastAsia="en-AU"/>
        </w:rPr>
      </w:pPr>
    </w:p>
    <w:p w:rsidR="00181274" w:rsidRPr="002F4F7E" w:rsidRDefault="00181274" w:rsidP="00181274">
      <w:pPr>
        <w:rPr>
          <w:b/>
          <w:lang w:eastAsia="en-AU"/>
        </w:rPr>
      </w:pPr>
      <w:r>
        <w:rPr>
          <w:b/>
          <w:lang w:eastAsia="en-AU"/>
        </w:rPr>
        <w:t>Catchwords:</w:t>
      </w:r>
    </w:p>
    <w:p w:rsidR="00181274" w:rsidRPr="00856E9C" w:rsidRDefault="00181274" w:rsidP="00181274">
      <w:pPr>
        <w:rPr>
          <w:b/>
          <w:highlight w:val="yellow"/>
          <w:lang w:eastAsia="en-AU"/>
        </w:rPr>
      </w:pPr>
    </w:p>
    <w:p w:rsidR="00181274" w:rsidRPr="009B241E" w:rsidRDefault="00181274" w:rsidP="00181274">
      <w:pPr>
        <w:ind w:left="720"/>
        <w:rPr>
          <w:lang w:eastAsia="en-AU"/>
        </w:rPr>
      </w:pPr>
      <w:r>
        <w:rPr>
          <w:lang w:eastAsia="en-AU"/>
        </w:rPr>
        <w:t xml:space="preserve">Contracts – Interpretation – Implication of terms – Admissibility of extrinsic evidence – Evidence of pre-contractual negotiations – Where first appellant agreed to purchase coal exploration rights and mining applications from respondent, structured as purchase of all shares in second appellant – Where purchase price included two performance payments payable when certain milestones achieved relating to amount of coal “shipped” from permit area – Where parties also executed deed obliging first appellant to pay royalties to respondent – Where, in 2012, parties executed deed varying purchase agreement, such </w:t>
      </w:r>
      <w:r w:rsidR="00D334AE">
        <w:rPr>
          <w:lang w:eastAsia="en-AU"/>
        </w:rPr>
        <w:t xml:space="preserve">that </w:t>
      </w:r>
      <w:r>
        <w:rPr>
          <w:lang w:eastAsia="en-AU"/>
        </w:rPr>
        <w:t xml:space="preserve">first appellant </w:t>
      </w:r>
      <w:r w:rsidR="00D334AE">
        <w:rPr>
          <w:lang w:eastAsia="en-AU"/>
        </w:rPr>
        <w:t>entitled to delay</w:t>
      </w:r>
      <w:r>
        <w:rPr>
          <w:lang w:eastAsia="en-AU"/>
        </w:rPr>
        <w:t xml:space="preserve"> performance payments when due</w:t>
      </w:r>
      <w:r w:rsidR="00D334AE">
        <w:rPr>
          <w:lang w:eastAsia="en-AU"/>
        </w:rPr>
        <w:t xml:space="preserve"> if</w:t>
      </w:r>
      <w:r>
        <w:rPr>
          <w:lang w:eastAsia="en-AU"/>
        </w:rPr>
        <w:t xml:space="preserve"> royalty payments continued to be made under royalty deed – Where, due to economic developments, first appellant suspended mining operations and stopped paying royalties</w:t>
      </w:r>
      <w:r w:rsidR="00D334AE">
        <w:rPr>
          <w:lang w:eastAsia="en-AU"/>
        </w:rPr>
        <w:t xml:space="preserve"> because no longer extracting coal</w:t>
      </w:r>
      <w:r>
        <w:rPr>
          <w:lang w:eastAsia="en-AU"/>
        </w:rPr>
        <w:t xml:space="preserve"> – Where respondent claimed first performance payment – Where High Court allowed claim and Court of Appeal dismissed appeal – Whether “shipped” in contract </w:t>
      </w:r>
      <w:r w:rsidR="00D334AE">
        <w:rPr>
          <w:lang w:eastAsia="en-AU"/>
        </w:rPr>
        <w:t xml:space="preserve">means literally “carriage by ship” or generic meaning “transported” – Whether, in light of deferral clause, performance payment triggered when no royalties are paid at all, or merely when royalties are not paid when royalty deed required them. </w:t>
      </w:r>
    </w:p>
    <w:p w:rsidR="00181274" w:rsidRPr="00856E9C" w:rsidRDefault="00181274" w:rsidP="00181274">
      <w:pPr>
        <w:ind w:left="720"/>
        <w:rPr>
          <w:highlight w:val="yellow"/>
          <w:lang w:eastAsia="en-AU"/>
        </w:rPr>
      </w:pPr>
    </w:p>
    <w:p w:rsidR="00181274" w:rsidRPr="000D3E8D" w:rsidRDefault="00181274" w:rsidP="003B3C02">
      <w:pPr>
        <w:rPr>
          <w:lang w:eastAsia="en-AU"/>
        </w:rPr>
      </w:pPr>
      <w:r w:rsidRPr="002F4F7E">
        <w:rPr>
          <w:b/>
          <w:lang w:eastAsia="en-AU"/>
        </w:rPr>
        <w:t>Held (</w:t>
      </w:r>
      <w:r>
        <w:rPr>
          <w:b/>
          <w:lang w:eastAsia="en-AU"/>
        </w:rPr>
        <w:t>3:2</w:t>
      </w:r>
      <w:r w:rsidRPr="002F4F7E">
        <w:rPr>
          <w:b/>
          <w:lang w:eastAsia="en-AU"/>
        </w:rPr>
        <w:t xml:space="preserve">): </w:t>
      </w:r>
      <w:r>
        <w:rPr>
          <w:lang w:eastAsia="en-AU"/>
        </w:rPr>
        <w:t>Appeal allowed</w:t>
      </w:r>
      <w:r w:rsidR="00D334AE">
        <w:rPr>
          <w:lang w:eastAsia="en-AU"/>
        </w:rPr>
        <w:t xml:space="preserve">. </w:t>
      </w:r>
    </w:p>
    <w:p w:rsidR="00620F1A" w:rsidRDefault="00620F1A" w:rsidP="00620F1A">
      <w:pPr>
        <w:pStyle w:val="BullDivider2"/>
        <w:rPr>
          <w:rFonts w:cs="Arial"/>
          <w:highlight w:val="yellow"/>
        </w:rPr>
      </w:pPr>
    </w:p>
    <w:p w:rsidR="007322C5" w:rsidRPr="00B546B2" w:rsidRDefault="007322C5" w:rsidP="007322C5">
      <w:pPr>
        <w:rPr>
          <w:highlight w:val="yellow"/>
        </w:rPr>
      </w:pPr>
    </w:p>
    <w:p w:rsidR="007322C5" w:rsidRDefault="007322C5" w:rsidP="007322C5">
      <w:pPr>
        <w:pStyle w:val="Heading1"/>
      </w:pPr>
      <w:r>
        <w:t>Corporations</w:t>
      </w:r>
    </w:p>
    <w:p w:rsidR="007322C5" w:rsidRDefault="007322C5" w:rsidP="007322C5"/>
    <w:p w:rsidR="007322C5" w:rsidRPr="002F4F7E" w:rsidRDefault="007322C5" w:rsidP="007322C5">
      <w:pPr>
        <w:pStyle w:val="Heading2"/>
      </w:pPr>
      <w:r>
        <w:t>Canada v Canada North Group Inc</w:t>
      </w:r>
    </w:p>
    <w:p w:rsidR="007322C5" w:rsidRPr="002F4F7E" w:rsidRDefault="007322C5" w:rsidP="007322C5">
      <w:pPr>
        <w:rPr>
          <w:lang w:eastAsia="en-AU"/>
        </w:rPr>
      </w:pPr>
      <w:r>
        <w:rPr>
          <w:b/>
          <w:lang w:eastAsia="en-AU"/>
        </w:rPr>
        <w:t>Supreme Court of Canada</w:t>
      </w:r>
      <w:r w:rsidRPr="002F4F7E">
        <w:rPr>
          <w:b/>
          <w:lang w:eastAsia="en-AU"/>
        </w:rPr>
        <w:t xml:space="preserve">: </w:t>
      </w:r>
      <w:hyperlink r:id="rId22" w:history="1">
        <w:r w:rsidRPr="00CA6AB8">
          <w:rPr>
            <w:rStyle w:val="Hyperlink"/>
            <w:lang w:eastAsia="en-AU"/>
          </w:rPr>
          <w:t xml:space="preserve">[2021] SCC </w:t>
        </w:r>
        <w:r>
          <w:rPr>
            <w:rStyle w:val="Hyperlink"/>
            <w:lang w:eastAsia="en-AU"/>
          </w:rPr>
          <w:t>30</w:t>
        </w:r>
      </w:hyperlink>
    </w:p>
    <w:p w:rsidR="007322C5" w:rsidRPr="002F4F7E" w:rsidRDefault="007322C5" w:rsidP="007322C5">
      <w:pPr>
        <w:rPr>
          <w:lang w:eastAsia="en-AU"/>
        </w:rPr>
      </w:pPr>
    </w:p>
    <w:p w:rsidR="007322C5" w:rsidRPr="002F4F7E" w:rsidRDefault="007322C5" w:rsidP="007322C5">
      <w:pPr>
        <w:rPr>
          <w:lang w:eastAsia="en-AU"/>
        </w:rPr>
      </w:pPr>
      <w:r w:rsidRPr="002F4F7E">
        <w:rPr>
          <w:b/>
          <w:lang w:eastAsia="en-AU"/>
        </w:rPr>
        <w:t>Judgment delivered:</w:t>
      </w:r>
      <w:r w:rsidRPr="002F4F7E">
        <w:rPr>
          <w:lang w:eastAsia="en-AU"/>
        </w:rPr>
        <w:t xml:space="preserve"> </w:t>
      </w:r>
      <w:r>
        <w:rPr>
          <w:lang w:eastAsia="en-AU"/>
        </w:rPr>
        <w:t>28 July 2021</w:t>
      </w:r>
    </w:p>
    <w:p w:rsidR="007322C5" w:rsidRPr="002F4F7E" w:rsidRDefault="007322C5" w:rsidP="007322C5">
      <w:pPr>
        <w:rPr>
          <w:lang w:eastAsia="en-AU"/>
        </w:rPr>
      </w:pPr>
    </w:p>
    <w:p w:rsidR="007322C5" w:rsidRPr="002F4F7E" w:rsidRDefault="007322C5" w:rsidP="007322C5">
      <w:pPr>
        <w:rPr>
          <w:lang w:eastAsia="en-AU"/>
        </w:rPr>
      </w:pPr>
      <w:r w:rsidRPr="002F4F7E">
        <w:rPr>
          <w:b/>
          <w:lang w:eastAsia="en-AU"/>
        </w:rPr>
        <w:t xml:space="preserve">Coram: </w:t>
      </w:r>
      <w:r>
        <w:rPr>
          <w:color w:val="000000"/>
        </w:rPr>
        <w:t>Wagner CJ, Abella, Moldaver, Karakatsanis, Côté, Brown, Rowe, Martin and Kasirer JJ</w:t>
      </w:r>
    </w:p>
    <w:p w:rsidR="007322C5" w:rsidRPr="002F4F7E" w:rsidRDefault="007322C5" w:rsidP="007322C5">
      <w:pPr>
        <w:rPr>
          <w:lang w:eastAsia="en-AU"/>
        </w:rPr>
      </w:pPr>
    </w:p>
    <w:p w:rsidR="007322C5" w:rsidRPr="002F4F7E" w:rsidRDefault="007322C5" w:rsidP="007322C5">
      <w:pPr>
        <w:rPr>
          <w:b/>
          <w:lang w:eastAsia="en-AU"/>
        </w:rPr>
      </w:pPr>
      <w:r>
        <w:rPr>
          <w:b/>
          <w:lang w:eastAsia="en-AU"/>
        </w:rPr>
        <w:t>Catchwords:</w:t>
      </w:r>
    </w:p>
    <w:p w:rsidR="007322C5" w:rsidRPr="00856E9C" w:rsidRDefault="007322C5" w:rsidP="007322C5">
      <w:pPr>
        <w:rPr>
          <w:b/>
          <w:highlight w:val="yellow"/>
          <w:lang w:eastAsia="en-AU"/>
        </w:rPr>
      </w:pPr>
    </w:p>
    <w:p w:rsidR="007322C5" w:rsidRDefault="007322C5" w:rsidP="007322C5">
      <w:pPr>
        <w:ind w:left="720"/>
        <w:rPr>
          <w:lang w:eastAsia="en-AU"/>
        </w:rPr>
      </w:pPr>
      <w:r>
        <w:rPr>
          <w:lang w:eastAsia="en-AU"/>
        </w:rPr>
        <w:t>Corporations – b</w:t>
      </w:r>
      <w:r w:rsidRPr="007322C5">
        <w:rPr>
          <w:lang w:eastAsia="en-AU"/>
        </w:rPr>
        <w:t xml:space="preserve">ankruptcy and insolvency — Priority — Source deductions — Priming charges — </w:t>
      </w:r>
      <w:r>
        <w:rPr>
          <w:lang w:eastAsia="en-AU"/>
        </w:rPr>
        <w:t>Where e</w:t>
      </w:r>
      <w:r w:rsidRPr="007322C5">
        <w:rPr>
          <w:lang w:eastAsia="en-AU"/>
        </w:rPr>
        <w:t xml:space="preserve">mployee source deductions not remitted to </w:t>
      </w:r>
      <w:r w:rsidRPr="007322C5">
        <w:rPr>
          <w:lang w:eastAsia="en-AU"/>
        </w:rPr>
        <w:lastRenderedPageBreak/>
        <w:t xml:space="preserve">Crown by companies in receivership — </w:t>
      </w:r>
      <w:r>
        <w:rPr>
          <w:lang w:eastAsia="en-AU"/>
        </w:rPr>
        <w:t>Where j</w:t>
      </w:r>
      <w:r w:rsidRPr="007322C5">
        <w:rPr>
          <w:lang w:eastAsia="en-AU"/>
        </w:rPr>
        <w:t xml:space="preserve">udge supervising restructuring proceedings under </w:t>
      </w:r>
      <w:r w:rsidRPr="007322C5">
        <w:rPr>
          <w:i/>
          <w:lang w:eastAsia="en-AU"/>
        </w:rPr>
        <w:t>Companies’ Creditors Arrangement Act</w:t>
      </w:r>
      <w:r w:rsidRPr="007322C5">
        <w:rPr>
          <w:lang w:eastAsia="en-AU"/>
        </w:rPr>
        <w:t xml:space="preserve">  orde</w:t>
      </w:r>
      <w:r>
        <w:rPr>
          <w:lang w:eastAsia="en-AU"/>
        </w:rPr>
        <w:t xml:space="preserve">red </w:t>
      </w:r>
      <w:r w:rsidRPr="007322C5">
        <w:rPr>
          <w:lang w:eastAsia="en-AU"/>
        </w:rPr>
        <w:t xml:space="preserve">priming charges over debtor companies’ assets in favour of interim lender, monitor and directors — </w:t>
      </w:r>
      <w:r>
        <w:rPr>
          <w:lang w:eastAsia="en-AU"/>
        </w:rPr>
        <w:t>Where o</w:t>
      </w:r>
      <w:r w:rsidRPr="007322C5">
        <w:rPr>
          <w:lang w:eastAsia="en-AU"/>
        </w:rPr>
        <w:t>rder g</w:t>
      </w:r>
      <w:r>
        <w:rPr>
          <w:lang w:eastAsia="en-AU"/>
        </w:rPr>
        <w:t xml:space="preserve">ave </w:t>
      </w:r>
      <w:r w:rsidRPr="007322C5">
        <w:rPr>
          <w:lang w:eastAsia="en-AU"/>
        </w:rPr>
        <w:t xml:space="preserve">priority to priming charges over claims of secured creditors and providing that they are not to be limited or impaired in any way by provisions of any federal or provincial statute — </w:t>
      </w:r>
      <w:r>
        <w:rPr>
          <w:lang w:eastAsia="en-AU"/>
        </w:rPr>
        <w:t>Where p</w:t>
      </w:r>
      <w:r w:rsidRPr="007322C5">
        <w:rPr>
          <w:lang w:eastAsia="en-AU"/>
        </w:rPr>
        <w:t xml:space="preserve">roperty of debtor companies subject to deemed trust in favour of Crown for unremitted source deductions under </w:t>
      </w:r>
      <w:r w:rsidRPr="007322C5">
        <w:rPr>
          <w:i/>
          <w:lang w:eastAsia="en-AU"/>
        </w:rPr>
        <w:t>Income Tax Act</w:t>
      </w:r>
      <w:r w:rsidRPr="007322C5">
        <w:rPr>
          <w:lang w:eastAsia="en-AU"/>
        </w:rPr>
        <w:t xml:space="preserve">  — Whether court has authority to rank priming charges ahead of Crown’s deemed trust for unremitted source deductions — </w:t>
      </w:r>
      <w:r w:rsidRPr="007322C5">
        <w:rPr>
          <w:i/>
          <w:lang w:eastAsia="en-AU"/>
        </w:rPr>
        <w:t>Income Tax Act</w:t>
      </w:r>
      <w:r w:rsidRPr="007322C5">
        <w:rPr>
          <w:lang w:eastAsia="en-AU"/>
        </w:rPr>
        <w:t xml:space="preserve">, RSC 1985, c 1 (5th Supp), s 227(4.1)  — </w:t>
      </w:r>
      <w:r w:rsidRPr="007322C5">
        <w:rPr>
          <w:i/>
          <w:lang w:eastAsia="en-AU"/>
        </w:rPr>
        <w:t>Companies’ Creditors Arrangement Act</w:t>
      </w:r>
      <w:r w:rsidRPr="007322C5">
        <w:rPr>
          <w:lang w:eastAsia="en-AU"/>
        </w:rPr>
        <w:t>, RSC 1985, c C</w:t>
      </w:r>
      <w:r w:rsidRPr="007322C5">
        <w:rPr>
          <w:rFonts w:ascii="Cambria Math" w:hAnsi="Cambria Math" w:cs="Cambria Math"/>
          <w:lang w:eastAsia="en-AU"/>
        </w:rPr>
        <w:t>‑</w:t>
      </w:r>
      <w:r w:rsidRPr="007322C5">
        <w:rPr>
          <w:lang w:eastAsia="en-AU"/>
        </w:rPr>
        <w:t>36, ss 11, 11.2, 11.51, 11.52.</w:t>
      </w:r>
    </w:p>
    <w:p w:rsidR="007322C5" w:rsidRPr="00856E9C" w:rsidRDefault="007322C5" w:rsidP="007322C5">
      <w:pPr>
        <w:ind w:left="720"/>
        <w:rPr>
          <w:highlight w:val="yellow"/>
          <w:lang w:eastAsia="en-AU"/>
        </w:rPr>
      </w:pPr>
    </w:p>
    <w:p w:rsidR="007322C5" w:rsidRDefault="007322C5" w:rsidP="007322C5">
      <w:pPr>
        <w:rPr>
          <w:lang w:eastAsia="en-AU"/>
        </w:rPr>
      </w:pPr>
      <w:r w:rsidRPr="002F4F7E">
        <w:rPr>
          <w:b/>
          <w:lang w:eastAsia="en-AU"/>
        </w:rPr>
        <w:t>Held (</w:t>
      </w:r>
      <w:r>
        <w:rPr>
          <w:b/>
          <w:lang w:eastAsia="en-AU"/>
        </w:rPr>
        <w:t>5:4</w:t>
      </w:r>
      <w:r w:rsidRPr="002F4F7E">
        <w:rPr>
          <w:b/>
          <w:lang w:eastAsia="en-AU"/>
        </w:rPr>
        <w:t xml:space="preserve">): </w:t>
      </w:r>
      <w:r>
        <w:rPr>
          <w:lang w:eastAsia="en-AU"/>
        </w:rPr>
        <w:t xml:space="preserve">Appeal dismissed. </w:t>
      </w:r>
    </w:p>
    <w:p w:rsidR="006C1999" w:rsidRDefault="006C1999" w:rsidP="006C1999">
      <w:pPr>
        <w:pStyle w:val="BullDivider2"/>
        <w:rPr>
          <w:rFonts w:cs="Arial"/>
          <w:highlight w:val="yellow"/>
        </w:rPr>
      </w:pPr>
    </w:p>
    <w:p w:rsidR="006C1999" w:rsidRPr="00B546B2" w:rsidRDefault="006C1999" w:rsidP="006C1999">
      <w:pPr>
        <w:rPr>
          <w:highlight w:val="yellow"/>
        </w:rPr>
      </w:pPr>
    </w:p>
    <w:p w:rsidR="006C1999" w:rsidRDefault="006C1999" w:rsidP="006C1999">
      <w:pPr>
        <w:pStyle w:val="Heading1"/>
      </w:pPr>
      <w:r>
        <w:t>Courts</w:t>
      </w:r>
    </w:p>
    <w:p w:rsidR="006C1999" w:rsidRPr="00B73D4E" w:rsidRDefault="006C1999" w:rsidP="006C1999">
      <w:pPr>
        <w:rPr>
          <w:lang w:eastAsia="en-AU"/>
        </w:rPr>
      </w:pPr>
    </w:p>
    <w:p w:rsidR="00F26963" w:rsidRPr="002F4F7E" w:rsidRDefault="00F26963" w:rsidP="00F26963">
      <w:pPr>
        <w:pStyle w:val="Heading2"/>
      </w:pPr>
      <w:r>
        <w:t>FMV v TZB</w:t>
      </w:r>
    </w:p>
    <w:p w:rsidR="00F26963" w:rsidRPr="002F4F7E" w:rsidRDefault="00F26963" w:rsidP="00F26963">
      <w:pPr>
        <w:rPr>
          <w:lang w:eastAsia="en-AU"/>
        </w:rPr>
      </w:pPr>
      <w:r>
        <w:rPr>
          <w:b/>
          <w:lang w:eastAsia="en-AU"/>
        </w:rPr>
        <w:t>Supreme Court of New Zealand</w:t>
      </w:r>
      <w:r w:rsidRPr="002F4F7E">
        <w:rPr>
          <w:b/>
          <w:lang w:eastAsia="en-AU"/>
        </w:rPr>
        <w:t xml:space="preserve">: </w:t>
      </w:r>
      <w:hyperlink r:id="rId23" w:history="1">
        <w:r w:rsidRPr="00F26963">
          <w:rPr>
            <w:rStyle w:val="Hyperlink"/>
            <w:lang w:eastAsia="en-AU"/>
          </w:rPr>
          <w:t>[2021] NZSC 102</w:t>
        </w:r>
      </w:hyperlink>
      <w:r>
        <w:rPr>
          <w:lang w:eastAsia="en-AU"/>
        </w:rPr>
        <w:t>v</w:t>
      </w:r>
    </w:p>
    <w:p w:rsidR="00F26963" w:rsidRPr="002F4F7E" w:rsidRDefault="00F26963" w:rsidP="00F26963">
      <w:pPr>
        <w:rPr>
          <w:lang w:eastAsia="en-AU"/>
        </w:rPr>
      </w:pPr>
    </w:p>
    <w:p w:rsidR="00F26963" w:rsidRPr="002F4F7E" w:rsidRDefault="00F26963" w:rsidP="00F26963">
      <w:pPr>
        <w:rPr>
          <w:lang w:eastAsia="en-AU"/>
        </w:rPr>
      </w:pPr>
      <w:r w:rsidRPr="002F4F7E">
        <w:rPr>
          <w:b/>
          <w:lang w:eastAsia="en-AU"/>
        </w:rPr>
        <w:t>Judgment delivered:</w:t>
      </w:r>
      <w:r w:rsidRPr="002F4F7E">
        <w:rPr>
          <w:lang w:eastAsia="en-AU"/>
        </w:rPr>
        <w:t xml:space="preserve"> </w:t>
      </w:r>
      <w:r>
        <w:rPr>
          <w:lang w:eastAsia="en-AU"/>
        </w:rPr>
        <w:t>20 August 2021</w:t>
      </w:r>
    </w:p>
    <w:p w:rsidR="00F26963" w:rsidRPr="002F4F7E" w:rsidRDefault="00F26963" w:rsidP="00F26963">
      <w:pPr>
        <w:rPr>
          <w:lang w:eastAsia="en-AU"/>
        </w:rPr>
      </w:pPr>
    </w:p>
    <w:p w:rsidR="00F26963" w:rsidRDefault="00F26963" w:rsidP="00F26963">
      <w:pPr>
        <w:rPr>
          <w:lang w:eastAsia="en-AU"/>
        </w:rPr>
      </w:pPr>
      <w:r w:rsidRPr="002F4F7E">
        <w:rPr>
          <w:b/>
          <w:lang w:eastAsia="en-AU"/>
        </w:rPr>
        <w:t xml:space="preserve">Coram: </w:t>
      </w:r>
      <w:r>
        <w:rPr>
          <w:lang w:eastAsia="en-AU"/>
        </w:rPr>
        <w:t xml:space="preserve">Winkelmann CJ, William Young, Glazebrook, O’Regan and </w:t>
      </w:r>
    </w:p>
    <w:p w:rsidR="00F26963" w:rsidRPr="002F4F7E" w:rsidRDefault="00F26963" w:rsidP="00F26963">
      <w:pPr>
        <w:rPr>
          <w:lang w:eastAsia="en-AU"/>
        </w:rPr>
      </w:pPr>
      <w:r>
        <w:rPr>
          <w:lang w:eastAsia="en-AU"/>
        </w:rPr>
        <w:t>Williams JJ</w:t>
      </w:r>
    </w:p>
    <w:p w:rsidR="00F26963" w:rsidRPr="002F4F7E" w:rsidRDefault="00F26963" w:rsidP="00F26963">
      <w:pPr>
        <w:rPr>
          <w:lang w:eastAsia="en-AU"/>
        </w:rPr>
      </w:pPr>
    </w:p>
    <w:p w:rsidR="00F26963" w:rsidRPr="002F4F7E" w:rsidRDefault="00F26963" w:rsidP="00F26963">
      <w:pPr>
        <w:rPr>
          <w:b/>
          <w:lang w:eastAsia="en-AU"/>
        </w:rPr>
      </w:pPr>
      <w:r>
        <w:rPr>
          <w:b/>
          <w:lang w:eastAsia="en-AU"/>
        </w:rPr>
        <w:t>Catchwords:</w:t>
      </w:r>
    </w:p>
    <w:p w:rsidR="00F26963" w:rsidRPr="00856E9C" w:rsidRDefault="00F26963" w:rsidP="00F26963">
      <w:pPr>
        <w:rPr>
          <w:b/>
          <w:highlight w:val="yellow"/>
          <w:lang w:eastAsia="en-AU"/>
        </w:rPr>
      </w:pPr>
    </w:p>
    <w:p w:rsidR="00F26963" w:rsidRPr="00F26963" w:rsidRDefault="00F26963" w:rsidP="00F26963">
      <w:pPr>
        <w:ind w:left="720"/>
        <w:rPr>
          <w:lang w:eastAsia="en-AU"/>
        </w:rPr>
      </w:pPr>
      <w:r>
        <w:rPr>
          <w:lang w:eastAsia="en-AU"/>
        </w:rPr>
        <w:t xml:space="preserve">Courts – Jurisdiction – High Court of New Zealand – Employment Relations Authority – Where s 161(1) of </w:t>
      </w:r>
      <w:r>
        <w:rPr>
          <w:i/>
          <w:lang w:eastAsia="en-AU"/>
        </w:rPr>
        <w:t>Employment Relations Act 2000</w:t>
      </w:r>
      <w:r>
        <w:rPr>
          <w:lang w:eastAsia="en-AU"/>
        </w:rPr>
        <w:t xml:space="preserve"> provided Employment Relations Authority has exclusive jurisdiction over “employment relationship problems” – Where s 161(1)(r) provided Authority has exclusive jurisdiction over “any other action arising from or related to employment relationship other than action founded on tort” – Where appellant filed proceedings against respondent in High Court on basis of tort for breach of duty to create safe work environment – Where appellant also filed proceedings in Authority for unjust dismissal and disadvantage </w:t>
      </w:r>
      <w:r w:rsidR="002F6666">
        <w:rPr>
          <w:lang w:eastAsia="en-AU"/>
        </w:rPr>
        <w:t>–</w:t>
      </w:r>
      <w:r>
        <w:rPr>
          <w:lang w:eastAsia="en-AU"/>
        </w:rPr>
        <w:t xml:space="preserve"> </w:t>
      </w:r>
      <w:r w:rsidR="002F6666">
        <w:rPr>
          <w:lang w:eastAsia="en-AU"/>
        </w:rPr>
        <w:t xml:space="preserve">Where Authority stayed unjust dismissal proceedings because appellant could not demonstrate capacity to prosecute claim – Where respondent applied to strike-out High Court tort proceedings on basis Authority had exclusive jurisdiction – Where High Court granted strike-out and Court of Appeal upheld decision – Whether High Court has jurisdiction to determine tort claims arising from employment relationship. </w:t>
      </w:r>
    </w:p>
    <w:p w:rsidR="00F26963" w:rsidRPr="00856E9C" w:rsidRDefault="00F26963" w:rsidP="00F26963">
      <w:pPr>
        <w:ind w:left="720"/>
        <w:rPr>
          <w:highlight w:val="yellow"/>
          <w:lang w:eastAsia="en-AU"/>
        </w:rPr>
      </w:pPr>
    </w:p>
    <w:p w:rsidR="00F26963" w:rsidRDefault="00F26963" w:rsidP="00F26963">
      <w:pPr>
        <w:rPr>
          <w:lang w:eastAsia="en-AU"/>
        </w:rPr>
      </w:pPr>
      <w:r w:rsidRPr="002F4F7E">
        <w:rPr>
          <w:b/>
          <w:lang w:eastAsia="en-AU"/>
        </w:rPr>
        <w:t>Held (</w:t>
      </w:r>
      <w:r>
        <w:rPr>
          <w:b/>
          <w:lang w:eastAsia="en-AU"/>
        </w:rPr>
        <w:t>4:1</w:t>
      </w:r>
      <w:r w:rsidRPr="002F4F7E">
        <w:rPr>
          <w:b/>
          <w:lang w:eastAsia="en-AU"/>
        </w:rPr>
        <w:t xml:space="preserve">): </w:t>
      </w:r>
      <w:r>
        <w:rPr>
          <w:lang w:eastAsia="en-AU"/>
        </w:rPr>
        <w:t xml:space="preserve">Appeal dismissed. </w:t>
      </w:r>
    </w:p>
    <w:p w:rsidR="00F26963" w:rsidRPr="00181993" w:rsidRDefault="00F26963" w:rsidP="00F26963">
      <w:pPr>
        <w:pStyle w:val="BullDivider1"/>
        <w:pBdr>
          <w:bottom w:val="dotted" w:sz="4" w:space="0" w:color="auto"/>
        </w:pBdr>
      </w:pPr>
    </w:p>
    <w:p w:rsidR="00F26963" w:rsidRPr="000D3E8D" w:rsidRDefault="00F26963" w:rsidP="00F26963">
      <w:pPr>
        <w:rPr>
          <w:lang w:eastAsia="en-AU"/>
        </w:rPr>
      </w:pPr>
    </w:p>
    <w:p w:rsidR="006C1999" w:rsidRPr="002F4F7E" w:rsidRDefault="008A2472" w:rsidP="006C1999">
      <w:pPr>
        <w:pStyle w:val="Heading2"/>
      </w:pPr>
      <w:r>
        <w:t xml:space="preserve">In the matter of T (a child) </w:t>
      </w:r>
    </w:p>
    <w:p w:rsidR="006C1999" w:rsidRPr="002F4F7E" w:rsidRDefault="006C1999" w:rsidP="006C1999">
      <w:pPr>
        <w:rPr>
          <w:lang w:eastAsia="en-AU"/>
        </w:rPr>
      </w:pPr>
      <w:r>
        <w:rPr>
          <w:b/>
          <w:lang w:eastAsia="en-AU"/>
        </w:rPr>
        <w:t>Supreme Court of the United Kingdom</w:t>
      </w:r>
      <w:r w:rsidRPr="002F4F7E">
        <w:rPr>
          <w:b/>
          <w:lang w:eastAsia="en-AU"/>
        </w:rPr>
        <w:t xml:space="preserve">: </w:t>
      </w:r>
      <w:hyperlink r:id="rId24" w:history="1">
        <w:r w:rsidRPr="00A82750">
          <w:rPr>
            <w:rStyle w:val="Hyperlink"/>
            <w:lang w:eastAsia="en-AU"/>
          </w:rPr>
          <w:t>[2021] UKSC 3</w:t>
        </w:r>
        <w:r w:rsidR="008A2472">
          <w:rPr>
            <w:rStyle w:val="Hyperlink"/>
            <w:lang w:eastAsia="en-AU"/>
          </w:rPr>
          <w:t>5</w:t>
        </w:r>
      </w:hyperlink>
    </w:p>
    <w:p w:rsidR="006C1999" w:rsidRPr="002F4F7E" w:rsidRDefault="006C1999" w:rsidP="006C1999">
      <w:pPr>
        <w:rPr>
          <w:lang w:eastAsia="en-AU"/>
        </w:rPr>
      </w:pPr>
    </w:p>
    <w:p w:rsidR="006C1999" w:rsidRPr="002F4F7E" w:rsidRDefault="006C1999" w:rsidP="006C1999">
      <w:pPr>
        <w:rPr>
          <w:lang w:eastAsia="en-AU"/>
        </w:rPr>
      </w:pPr>
      <w:r w:rsidRPr="002F4F7E">
        <w:rPr>
          <w:b/>
          <w:lang w:eastAsia="en-AU"/>
        </w:rPr>
        <w:lastRenderedPageBreak/>
        <w:t>Judgment delivered:</w:t>
      </w:r>
      <w:r w:rsidRPr="002F4F7E">
        <w:rPr>
          <w:lang w:eastAsia="en-AU"/>
        </w:rPr>
        <w:t xml:space="preserve"> </w:t>
      </w:r>
      <w:r>
        <w:rPr>
          <w:lang w:eastAsia="en-AU"/>
        </w:rPr>
        <w:t>23 July 2021</w:t>
      </w:r>
    </w:p>
    <w:p w:rsidR="006C1999" w:rsidRPr="002F4F7E" w:rsidRDefault="006C1999" w:rsidP="006C1999">
      <w:pPr>
        <w:rPr>
          <w:lang w:eastAsia="en-AU"/>
        </w:rPr>
      </w:pPr>
    </w:p>
    <w:p w:rsidR="006C1999" w:rsidRPr="002F4F7E" w:rsidRDefault="006C1999" w:rsidP="006C1999">
      <w:pPr>
        <w:rPr>
          <w:lang w:eastAsia="en-AU"/>
        </w:rPr>
      </w:pPr>
      <w:r w:rsidRPr="002F4F7E">
        <w:rPr>
          <w:b/>
          <w:lang w:eastAsia="en-AU"/>
        </w:rPr>
        <w:t xml:space="preserve">Coram: </w:t>
      </w:r>
      <w:r w:rsidR="008A2472">
        <w:rPr>
          <w:lang w:eastAsia="en-AU"/>
        </w:rPr>
        <w:t>Lady Black, Lord Lloyd-Jones, Lady Arden, Lord Hamblen, Lord Stephens</w:t>
      </w:r>
    </w:p>
    <w:p w:rsidR="006C1999" w:rsidRPr="002F4F7E" w:rsidRDefault="006C1999" w:rsidP="006C1999">
      <w:pPr>
        <w:rPr>
          <w:lang w:eastAsia="en-AU"/>
        </w:rPr>
      </w:pPr>
    </w:p>
    <w:p w:rsidR="006C1999" w:rsidRPr="002F4F7E" w:rsidRDefault="006C1999" w:rsidP="006C1999">
      <w:pPr>
        <w:rPr>
          <w:b/>
          <w:lang w:eastAsia="en-AU"/>
        </w:rPr>
      </w:pPr>
      <w:r>
        <w:rPr>
          <w:b/>
          <w:lang w:eastAsia="en-AU"/>
        </w:rPr>
        <w:t>Catchwords:</w:t>
      </w:r>
    </w:p>
    <w:p w:rsidR="006C1999" w:rsidRPr="00856E9C" w:rsidRDefault="006C1999" w:rsidP="006C1999">
      <w:pPr>
        <w:rPr>
          <w:b/>
          <w:highlight w:val="yellow"/>
          <w:lang w:eastAsia="en-AU"/>
        </w:rPr>
      </w:pPr>
    </w:p>
    <w:p w:rsidR="006C1999" w:rsidRPr="00A82750" w:rsidRDefault="008A2472" w:rsidP="006C1999">
      <w:pPr>
        <w:ind w:left="720"/>
        <w:rPr>
          <w:lang w:eastAsia="en-AU"/>
        </w:rPr>
      </w:pPr>
      <w:r>
        <w:rPr>
          <w:lang w:eastAsia="en-AU"/>
        </w:rPr>
        <w:t xml:space="preserve">Courts – Inherent jurisdiction – Deprivation of child’s liberty – Where borough council has duty to provide child in care with secure accommodation but insufficient places in registered children’s homes – Where borough council applied for orders under High Court’s inherent jurisdiction to authorise placement of child in alternative secure accommodation involving her being deprived of liberty – Where child submitted she consented to restrictions and therefore orders unnecessary – Where High Court did not consider consent valid and made orders sought – Where Court of Appeals dismissed appeal – Whether exercise of inherent jurisdiction to authorise child’s placement in unregistered secure accommodation permissible – If so, whether child’s consent relevant to determination. </w:t>
      </w:r>
    </w:p>
    <w:p w:rsidR="006C1999" w:rsidRPr="00856E9C" w:rsidRDefault="006C1999" w:rsidP="006C1999">
      <w:pPr>
        <w:ind w:left="720"/>
        <w:rPr>
          <w:highlight w:val="yellow"/>
          <w:lang w:eastAsia="en-AU"/>
        </w:rPr>
      </w:pPr>
    </w:p>
    <w:p w:rsidR="006C1999" w:rsidRPr="000D3E8D" w:rsidRDefault="006C1999" w:rsidP="006C1999">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dismissed. </w:t>
      </w:r>
    </w:p>
    <w:p w:rsidR="004D3E8E" w:rsidRDefault="004D3E8E" w:rsidP="004D3E8E">
      <w:pPr>
        <w:pStyle w:val="BullDivider2"/>
        <w:rPr>
          <w:rFonts w:cs="Arial"/>
          <w:highlight w:val="yellow"/>
        </w:rPr>
      </w:pPr>
    </w:p>
    <w:p w:rsidR="00967048" w:rsidRDefault="00967048" w:rsidP="00967048"/>
    <w:p w:rsidR="00967048" w:rsidRDefault="00967048" w:rsidP="00967048">
      <w:pPr>
        <w:pStyle w:val="Heading1"/>
      </w:pPr>
      <w:r>
        <w:t xml:space="preserve">Criminal </w:t>
      </w:r>
      <w:r w:rsidR="00662182">
        <w:t>L</w:t>
      </w:r>
      <w:r>
        <w:t>aw</w:t>
      </w:r>
    </w:p>
    <w:p w:rsidR="00967048" w:rsidRPr="00B73D4E" w:rsidRDefault="00967048" w:rsidP="00967048">
      <w:pPr>
        <w:rPr>
          <w:lang w:eastAsia="en-AU"/>
        </w:rPr>
      </w:pPr>
    </w:p>
    <w:p w:rsidR="00A167A9" w:rsidRPr="002F4F7E" w:rsidRDefault="00A167A9" w:rsidP="00A167A9">
      <w:pPr>
        <w:pStyle w:val="Heading2"/>
      </w:pPr>
      <w:r>
        <w:t xml:space="preserve">HKSAR v Liang Yaoqiang </w:t>
      </w:r>
    </w:p>
    <w:p w:rsidR="00A167A9" w:rsidRPr="002F4F7E" w:rsidRDefault="00A167A9" w:rsidP="00A167A9">
      <w:pPr>
        <w:rPr>
          <w:lang w:eastAsia="en-AU"/>
        </w:rPr>
      </w:pPr>
      <w:r>
        <w:rPr>
          <w:b/>
          <w:lang w:eastAsia="en-AU"/>
        </w:rPr>
        <w:t>Hong Kong Court of Final Appeal</w:t>
      </w:r>
      <w:r w:rsidRPr="002F4F7E">
        <w:rPr>
          <w:b/>
          <w:lang w:eastAsia="en-AU"/>
        </w:rPr>
        <w:t xml:space="preserve">: </w:t>
      </w:r>
      <w:hyperlink r:id="rId25" w:history="1">
        <w:r w:rsidRPr="00967048">
          <w:rPr>
            <w:rStyle w:val="Hyperlink"/>
            <w:lang w:eastAsia="en-AU"/>
          </w:rPr>
          <w:t>[2021] HKCFA 2</w:t>
        </w:r>
        <w:r w:rsidR="00BC77C9">
          <w:rPr>
            <w:rStyle w:val="Hyperlink"/>
            <w:lang w:eastAsia="en-AU"/>
          </w:rPr>
          <w:t>6</w:t>
        </w:r>
      </w:hyperlink>
    </w:p>
    <w:p w:rsidR="00A167A9" w:rsidRPr="002F4F7E" w:rsidRDefault="00A167A9" w:rsidP="00A167A9">
      <w:pPr>
        <w:rPr>
          <w:lang w:eastAsia="en-AU"/>
        </w:rPr>
      </w:pPr>
    </w:p>
    <w:p w:rsidR="00A167A9" w:rsidRPr="002F4F7E" w:rsidRDefault="00A167A9" w:rsidP="00A167A9">
      <w:pPr>
        <w:rPr>
          <w:lang w:eastAsia="en-AU"/>
        </w:rPr>
      </w:pPr>
      <w:r w:rsidRPr="002F4F7E">
        <w:rPr>
          <w:b/>
          <w:lang w:eastAsia="en-AU"/>
        </w:rPr>
        <w:t>Judgment delivered:</w:t>
      </w:r>
      <w:r w:rsidRPr="002F4F7E">
        <w:rPr>
          <w:lang w:eastAsia="en-AU"/>
        </w:rPr>
        <w:t xml:space="preserve"> </w:t>
      </w:r>
      <w:r w:rsidR="00BC77C9">
        <w:rPr>
          <w:lang w:eastAsia="en-AU"/>
        </w:rPr>
        <w:t>21</w:t>
      </w:r>
      <w:r>
        <w:rPr>
          <w:lang w:eastAsia="en-AU"/>
        </w:rPr>
        <w:t xml:space="preserve"> July 2021</w:t>
      </w:r>
    </w:p>
    <w:p w:rsidR="00A167A9" w:rsidRPr="002F4F7E" w:rsidRDefault="00A167A9" w:rsidP="00A167A9">
      <w:pPr>
        <w:rPr>
          <w:lang w:eastAsia="en-AU"/>
        </w:rPr>
      </w:pPr>
    </w:p>
    <w:p w:rsidR="00A167A9" w:rsidRPr="002F4F7E" w:rsidRDefault="00A167A9" w:rsidP="00A167A9">
      <w:pPr>
        <w:rPr>
          <w:lang w:eastAsia="en-AU"/>
        </w:rPr>
      </w:pPr>
      <w:r w:rsidRPr="002F4F7E">
        <w:rPr>
          <w:b/>
          <w:lang w:eastAsia="en-AU"/>
        </w:rPr>
        <w:t xml:space="preserve">Coram: </w:t>
      </w:r>
      <w:r>
        <w:rPr>
          <w:lang w:eastAsia="en-AU"/>
        </w:rPr>
        <w:t xml:space="preserve">Cheung CJ, Ribeiro, Fok PJJ, </w:t>
      </w:r>
      <w:r w:rsidR="00BC77C9">
        <w:rPr>
          <w:lang w:eastAsia="en-AU"/>
        </w:rPr>
        <w:t xml:space="preserve">Tang </w:t>
      </w:r>
      <w:r>
        <w:rPr>
          <w:lang w:eastAsia="en-AU"/>
        </w:rPr>
        <w:t>and French NPJJ</w:t>
      </w:r>
    </w:p>
    <w:p w:rsidR="00A167A9" w:rsidRPr="002F4F7E" w:rsidRDefault="00A167A9" w:rsidP="00A167A9">
      <w:pPr>
        <w:rPr>
          <w:lang w:eastAsia="en-AU"/>
        </w:rPr>
      </w:pPr>
    </w:p>
    <w:p w:rsidR="00A167A9" w:rsidRPr="002F4F7E" w:rsidRDefault="00A167A9" w:rsidP="00A167A9">
      <w:pPr>
        <w:rPr>
          <w:b/>
          <w:lang w:eastAsia="en-AU"/>
        </w:rPr>
      </w:pPr>
      <w:r>
        <w:rPr>
          <w:b/>
          <w:lang w:eastAsia="en-AU"/>
        </w:rPr>
        <w:t>Catchwords:</w:t>
      </w:r>
    </w:p>
    <w:p w:rsidR="00A167A9" w:rsidRPr="00856E9C" w:rsidRDefault="00A167A9" w:rsidP="00A167A9">
      <w:pPr>
        <w:rPr>
          <w:b/>
          <w:highlight w:val="yellow"/>
          <w:lang w:eastAsia="en-AU"/>
        </w:rPr>
      </w:pPr>
    </w:p>
    <w:p w:rsidR="00A167A9" w:rsidRPr="00967048" w:rsidRDefault="00A167A9" w:rsidP="00A167A9">
      <w:pPr>
        <w:ind w:left="720"/>
        <w:rPr>
          <w:lang w:eastAsia="en-AU"/>
        </w:rPr>
      </w:pPr>
      <w:r>
        <w:rPr>
          <w:lang w:eastAsia="en-AU"/>
        </w:rPr>
        <w:t xml:space="preserve">Criminal law – </w:t>
      </w:r>
      <w:r w:rsidR="00BC77C9">
        <w:rPr>
          <w:lang w:eastAsia="en-AU"/>
        </w:rPr>
        <w:t xml:space="preserve">Retrial – Court of Appeal discretion – Where appellant admitted killing cohabitee – Where, for the same event, appellant tried for murder and convicted three times, due to Court of Appeal quashing conviction and ordering re-trial twice – Where appellant appealed latest conviction and Court of Appeal quashed conviction and ordered third re-trial on basis trial judge did not direct jury as to availability of defence provocation that would reduce conviction to manslaughter – Where appellant already remanded in custody equivalent to sentence of 27 years, beyond upper limit of usual sentence for manslaughter – Whether Court of Appeal’s discretion in ordering third re-trial miscarried. </w:t>
      </w:r>
    </w:p>
    <w:p w:rsidR="00A167A9" w:rsidRPr="00856E9C" w:rsidRDefault="00A167A9" w:rsidP="00A167A9">
      <w:pPr>
        <w:ind w:left="720"/>
        <w:rPr>
          <w:highlight w:val="yellow"/>
          <w:lang w:eastAsia="en-AU"/>
        </w:rPr>
      </w:pPr>
    </w:p>
    <w:p w:rsidR="00A167A9" w:rsidRDefault="00A167A9" w:rsidP="00A167A9">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dismissed. </w:t>
      </w:r>
    </w:p>
    <w:p w:rsidR="00A167A9" w:rsidRPr="00181993" w:rsidRDefault="00A167A9" w:rsidP="00A167A9">
      <w:pPr>
        <w:pStyle w:val="BullDivider1"/>
        <w:pBdr>
          <w:bottom w:val="dotted" w:sz="4" w:space="0" w:color="auto"/>
        </w:pBdr>
      </w:pPr>
    </w:p>
    <w:p w:rsidR="00A167A9" w:rsidRPr="000D3E8D" w:rsidRDefault="00A167A9" w:rsidP="00A167A9">
      <w:pPr>
        <w:rPr>
          <w:lang w:eastAsia="en-AU"/>
        </w:rPr>
      </w:pPr>
    </w:p>
    <w:p w:rsidR="00967048" w:rsidRPr="002F4F7E" w:rsidRDefault="00967048" w:rsidP="00967048">
      <w:pPr>
        <w:pStyle w:val="Heading2"/>
      </w:pPr>
      <w:r>
        <w:t>HKSAR v Leung Chung Hang Sixtus</w:t>
      </w:r>
    </w:p>
    <w:p w:rsidR="00967048" w:rsidRPr="002F4F7E" w:rsidRDefault="00967048" w:rsidP="00967048">
      <w:pPr>
        <w:rPr>
          <w:lang w:eastAsia="en-AU"/>
        </w:rPr>
      </w:pPr>
      <w:r>
        <w:rPr>
          <w:b/>
          <w:lang w:eastAsia="en-AU"/>
        </w:rPr>
        <w:t>Hong Kong Court of Final Appeal</w:t>
      </w:r>
      <w:r w:rsidRPr="002F4F7E">
        <w:rPr>
          <w:b/>
          <w:lang w:eastAsia="en-AU"/>
        </w:rPr>
        <w:t xml:space="preserve">: </w:t>
      </w:r>
      <w:hyperlink r:id="rId26" w:history="1">
        <w:r w:rsidRPr="00967048">
          <w:rPr>
            <w:rStyle w:val="Hyperlink"/>
            <w:lang w:eastAsia="en-AU"/>
          </w:rPr>
          <w:t>[2021] HKCFA 24</w:t>
        </w:r>
      </w:hyperlink>
    </w:p>
    <w:p w:rsidR="00967048" w:rsidRPr="002F4F7E" w:rsidRDefault="00967048" w:rsidP="00967048">
      <w:pPr>
        <w:rPr>
          <w:lang w:eastAsia="en-AU"/>
        </w:rPr>
      </w:pPr>
    </w:p>
    <w:p w:rsidR="00967048" w:rsidRPr="002F4F7E" w:rsidRDefault="00967048" w:rsidP="00967048">
      <w:pPr>
        <w:rPr>
          <w:lang w:eastAsia="en-AU"/>
        </w:rPr>
      </w:pPr>
      <w:r w:rsidRPr="002F4F7E">
        <w:rPr>
          <w:b/>
          <w:lang w:eastAsia="en-AU"/>
        </w:rPr>
        <w:t>Judgment delivered:</w:t>
      </w:r>
      <w:r w:rsidRPr="002F4F7E">
        <w:rPr>
          <w:lang w:eastAsia="en-AU"/>
        </w:rPr>
        <w:t xml:space="preserve"> </w:t>
      </w:r>
      <w:r>
        <w:rPr>
          <w:lang w:eastAsia="en-AU"/>
        </w:rPr>
        <w:t>16 July 2021</w:t>
      </w:r>
    </w:p>
    <w:p w:rsidR="00967048" w:rsidRPr="002F4F7E" w:rsidRDefault="00967048" w:rsidP="00967048">
      <w:pPr>
        <w:rPr>
          <w:lang w:eastAsia="en-AU"/>
        </w:rPr>
      </w:pPr>
    </w:p>
    <w:p w:rsidR="00967048" w:rsidRPr="002F4F7E" w:rsidRDefault="00967048" w:rsidP="00967048">
      <w:pPr>
        <w:rPr>
          <w:lang w:eastAsia="en-AU"/>
        </w:rPr>
      </w:pPr>
      <w:r w:rsidRPr="002F4F7E">
        <w:rPr>
          <w:b/>
          <w:lang w:eastAsia="en-AU"/>
        </w:rPr>
        <w:t xml:space="preserve">Coram: </w:t>
      </w:r>
      <w:r>
        <w:rPr>
          <w:lang w:eastAsia="en-AU"/>
        </w:rPr>
        <w:t>Cheung CJ, Ribeiro, Fok PJJ, Stock and French NPJJ</w:t>
      </w:r>
    </w:p>
    <w:p w:rsidR="00967048" w:rsidRPr="002F4F7E" w:rsidRDefault="00967048" w:rsidP="00967048">
      <w:pPr>
        <w:rPr>
          <w:lang w:eastAsia="en-AU"/>
        </w:rPr>
      </w:pPr>
    </w:p>
    <w:p w:rsidR="00967048" w:rsidRPr="002F4F7E" w:rsidRDefault="00967048" w:rsidP="00967048">
      <w:pPr>
        <w:rPr>
          <w:b/>
          <w:lang w:eastAsia="en-AU"/>
        </w:rPr>
      </w:pPr>
      <w:r>
        <w:rPr>
          <w:b/>
          <w:lang w:eastAsia="en-AU"/>
        </w:rPr>
        <w:t>Catchwords:</w:t>
      </w:r>
    </w:p>
    <w:p w:rsidR="00967048" w:rsidRPr="00856E9C" w:rsidRDefault="00967048" w:rsidP="00967048">
      <w:pPr>
        <w:rPr>
          <w:b/>
          <w:highlight w:val="yellow"/>
          <w:lang w:eastAsia="en-AU"/>
        </w:rPr>
      </w:pPr>
    </w:p>
    <w:p w:rsidR="00967048" w:rsidRPr="00967048" w:rsidRDefault="00967048" w:rsidP="00967048">
      <w:pPr>
        <w:ind w:left="720"/>
        <w:rPr>
          <w:lang w:eastAsia="en-AU"/>
        </w:rPr>
      </w:pPr>
      <w:r>
        <w:rPr>
          <w:lang w:eastAsia="en-AU"/>
        </w:rPr>
        <w:t>Criminal law – Mental element –</w:t>
      </w:r>
      <w:r w:rsidR="00D720AD">
        <w:rPr>
          <w:lang w:eastAsia="en-AU"/>
        </w:rPr>
        <w:t xml:space="preserve"> Presumption of mental element – </w:t>
      </w:r>
      <w:r>
        <w:rPr>
          <w:lang w:eastAsia="en-AU"/>
        </w:rPr>
        <w:t xml:space="preserve"> Unlawful assembly – Where appellant charged with unlawful assembly under s 18(1) of </w:t>
      </w:r>
      <w:r>
        <w:rPr>
          <w:i/>
          <w:lang w:eastAsia="en-AU"/>
        </w:rPr>
        <w:t xml:space="preserve">Public Order Ordinance </w:t>
      </w:r>
      <w:r w:rsidRPr="00967048">
        <w:rPr>
          <w:lang w:eastAsia="en-AU"/>
        </w:rPr>
        <w:t>(Cap. 245)</w:t>
      </w:r>
      <w:r>
        <w:rPr>
          <w:i/>
          <w:lang w:eastAsia="en-AU"/>
        </w:rPr>
        <w:t xml:space="preserve"> </w:t>
      </w:r>
      <w:r>
        <w:rPr>
          <w:lang w:eastAsia="en-AU"/>
        </w:rPr>
        <w:t xml:space="preserve">– Where s 18(1) provided unlawful if three or more people either </w:t>
      </w:r>
      <w:r w:rsidR="00D720AD">
        <w:rPr>
          <w:lang w:eastAsia="en-AU"/>
        </w:rPr>
        <w:t>“i</w:t>
      </w:r>
      <w:r>
        <w:rPr>
          <w:lang w:eastAsia="en-AU"/>
        </w:rPr>
        <w:t>ntend</w:t>
      </w:r>
      <w:r w:rsidR="00D720AD">
        <w:rPr>
          <w:lang w:eastAsia="en-AU"/>
        </w:rPr>
        <w:t>”</w:t>
      </w:r>
      <w:r>
        <w:rPr>
          <w:lang w:eastAsia="en-AU"/>
        </w:rPr>
        <w:t xml:space="preserve"> </w:t>
      </w:r>
      <w:r w:rsidR="00D720AD">
        <w:rPr>
          <w:lang w:eastAsia="en-AU"/>
        </w:rPr>
        <w:t xml:space="preserve">to cause any person to reasonably fear they will commit breach of peace, or “likely” to cause any person to reasonably fear they will commit breach of peace – Where Court of First Instance held not necessary to establish any mental element in respect of “likely” limb – Whether presumption of mental element arises where statutory offence silent – Whether “likely” limb of unlawful assembly offence requires proof of mental element.  </w:t>
      </w:r>
    </w:p>
    <w:p w:rsidR="00967048" w:rsidRPr="00856E9C" w:rsidRDefault="00967048" w:rsidP="00967048">
      <w:pPr>
        <w:ind w:left="720"/>
        <w:rPr>
          <w:highlight w:val="yellow"/>
          <w:lang w:eastAsia="en-AU"/>
        </w:rPr>
      </w:pPr>
    </w:p>
    <w:p w:rsidR="00967048" w:rsidRPr="000D3E8D" w:rsidRDefault="00967048" w:rsidP="00967048">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dismissed. </w:t>
      </w:r>
    </w:p>
    <w:p w:rsidR="00967048" w:rsidRDefault="00967048" w:rsidP="00967048">
      <w:pPr>
        <w:pStyle w:val="BullDivider2"/>
        <w:rPr>
          <w:rFonts w:cs="Arial"/>
          <w:highlight w:val="yellow"/>
        </w:rPr>
      </w:pPr>
    </w:p>
    <w:p w:rsidR="004D3E8E" w:rsidRPr="00B546B2" w:rsidRDefault="004D3E8E" w:rsidP="004D3E8E">
      <w:pPr>
        <w:rPr>
          <w:highlight w:val="yellow"/>
        </w:rPr>
      </w:pPr>
    </w:p>
    <w:p w:rsidR="004D3E8E" w:rsidRDefault="004D3E8E" w:rsidP="004D3E8E">
      <w:pPr>
        <w:pStyle w:val="Heading1"/>
      </w:pPr>
      <w:r>
        <w:t>Human Rights</w:t>
      </w:r>
    </w:p>
    <w:p w:rsidR="00B73D4E" w:rsidRPr="00B73D4E" w:rsidRDefault="00B73D4E" w:rsidP="00B73D4E">
      <w:pPr>
        <w:rPr>
          <w:lang w:eastAsia="en-AU"/>
        </w:rPr>
      </w:pPr>
    </w:p>
    <w:p w:rsidR="00A27CCB" w:rsidRPr="002F4F7E" w:rsidRDefault="00A27CCB" w:rsidP="00A27CCB">
      <w:pPr>
        <w:pStyle w:val="Heading2"/>
      </w:pPr>
      <w:r>
        <w:t>Royal Mail Group Ltd v Efobi</w:t>
      </w:r>
    </w:p>
    <w:p w:rsidR="00A27CCB" w:rsidRPr="002F4F7E" w:rsidRDefault="00A27CCB" w:rsidP="00A27CCB">
      <w:pPr>
        <w:rPr>
          <w:lang w:eastAsia="en-AU"/>
        </w:rPr>
      </w:pPr>
      <w:r>
        <w:rPr>
          <w:b/>
          <w:lang w:eastAsia="en-AU"/>
        </w:rPr>
        <w:t>Supreme Court of the United Kingdom</w:t>
      </w:r>
      <w:r w:rsidRPr="002F4F7E">
        <w:rPr>
          <w:b/>
          <w:lang w:eastAsia="en-AU"/>
        </w:rPr>
        <w:t xml:space="preserve">: </w:t>
      </w:r>
      <w:hyperlink r:id="rId27" w:history="1">
        <w:r w:rsidRPr="00A82750">
          <w:rPr>
            <w:rStyle w:val="Hyperlink"/>
            <w:lang w:eastAsia="en-AU"/>
          </w:rPr>
          <w:t>[2021] UKSC 3</w:t>
        </w:r>
        <w:r>
          <w:rPr>
            <w:rStyle w:val="Hyperlink"/>
            <w:lang w:eastAsia="en-AU"/>
          </w:rPr>
          <w:t>3</w:t>
        </w:r>
      </w:hyperlink>
    </w:p>
    <w:p w:rsidR="00A27CCB" w:rsidRPr="002F4F7E" w:rsidRDefault="00A27CCB" w:rsidP="00A27CCB">
      <w:pPr>
        <w:rPr>
          <w:lang w:eastAsia="en-AU"/>
        </w:rPr>
      </w:pPr>
    </w:p>
    <w:p w:rsidR="00A27CCB" w:rsidRPr="002F4F7E" w:rsidRDefault="00A27CCB" w:rsidP="00A27CCB">
      <w:pPr>
        <w:rPr>
          <w:lang w:eastAsia="en-AU"/>
        </w:rPr>
      </w:pPr>
      <w:r w:rsidRPr="002F4F7E">
        <w:rPr>
          <w:b/>
          <w:lang w:eastAsia="en-AU"/>
        </w:rPr>
        <w:t>Judgment delivered:</w:t>
      </w:r>
      <w:r w:rsidRPr="002F4F7E">
        <w:rPr>
          <w:lang w:eastAsia="en-AU"/>
        </w:rPr>
        <w:t xml:space="preserve"> </w:t>
      </w:r>
      <w:r>
        <w:rPr>
          <w:lang w:eastAsia="en-AU"/>
        </w:rPr>
        <w:t>23 July 2021</w:t>
      </w:r>
    </w:p>
    <w:p w:rsidR="00A27CCB" w:rsidRPr="002F4F7E" w:rsidRDefault="00A27CCB" w:rsidP="00A27CCB">
      <w:pPr>
        <w:rPr>
          <w:lang w:eastAsia="en-AU"/>
        </w:rPr>
      </w:pPr>
    </w:p>
    <w:p w:rsidR="00A27CCB" w:rsidRPr="002F4F7E" w:rsidRDefault="00A27CCB" w:rsidP="00A27CCB">
      <w:pPr>
        <w:rPr>
          <w:lang w:eastAsia="en-AU"/>
        </w:rPr>
      </w:pPr>
      <w:r w:rsidRPr="002F4F7E">
        <w:rPr>
          <w:b/>
          <w:lang w:eastAsia="en-AU"/>
        </w:rPr>
        <w:t xml:space="preserve">Coram: </w:t>
      </w:r>
      <w:r w:rsidRPr="00A82750">
        <w:rPr>
          <w:lang w:eastAsia="en-AU"/>
        </w:rPr>
        <w:t xml:space="preserve">Lord </w:t>
      </w:r>
      <w:r>
        <w:rPr>
          <w:lang w:eastAsia="en-AU"/>
        </w:rPr>
        <w:t>Hodge, Lord Briggs, Lady Arden, Lord Hamblen, Lord Leggatt</w:t>
      </w:r>
    </w:p>
    <w:p w:rsidR="00A27CCB" w:rsidRPr="002F4F7E" w:rsidRDefault="00A27CCB" w:rsidP="00A27CCB">
      <w:pPr>
        <w:rPr>
          <w:lang w:eastAsia="en-AU"/>
        </w:rPr>
      </w:pPr>
    </w:p>
    <w:p w:rsidR="00A27CCB" w:rsidRPr="002F4F7E" w:rsidRDefault="00A27CCB" w:rsidP="00A27CCB">
      <w:pPr>
        <w:rPr>
          <w:b/>
          <w:lang w:eastAsia="en-AU"/>
        </w:rPr>
      </w:pPr>
      <w:r>
        <w:rPr>
          <w:b/>
          <w:lang w:eastAsia="en-AU"/>
        </w:rPr>
        <w:t>Catchwords:</w:t>
      </w:r>
    </w:p>
    <w:p w:rsidR="00A27CCB" w:rsidRPr="00856E9C" w:rsidRDefault="00A27CCB" w:rsidP="00A27CCB">
      <w:pPr>
        <w:rPr>
          <w:b/>
          <w:highlight w:val="yellow"/>
          <w:lang w:eastAsia="en-AU"/>
        </w:rPr>
      </w:pPr>
    </w:p>
    <w:p w:rsidR="00A27CCB" w:rsidRPr="00A82750" w:rsidRDefault="00A27CCB" w:rsidP="00A27CCB">
      <w:pPr>
        <w:ind w:left="720"/>
        <w:rPr>
          <w:lang w:eastAsia="en-AU"/>
        </w:rPr>
      </w:pPr>
      <w:r>
        <w:rPr>
          <w:lang w:eastAsia="en-AU"/>
        </w:rPr>
        <w:t xml:space="preserve">Human rights – Discrimination – Racial discrimination – </w:t>
      </w:r>
      <w:r w:rsidR="005C5A84">
        <w:rPr>
          <w:lang w:eastAsia="en-AU"/>
        </w:rPr>
        <w:t xml:space="preserve">Burden of proof – </w:t>
      </w:r>
      <w:r>
        <w:rPr>
          <w:lang w:eastAsia="en-AU"/>
        </w:rPr>
        <w:t xml:space="preserve">Where appellant born in Nigeria and identifies as black – Where appellant worked as postman for respondent and unapplied unsuccessfully for thirty managerial or technical roles with respondent over four years – Where appellant claimed rejection of applications result of racial discrimination pursuant to </w:t>
      </w:r>
      <w:r>
        <w:rPr>
          <w:i/>
          <w:lang w:eastAsia="en-AU"/>
        </w:rPr>
        <w:t xml:space="preserve">Race Relations Act 1976 </w:t>
      </w:r>
      <w:r>
        <w:rPr>
          <w:lang w:eastAsia="en-AU"/>
        </w:rPr>
        <w:t xml:space="preserve">– Where respondent did not call as witnesses individuals who actually decided to reject appellant’s job applications, instead calling witnesses </w:t>
      </w:r>
      <w:r w:rsidR="001B1D92">
        <w:rPr>
          <w:lang w:eastAsia="en-AU"/>
        </w:rPr>
        <w:t xml:space="preserve">who were familiar with respondent’s recruitment process generally – </w:t>
      </w:r>
      <w:r>
        <w:rPr>
          <w:lang w:eastAsia="en-AU"/>
        </w:rPr>
        <w:t xml:space="preserve">Where Employment Tribunal dismissed claims and appeal to Employment Appeal Tribunal succeeded on basis Employment Tribunal made error of law – Where Court of Appeal allowed respondent’s appeal – Whether Employment Tribunal applied correct test on which party bears burden of proving discrimination has or has not occurred – Whether Employment Tribunal </w:t>
      </w:r>
      <w:r w:rsidR="001B1D92">
        <w:rPr>
          <w:lang w:eastAsia="en-AU"/>
        </w:rPr>
        <w:t xml:space="preserve">entitled to draw adverse inference based on respondent not calling witnesses who actually dealt with appellant. </w:t>
      </w:r>
    </w:p>
    <w:p w:rsidR="00A27CCB" w:rsidRPr="00856E9C" w:rsidRDefault="00A27CCB" w:rsidP="00A27CCB">
      <w:pPr>
        <w:ind w:left="720"/>
        <w:rPr>
          <w:highlight w:val="yellow"/>
          <w:lang w:eastAsia="en-AU"/>
        </w:rPr>
      </w:pPr>
    </w:p>
    <w:p w:rsidR="00A27CCB" w:rsidRPr="000D3E8D" w:rsidRDefault="00A27CCB" w:rsidP="00A27CCB">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dismissed. </w:t>
      </w:r>
    </w:p>
    <w:p w:rsidR="00A27CCB" w:rsidRPr="00181993" w:rsidRDefault="00A27CCB" w:rsidP="00A27CCB">
      <w:pPr>
        <w:pStyle w:val="BullDivider1"/>
        <w:pBdr>
          <w:bottom w:val="dotted" w:sz="4" w:space="0" w:color="auto"/>
        </w:pBdr>
      </w:pPr>
    </w:p>
    <w:p w:rsidR="00A27CCB" w:rsidRDefault="00A27CCB" w:rsidP="00A27CCB"/>
    <w:p w:rsidR="004706F8" w:rsidRPr="002F4F7E" w:rsidRDefault="004706F8" w:rsidP="004706F8">
      <w:pPr>
        <w:pStyle w:val="Heading2"/>
      </w:pPr>
      <w:r>
        <w:t>Sanambar v Secretary of State for the Home Department</w:t>
      </w:r>
    </w:p>
    <w:p w:rsidR="004706F8" w:rsidRPr="002F4F7E" w:rsidRDefault="004706F8" w:rsidP="004706F8">
      <w:pPr>
        <w:rPr>
          <w:lang w:eastAsia="en-AU"/>
        </w:rPr>
      </w:pPr>
      <w:r>
        <w:rPr>
          <w:b/>
          <w:lang w:eastAsia="en-AU"/>
        </w:rPr>
        <w:t>Supreme Court of the United Kingdom</w:t>
      </w:r>
      <w:r w:rsidRPr="002F4F7E">
        <w:rPr>
          <w:b/>
          <w:lang w:eastAsia="en-AU"/>
        </w:rPr>
        <w:t xml:space="preserve">: </w:t>
      </w:r>
      <w:hyperlink r:id="rId28" w:history="1">
        <w:r w:rsidRPr="00A82750">
          <w:rPr>
            <w:rStyle w:val="Hyperlink"/>
            <w:lang w:eastAsia="en-AU"/>
          </w:rPr>
          <w:t xml:space="preserve">[2021] UKSC </w:t>
        </w:r>
        <w:r w:rsidR="00A82750" w:rsidRPr="00A82750">
          <w:rPr>
            <w:rStyle w:val="Hyperlink"/>
            <w:lang w:eastAsia="en-AU"/>
          </w:rPr>
          <w:t>30</w:t>
        </w:r>
      </w:hyperlink>
    </w:p>
    <w:p w:rsidR="004706F8" w:rsidRPr="002F4F7E" w:rsidRDefault="004706F8" w:rsidP="004706F8">
      <w:pPr>
        <w:rPr>
          <w:lang w:eastAsia="en-AU"/>
        </w:rPr>
      </w:pPr>
    </w:p>
    <w:p w:rsidR="004706F8" w:rsidRPr="002F4F7E" w:rsidRDefault="004706F8" w:rsidP="004706F8">
      <w:pPr>
        <w:rPr>
          <w:lang w:eastAsia="en-AU"/>
        </w:rPr>
      </w:pPr>
      <w:r w:rsidRPr="002F4F7E">
        <w:rPr>
          <w:b/>
          <w:lang w:eastAsia="en-AU"/>
        </w:rPr>
        <w:t>Judgment delivered:</w:t>
      </w:r>
      <w:r w:rsidRPr="002F4F7E">
        <w:rPr>
          <w:lang w:eastAsia="en-AU"/>
        </w:rPr>
        <w:t xml:space="preserve"> </w:t>
      </w:r>
      <w:r w:rsidR="00A82750">
        <w:rPr>
          <w:lang w:eastAsia="en-AU"/>
        </w:rPr>
        <w:t>16</w:t>
      </w:r>
      <w:r>
        <w:rPr>
          <w:lang w:eastAsia="en-AU"/>
        </w:rPr>
        <w:t xml:space="preserve"> July 2021</w:t>
      </w:r>
    </w:p>
    <w:p w:rsidR="004706F8" w:rsidRPr="002F4F7E" w:rsidRDefault="004706F8" w:rsidP="004706F8">
      <w:pPr>
        <w:rPr>
          <w:lang w:eastAsia="en-AU"/>
        </w:rPr>
      </w:pPr>
    </w:p>
    <w:p w:rsidR="004706F8" w:rsidRPr="002F4F7E" w:rsidRDefault="004706F8" w:rsidP="004706F8">
      <w:pPr>
        <w:rPr>
          <w:lang w:eastAsia="en-AU"/>
        </w:rPr>
      </w:pPr>
      <w:r w:rsidRPr="002F4F7E">
        <w:rPr>
          <w:b/>
          <w:lang w:eastAsia="en-AU"/>
        </w:rPr>
        <w:t xml:space="preserve">Coram: </w:t>
      </w:r>
      <w:r w:rsidR="00A82750" w:rsidRPr="00A82750">
        <w:rPr>
          <w:lang w:eastAsia="en-AU"/>
        </w:rPr>
        <w:t>Lord Reed</w:t>
      </w:r>
      <w:r w:rsidR="00A82750">
        <w:rPr>
          <w:lang w:eastAsia="en-AU"/>
        </w:rPr>
        <w:t>,</w:t>
      </w:r>
      <w:r w:rsidR="00A82750" w:rsidRPr="00A82750">
        <w:rPr>
          <w:lang w:eastAsia="en-AU"/>
        </w:rPr>
        <w:t xml:space="preserve"> Lord Hodg</w:t>
      </w:r>
      <w:r w:rsidR="00A82750">
        <w:rPr>
          <w:lang w:eastAsia="en-AU"/>
        </w:rPr>
        <w:t>e</w:t>
      </w:r>
      <w:r w:rsidR="00A82750" w:rsidRPr="00A82750">
        <w:rPr>
          <w:lang w:eastAsia="en-AU"/>
        </w:rPr>
        <w:t>, Lord Sales, Lord Stephens</w:t>
      </w:r>
      <w:r w:rsidR="00A82750">
        <w:rPr>
          <w:lang w:eastAsia="en-AU"/>
        </w:rPr>
        <w:t xml:space="preserve"> and</w:t>
      </w:r>
      <w:r w:rsidR="00A82750" w:rsidRPr="00A82750">
        <w:rPr>
          <w:lang w:eastAsia="en-AU"/>
        </w:rPr>
        <w:t xml:space="preserve"> Sir Declan Morgan</w:t>
      </w:r>
    </w:p>
    <w:p w:rsidR="004706F8" w:rsidRPr="002F4F7E" w:rsidRDefault="004706F8" w:rsidP="004706F8">
      <w:pPr>
        <w:rPr>
          <w:lang w:eastAsia="en-AU"/>
        </w:rPr>
      </w:pPr>
    </w:p>
    <w:p w:rsidR="004706F8" w:rsidRPr="002F4F7E" w:rsidRDefault="004706F8" w:rsidP="004706F8">
      <w:pPr>
        <w:rPr>
          <w:b/>
          <w:lang w:eastAsia="en-AU"/>
        </w:rPr>
      </w:pPr>
      <w:r>
        <w:rPr>
          <w:b/>
          <w:lang w:eastAsia="en-AU"/>
        </w:rPr>
        <w:t>Catchwords:</w:t>
      </w:r>
    </w:p>
    <w:p w:rsidR="004706F8" w:rsidRPr="00856E9C" w:rsidRDefault="004706F8" w:rsidP="004706F8">
      <w:pPr>
        <w:rPr>
          <w:b/>
          <w:highlight w:val="yellow"/>
          <w:lang w:eastAsia="en-AU"/>
        </w:rPr>
      </w:pPr>
    </w:p>
    <w:p w:rsidR="004706F8" w:rsidRPr="00A82750" w:rsidRDefault="004706F8" w:rsidP="004706F8">
      <w:pPr>
        <w:ind w:left="720"/>
        <w:rPr>
          <w:lang w:eastAsia="en-AU"/>
        </w:rPr>
      </w:pPr>
      <w:r>
        <w:rPr>
          <w:lang w:eastAsia="en-AU"/>
        </w:rPr>
        <w:t xml:space="preserve">Human rights – </w:t>
      </w:r>
      <w:r w:rsidR="00A82750">
        <w:rPr>
          <w:lang w:eastAsia="en-AU"/>
        </w:rPr>
        <w:t xml:space="preserve">Respect for private and family life – Immigration – Deportation – Where appellant national of Iran arrived in UK in 2005 age 10 years – Where, between 2009 to 2013, appellant convicted of various violent crimes – Where respondent decided appellant’s deportation conducive to public good and made deportation order – Where appellant appealed and Upper Tribunal dismissed appeal – Where Upper Tribunal held appellant had not established “very significant obstacles” to integration in Iran if deported, as required by s 117C(4) of </w:t>
      </w:r>
      <w:r w:rsidR="00A82750">
        <w:rPr>
          <w:i/>
          <w:lang w:eastAsia="en-AU"/>
        </w:rPr>
        <w:t>Immigration and Asylum Act 2002</w:t>
      </w:r>
      <w:r w:rsidR="00A82750">
        <w:rPr>
          <w:lang w:eastAsia="en-AU"/>
        </w:rPr>
        <w:t xml:space="preserve"> – Where Court of Appeal dismissed appeal – Whether Upper Tribunal correctly approached balancing exercise required by art 8 (respect for private and family life) of </w:t>
      </w:r>
      <w:r w:rsidR="00A82750">
        <w:rPr>
          <w:i/>
          <w:lang w:eastAsia="en-AU"/>
        </w:rPr>
        <w:t>European Convention on Human Rights</w:t>
      </w:r>
      <w:r w:rsidR="00A82750">
        <w:rPr>
          <w:lang w:eastAsia="en-AU"/>
        </w:rPr>
        <w:t xml:space="preserve"> in interpretation and application of s 117C(4).  </w:t>
      </w:r>
    </w:p>
    <w:p w:rsidR="004706F8" w:rsidRPr="00856E9C" w:rsidRDefault="004706F8" w:rsidP="004706F8">
      <w:pPr>
        <w:ind w:left="720"/>
        <w:rPr>
          <w:highlight w:val="yellow"/>
          <w:lang w:eastAsia="en-AU"/>
        </w:rPr>
      </w:pPr>
    </w:p>
    <w:p w:rsidR="004706F8" w:rsidRPr="000D3E8D" w:rsidRDefault="004706F8" w:rsidP="004706F8">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dismissed. </w:t>
      </w:r>
    </w:p>
    <w:p w:rsidR="004706F8" w:rsidRPr="00181993" w:rsidRDefault="004706F8" w:rsidP="004706F8">
      <w:pPr>
        <w:pStyle w:val="BullDivider1"/>
        <w:pBdr>
          <w:bottom w:val="dotted" w:sz="4" w:space="0" w:color="auto"/>
        </w:pBdr>
      </w:pPr>
    </w:p>
    <w:p w:rsidR="004706F8" w:rsidRDefault="004706F8" w:rsidP="004706F8"/>
    <w:p w:rsidR="00B73D4E" w:rsidRPr="002F4F7E" w:rsidRDefault="00B73D4E" w:rsidP="00B73D4E">
      <w:pPr>
        <w:pStyle w:val="Heading2"/>
      </w:pPr>
      <w:r>
        <w:t>R (AB) v Secretary of State for Justice</w:t>
      </w:r>
    </w:p>
    <w:p w:rsidR="00B73D4E" w:rsidRPr="002F4F7E" w:rsidRDefault="00B73D4E" w:rsidP="00B73D4E">
      <w:pPr>
        <w:rPr>
          <w:lang w:eastAsia="en-AU"/>
        </w:rPr>
      </w:pPr>
      <w:r>
        <w:rPr>
          <w:b/>
          <w:lang w:eastAsia="en-AU"/>
        </w:rPr>
        <w:t>Supreme Court of the United Kingdom</w:t>
      </w:r>
      <w:r w:rsidRPr="002F4F7E">
        <w:rPr>
          <w:b/>
          <w:lang w:eastAsia="en-AU"/>
        </w:rPr>
        <w:t xml:space="preserve">: </w:t>
      </w:r>
      <w:hyperlink r:id="rId29" w:history="1">
        <w:r w:rsidRPr="0088737A">
          <w:rPr>
            <w:rStyle w:val="Hyperlink"/>
            <w:lang w:eastAsia="en-AU"/>
          </w:rPr>
          <w:t>[2021] UKSC 2</w:t>
        </w:r>
        <w:r>
          <w:rPr>
            <w:rStyle w:val="Hyperlink"/>
            <w:lang w:eastAsia="en-AU"/>
          </w:rPr>
          <w:t>8</w:t>
        </w:r>
      </w:hyperlink>
    </w:p>
    <w:p w:rsidR="00B73D4E" w:rsidRPr="002F4F7E" w:rsidRDefault="00B73D4E" w:rsidP="00B73D4E">
      <w:pPr>
        <w:rPr>
          <w:lang w:eastAsia="en-AU"/>
        </w:rPr>
      </w:pPr>
    </w:p>
    <w:p w:rsidR="00B73D4E" w:rsidRPr="002F4F7E" w:rsidRDefault="00B73D4E" w:rsidP="00B73D4E">
      <w:pPr>
        <w:rPr>
          <w:lang w:eastAsia="en-AU"/>
        </w:rPr>
      </w:pPr>
      <w:r w:rsidRPr="002F4F7E">
        <w:rPr>
          <w:b/>
          <w:lang w:eastAsia="en-AU"/>
        </w:rPr>
        <w:t>Judgment delivered:</w:t>
      </w:r>
      <w:r w:rsidRPr="002F4F7E">
        <w:rPr>
          <w:lang w:eastAsia="en-AU"/>
        </w:rPr>
        <w:t xml:space="preserve"> </w:t>
      </w:r>
      <w:r>
        <w:rPr>
          <w:lang w:eastAsia="en-AU"/>
        </w:rPr>
        <w:t>9 July 2021</w:t>
      </w:r>
    </w:p>
    <w:p w:rsidR="00B73D4E" w:rsidRPr="002F4F7E" w:rsidRDefault="00B73D4E" w:rsidP="00B73D4E">
      <w:pPr>
        <w:rPr>
          <w:lang w:eastAsia="en-AU"/>
        </w:rPr>
      </w:pPr>
    </w:p>
    <w:p w:rsidR="00B73D4E" w:rsidRPr="002F4F7E" w:rsidRDefault="00B73D4E" w:rsidP="00B73D4E">
      <w:pPr>
        <w:rPr>
          <w:lang w:eastAsia="en-AU"/>
        </w:rPr>
      </w:pPr>
      <w:r w:rsidRPr="002F4F7E">
        <w:rPr>
          <w:b/>
          <w:lang w:eastAsia="en-AU"/>
        </w:rPr>
        <w:t xml:space="preserve">Coram: </w:t>
      </w:r>
      <w:r w:rsidR="009B241E" w:rsidRPr="009B241E">
        <w:rPr>
          <w:lang w:eastAsia="en-AU"/>
        </w:rPr>
        <w:t>Lord Reed, Lord Lloyd-Jones, Lord Sales, Lord Hamblen</w:t>
      </w:r>
      <w:r w:rsidR="009B241E">
        <w:rPr>
          <w:lang w:eastAsia="en-AU"/>
        </w:rPr>
        <w:t xml:space="preserve"> and</w:t>
      </w:r>
      <w:r w:rsidR="009B241E" w:rsidRPr="009B241E">
        <w:rPr>
          <w:lang w:eastAsia="en-AU"/>
        </w:rPr>
        <w:t xml:space="preserve"> Lord Stephens</w:t>
      </w:r>
    </w:p>
    <w:p w:rsidR="00B73D4E" w:rsidRPr="002F4F7E" w:rsidRDefault="00B73D4E" w:rsidP="00B73D4E">
      <w:pPr>
        <w:rPr>
          <w:lang w:eastAsia="en-AU"/>
        </w:rPr>
      </w:pPr>
    </w:p>
    <w:p w:rsidR="00B73D4E" w:rsidRPr="002F4F7E" w:rsidRDefault="00B73D4E" w:rsidP="00B73D4E">
      <w:pPr>
        <w:rPr>
          <w:b/>
          <w:lang w:eastAsia="en-AU"/>
        </w:rPr>
      </w:pPr>
      <w:r>
        <w:rPr>
          <w:b/>
          <w:lang w:eastAsia="en-AU"/>
        </w:rPr>
        <w:t>Catchwords:</w:t>
      </w:r>
    </w:p>
    <w:p w:rsidR="00B73D4E" w:rsidRPr="00856E9C" w:rsidRDefault="00B73D4E" w:rsidP="00B73D4E">
      <w:pPr>
        <w:rPr>
          <w:b/>
          <w:highlight w:val="yellow"/>
          <w:lang w:eastAsia="en-AU"/>
        </w:rPr>
      </w:pPr>
    </w:p>
    <w:p w:rsidR="00B73D4E" w:rsidRPr="009B241E" w:rsidRDefault="00B73D4E" w:rsidP="00B73D4E">
      <w:pPr>
        <w:ind w:left="720"/>
        <w:rPr>
          <w:lang w:eastAsia="en-AU"/>
        </w:rPr>
      </w:pPr>
      <w:r>
        <w:rPr>
          <w:lang w:eastAsia="en-AU"/>
        </w:rPr>
        <w:t xml:space="preserve">Human rights – </w:t>
      </w:r>
      <w:r w:rsidR="009B241E">
        <w:rPr>
          <w:lang w:eastAsia="en-AU"/>
        </w:rPr>
        <w:t xml:space="preserve">Inhuman and degrading treatment – Where, aged 15, appellant pleaded guilty to indecent exposure and sexual assault and sentenced to custody – Where appellant held in solitary confinement for safety of prison officers and own safety – Where appellant claimed solitary confinement violates art 3 (freedom from inhuman and degrading treatment) of </w:t>
      </w:r>
      <w:r w:rsidR="009B241E">
        <w:rPr>
          <w:i/>
          <w:lang w:eastAsia="en-AU"/>
        </w:rPr>
        <w:t xml:space="preserve">European Convention on Human Rights </w:t>
      </w:r>
      <w:r w:rsidR="009B241E">
        <w:rPr>
          <w:lang w:eastAsia="en-AU"/>
        </w:rPr>
        <w:t xml:space="preserve">– Where High Court dismissed application and Court of Appeal dismissed appeal – Whether solitary confinement of minors automatically violates art 3 – Alternatively, whether solitary confinement justified only in exceptional circumstances. </w:t>
      </w:r>
    </w:p>
    <w:p w:rsidR="00B73D4E" w:rsidRPr="00856E9C" w:rsidRDefault="00B73D4E" w:rsidP="00B73D4E">
      <w:pPr>
        <w:ind w:left="720"/>
        <w:rPr>
          <w:highlight w:val="yellow"/>
          <w:lang w:eastAsia="en-AU"/>
        </w:rPr>
      </w:pPr>
    </w:p>
    <w:p w:rsidR="00B73D4E" w:rsidRPr="000D3E8D" w:rsidRDefault="00B73D4E" w:rsidP="00B73D4E">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dismissed. </w:t>
      </w:r>
    </w:p>
    <w:p w:rsidR="00B73D4E" w:rsidRPr="00181993" w:rsidRDefault="00B73D4E" w:rsidP="00B73D4E">
      <w:pPr>
        <w:pStyle w:val="BullDivider1"/>
        <w:pBdr>
          <w:bottom w:val="dotted" w:sz="4" w:space="0" w:color="auto"/>
        </w:pBdr>
      </w:pPr>
    </w:p>
    <w:p w:rsidR="007C6556" w:rsidRDefault="007C6556" w:rsidP="007C6556"/>
    <w:p w:rsidR="007C6556" w:rsidRPr="002F4F7E" w:rsidRDefault="0088737A" w:rsidP="007C6556">
      <w:pPr>
        <w:pStyle w:val="Heading2"/>
      </w:pPr>
      <w:r>
        <w:lastRenderedPageBreak/>
        <w:t>A and B v Criminal Injuries Compensation Authority &amp; Anor</w:t>
      </w:r>
    </w:p>
    <w:p w:rsidR="007C6556" w:rsidRPr="002F4F7E" w:rsidRDefault="0088737A" w:rsidP="007C6556">
      <w:pPr>
        <w:rPr>
          <w:lang w:eastAsia="en-AU"/>
        </w:rPr>
      </w:pPr>
      <w:r>
        <w:rPr>
          <w:b/>
          <w:lang w:eastAsia="en-AU"/>
        </w:rPr>
        <w:t>Supreme Court of the United Kingdom</w:t>
      </w:r>
      <w:r w:rsidR="007C6556" w:rsidRPr="002F4F7E">
        <w:rPr>
          <w:b/>
          <w:lang w:eastAsia="en-AU"/>
        </w:rPr>
        <w:t xml:space="preserve">: </w:t>
      </w:r>
      <w:hyperlink r:id="rId30" w:history="1">
        <w:r w:rsidRPr="0088737A">
          <w:rPr>
            <w:rStyle w:val="Hyperlink"/>
            <w:lang w:eastAsia="en-AU"/>
          </w:rPr>
          <w:t>[2021] UKSC 27</w:t>
        </w:r>
      </w:hyperlink>
    </w:p>
    <w:p w:rsidR="007C6556" w:rsidRPr="002F4F7E" w:rsidRDefault="007C6556" w:rsidP="007C6556">
      <w:pPr>
        <w:rPr>
          <w:lang w:eastAsia="en-AU"/>
        </w:rPr>
      </w:pPr>
    </w:p>
    <w:p w:rsidR="007C6556" w:rsidRPr="002F4F7E" w:rsidRDefault="007C6556" w:rsidP="007C6556">
      <w:pPr>
        <w:rPr>
          <w:lang w:eastAsia="en-AU"/>
        </w:rPr>
      </w:pPr>
      <w:r w:rsidRPr="002F4F7E">
        <w:rPr>
          <w:b/>
          <w:lang w:eastAsia="en-AU"/>
        </w:rPr>
        <w:t>Judgment delivered:</w:t>
      </w:r>
      <w:r w:rsidRPr="002F4F7E">
        <w:rPr>
          <w:lang w:eastAsia="en-AU"/>
        </w:rPr>
        <w:t xml:space="preserve"> </w:t>
      </w:r>
      <w:r w:rsidR="0088737A">
        <w:rPr>
          <w:lang w:eastAsia="en-AU"/>
        </w:rPr>
        <w:t>9 July 2021</w:t>
      </w:r>
    </w:p>
    <w:p w:rsidR="007C6556" w:rsidRPr="002F4F7E" w:rsidRDefault="007C6556" w:rsidP="007C6556">
      <w:pPr>
        <w:rPr>
          <w:lang w:eastAsia="en-AU"/>
        </w:rPr>
      </w:pPr>
    </w:p>
    <w:p w:rsidR="007C6556" w:rsidRPr="002F4F7E" w:rsidRDefault="007C6556" w:rsidP="007C6556">
      <w:pPr>
        <w:rPr>
          <w:lang w:eastAsia="en-AU"/>
        </w:rPr>
      </w:pPr>
      <w:r w:rsidRPr="002F4F7E">
        <w:rPr>
          <w:b/>
          <w:lang w:eastAsia="en-AU"/>
        </w:rPr>
        <w:t xml:space="preserve">Coram: </w:t>
      </w:r>
      <w:r w:rsidR="0088737A" w:rsidRPr="0088737A">
        <w:rPr>
          <w:lang w:eastAsia="en-AU"/>
        </w:rPr>
        <w:t>Lord Lloyd-Jones, Lady Arden, Lord Hamblen, Lord Burrows</w:t>
      </w:r>
      <w:r w:rsidR="0088737A">
        <w:rPr>
          <w:lang w:eastAsia="en-AU"/>
        </w:rPr>
        <w:t xml:space="preserve"> and</w:t>
      </w:r>
      <w:r w:rsidR="0088737A" w:rsidRPr="0088737A">
        <w:rPr>
          <w:lang w:eastAsia="en-AU"/>
        </w:rPr>
        <w:t xml:space="preserve"> Lord Stephens</w:t>
      </w:r>
    </w:p>
    <w:p w:rsidR="007C6556" w:rsidRPr="002F4F7E" w:rsidRDefault="007C6556" w:rsidP="007C6556">
      <w:pPr>
        <w:rPr>
          <w:lang w:eastAsia="en-AU"/>
        </w:rPr>
      </w:pPr>
    </w:p>
    <w:p w:rsidR="007C6556" w:rsidRPr="002F4F7E" w:rsidRDefault="007C6556" w:rsidP="007C6556">
      <w:pPr>
        <w:rPr>
          <w:b/>
          <w:lang w:eastAsia="en-AU"/>
        </w:rPr>
      </w:pPr>
      <w:r>
        <w:rPr>
          <w:b/>
          <w:lang w:eastAsia="en-AU"/>
        </w:rPr>
        <w:t>Catchwords:</w:t>
      </w:r>
    </w:p>
    <w:p w:rsidR="007C6556" w:rsidRPr="00856E9C" w:rsidRDefault="007C6556" w:rsidP="007C6556">
      <w:pPr>
        <w:rPr>
          <w:b/>
          <w:highlight w:val="yellow"/>
          <w:lang w:eastAsia="en-AU"/>
        </w:rPr>
      </w:pPr>
    </w:p>
    <w:p w:rsidR="007C6556" w:rsidRPr="0088737A" w:rsidRDefault="0088737A" w:rsidP="007C6556">
      <w:pPr>
        <w:ind w:left="720"/>
        <w:rPr>
          <w:lang w:eastAsia="en-AU"/>
        </w:rPr>
      </w:pPr>
      <w:r>
        <w:rPr>
          <w:lang w:eastAsia="en-AU"/>
        </w:rPr>
        <w:t xml:space="preserve">Human rights – </w:t>
      </w:r>
      <w:r w:rsidR="005C5A84">
        <w:rPr>
          <w:lang w:eastAsia="en-AU"/>
        </w:rPr>
        <w:t>C</w:t>
      </w:r>
      <w:r w:rsidR="005C5A84" w:rsidRPr="005C5A84">
        <w:rPr>
          <w:lang w:eastAsia="en-AU"/>
        </w:rPr>
        <w:t xml:space="preserve">riminal injuries compensation </w:t>
      </w:r>
      <w:r w:rsidR="005C5A84">
        <w:rPr>
          <w:lang w:eastAsia="en-AU"/>
        </w:rPr>
        <w:t xml:space="preserve">– </w:t>
      </w:r>
      <w:r>
        <w:rPr>
          <w:lang w:eastAsia="en-AU"/>
        </w:rPr>
        <w:t xml:space="preserve">Freedom from slavery – Non-discrimination – Where Criminal Injuries Compensation Scheme provides compensation may be awarded to person if injured as direct victim of violent crime – Where Scheme rules exclude compensation if applicant has unspent conviction resulting in custodial sentence – Where appellants each convicted of crime in Lithuania and sentenced to custodial sentence – Where appellants trafficked from Lithuania to UK and subjected to labour exploitation –  Where appellants applied for compensation under Scheme after traffickers convicted – Where applications refused because of exclusionary rule – Where appellants allege exclusionary rule violates art 14 (non-discrimination) of </w:t>
      </w:r>
      <w:r>
        <w:rPr>
          <w:i/>
          <w:lang w:eastAsia="en-AU"/>
        </w:rPr>
        <w:t xml:space="preserve">European Convention on Human Rights </w:t>
      </w:r>
      <w:r>
        <w:rPr>
          <w:lang w:eastAsia="en-AU"/>
        </w:rPr>
        <w:t xml:space="preserve">in conjunction with art 4 (freedom from slavery) – Where High Court dismissed claim and Court of Appeal dismissed appeal – Whether exclusionary rule breaches art 14 and 4 – If so, whether breach proportionate and justified. </w:t>
      </w:r>
    </w:p>
    <w:p w:rsidR="007C6556" w:rsidRPr="00856E9C" w:rsidRDefault="007C6556" w:rsidP="007C6556">
      <w:pPr>
        <w:ind w:left="720"/>
        <w:rPr>
          <w:highlight w:val="yellow"/>
          <w:lang w:eastAsia="en-AU"/>
        </w:rPr>
      </w:pPr>
    </w:p>
    <w:p w:rsidR="007C6556" w:rsidRPr="000D3E8D" w:rsidRDefault="007C6556" w:rsidP="007C6556">
      <w:pPr>
        <w:rPr>
          <w:lang w:eastAsia="en-AU"/>
        </w:rPr>
      </w:pPr>
      <w:r w:rsidRPr="002F4F7E">
        <w:rPr>
          <w:b/>
          <w:lang w:eastAsia="en-AU"/>
        </w:rPr>
        <w:t>Held (</w:t>
      </w:r>
      <w:r w:rsidR="0088737A">
        <w:rPr>
          <w:b/>
          <w:lang w:eastAsia="en-AU"/>
        </w:rPr>
        <w:t>5</w:t>
      </w:r>
      <w:r>
        <w:rPr>
          <w:b/>
          <w:lang w:eastAsia="en-AU"/>
        </w:rPr>
        <w:t>:</w:t>
      </w:r>
      <w:r w:rsidR="0088737A">
        <w:rPr>
          <w:b/>
          <w:lang w:eastAsia="en-AU"/>
        </w:rPr>
        <w:t>0</w:t>
      </w:r>
      <w:r w:rsidRPr="002F4F7E">
        <w:rPr>
          <w:b/>
          <w:lang w:eastAsia="en-AU"/>
        </w:rPr>
        <w:t xml:space="preserve">): </w:t>
      </w:r>
      <w:r w:rsidR="0088737A">
        <w:rPr>
          <w:lang w:eastAsia="en-AU"/>
        </w:rPr>
        <w:t xml:space="preserve">Appeal dismissed. </w:t>
      </w:r>
    </w:p>
    <w:p w:rsidR="007C6556" w:rsidRPr="00181993" w:rsidRDefault="007C6556" w:rsidP="007C6556">
      <w:pPr>
        <w:pStyle w:val="BullDivider1"/>
        <w:pBdr>
          <w:bottom w:val="dotted" w:sz="4" w:space="0" w:color="auto"/>
        </w:pBdr>
      </w:pPr>
    </w:p>
    <w:p w:rsidR="007C6556" w:rsidRDefault="007C6556" w:rsidP="004D3E8E"/>
    <w:p w:rsidR="004D3E8E" w:rsidRPr="002F4F7E" w:rsidRDefault="00221689" w:rsidP="004D3E8E">
      <w:pPr>
        <w:pStyle w:val="Heading2"/>
      </w:pPr>
      <w:r>
        <w:t>R (SC, CB and 8 Children) v Secretary of State for Work and Pensions &amp; Ors</w:t>
      </w:r>
    </w:p>
    <w:p w:rsidR="004D3E8E" w:rsidRPr="002F4F7E" w:rsidRDefault="004D3E8E" w:rsidP="004D3E8E">
      <w:pPr>
        <w:rPr>
          <w:lang w:eastAsia="en-AU"/>
        </w:rPr>
      </w:pPr>
      <w:r>
        <w:rPr>
          <w:b/>
          <w:lang w:eastAsia="en-AU"/>
        </w:rPr>
        <w:t xml:space="preserve">Supreme Court of </w:t>
      </w:r>
      <w:r w:rsidR="005E4CF4">
        <w:rPr>
          <w:b/>
          <w:lang w:eastAsia="en-AU"/>
        </w:rPr>
        <w:t>the United Kingdom</w:t>
      </w:r>
      <w:r w:rsidRPr="002F4F7E">
        <w:rPr>
          <w:b/>
          <w:lang w:eastAsia="en-AU"/>
        </w:rPr>
        <w:t xml:space="preserve">: </w:t>
      </w:r>
      <w:hyperlink r:id="rId31" w:history="1">
        <w:r w:rsidR="00221689" w:rsidRPr="00221689">
          <w:rPr>
            <w:rStyle w:val="Hyperlink"/>
            <w:lang w:eastAsia="en-AU"/>
          </w:rPr>
          <w:t>[2021] UKSC 26</w:t>
        </w:r>
      </w:hyperlink>
    </w:p>
    <w:p w:rsidR="004D3E8E" w:rsidRPr="002F4F7E" w:rsidRDefault="004D3E8E" w:rsidP="004D3E8E">
      <w:pPr>
        <w:rPr>
          <w:lang w:eastAsia="en-AU"/>
        </w:rPr>
      </w:pPr>
    </w:p>
    <w:p w:rsidR="004D3E8E" w:rsidRPr="002F4F7E" w:rsidRDefault="004D3E8E" w:rsidP="004D3E8E">
      <w:pPr>
        <w:rPr>
          <w:lang w:eastAsia="en-AU"/>
        </w:rPr>
      </w:pPr>
      <w:r w:rsidRPr="002F4F7E">
        <w:rPr>
          <w:b/>
          <w:lang w:eastAsia="en-AU"/>
        </w:rPr>
        <w:t>Judgment delivered:</w:t>
      </w:r>
      <w:r w:rsidRPr="002F4F7E">
        <w:rPr>
          <w:lang w:eastAsia="en-AU"/>
        </w:rPr>
        <w:t xml:space="preserve"> </w:t>
      </w:r>
      <w:r w:rsidR="00221689">
        <w:rPr>
          <w:lang w:eastAsia="en-AU"/>
        </w:rPr>
        <w:t>9</w:t>
      </w:r>
      <w:r>
        <w:rPr>
          <w:lang w:eastAsia="en-AU"/>
        </w:rPr>
        <w:t xml:space="preserve"> July 2021</w:t>
      </w:r>
    </w:p>
    <w:p w:rsidR="004D3E8E" w:rsidRPr="002F4F7E" w:rsidRDefault="004D3E8E" w:rsidP="004D3E8E">
      <w:pPr>
        <w:rPr>
          <w:lang w:eastAsia="en-AU"/>
        </w:rPr>
      </w:pPr>
    </w:p>
    <w:p w:rsidR="004D3E8E" w:rsidRDefault="004D3E8E" w:rsidP="004D3E8E">
      <w:pPr>
        <w:rPr>
          <w:color w:val="000000"/>
        </w:rPr>
      </w:pPr>
      <w:r w:rsidRPr="002F4F7E">
        <w:rPr>
          <w:b/>
          <w:lang w:eastAsia="en-AU"/>
        </w:rPr>
        <w:t xml:space="preserve">Coram: </w:t>
      </w:r>
      <w:r w:rsidR="00221689" w:rsidRPr="00221689">
        <w:rPr>
          <w:color w:val="000000"/>
        </w:rPr>
        <w:t>Lord Reed, Lord Hodg</w:t>
      </w:r>
      <w:r w:rsidR="00221689">
        <w:rPr>
          <w:color w:val="000000"/>
        </w:rPr>
        <w:t>e</w:t>
      </w:r>
      <w:r w:rsidR="00221689" w:rsidRPr="00221689">
        <w:rPr>
          <w:color w:val="000000"/>
        </w:rPr>
        <w:t>, Lady Black, Lord Lloyd-Jones, Lord Kitchin, Lord Sales</w:t>
      </w:r>
      <w:r w:rsidR="00221689">
        <w:rPr>
          <w:color w:val="000000"/>
        </w:rPr>
        <w:t xml:space="preserve"> and</w:t>
      </w:r>
      <w:r w:rsidR="00221689" w:rsidRPr="00221689">
        <w:rPr>
          <w:color w:val="000000"/>
        </w:rPr>
        <w:t xml:space="preserve"> Lord Stephens</w:t>
      </w:r>
    </w:p>
    <w:p w:rsidR="00221689" w:rsidRPr="002F4F7E" w:rsidRDefault="00221689" w:rsidP="004D3E8E">
      <w:pPr>
        <w:rPr>
          <w:lang w:eastAsia="en-AU"/>
        </w:rPr>
      </w:pPr>
    </w:p>
    <w:p w:rsidR="004D3E8E" w:rsidRPr="002F4F7E" w:rsidRDefault="004D3E8E" w:rsidP="004D3E8E">
      <w:pPr>
        <w:rPr>
          <w:b/>
          <w:lang w:eastAsia="en-AU"/>
        </w:rPr>
      </w:pPr>
      <w:r>
        <w:rPr>
          <w:b/>
          <w:lang w:eastAsia="en-AU"/>
        </w:rPr>
        <w:t>Catchwords:</w:t>
      </w:r>
    </w:p>
    <w:p w:rsidR="004D3E8E" w:rsidRPr="00856E9C" w:rsidRDefault="004D3E8E" w:rsidP="004D3E8E">
      <w:pPr>
        <w:rPr>
          <w:b/>
          <w:highlight w:val="yellow"/>
          <w:lang w:eastAsia="en-AU"/>
        </w:rPr>
      </w:pPr>
    </w:p>
    <w:p w:rsidR="004D3E8E" w:rsidRPr="00221689" w:rsidRDefault="00221689" w:rsidP="004D3E8E">
      <w:pPr>
        <w:ind w:left="720"/>
        <w:rPr>
          <w:lang w:eastAsia="en-AU"/>
        </w:rPr>
      </w:pPr>
      <w:r>
        <w:rPr>
          <w:lang w:eastAsia="en-AU"/>
        </w:rPr>
        <w:t>Human rights –</w:t>
      </w:r>
      <w:r w:rsidR="0088737A">
        <w:rPr>
          <w:lang w:eastAsia="en-AU"/>
        </w:rPr>
        <w:t xml:space="preserve"> R</w:t>
      </w:r>
      <w:r>
        <w:rPr>
          <w:lang w:eastAsia="en-AU"/>
        </w:rPr>
        <w:t>espect for priva</w:t>
      </w:r>
      <w:r w:rsidR="00A82750">
        <w:rPr>
          <w:lang w:eastAsia="en-AU"/>
        </w:rPr>
        <w:t>te</w:t>
      </w:r>
      <w:r>
        <w:rPr>
          <w:lang w:eastAsia="en-AU"/>
        </w:rPr>
        <w:t xml:space="preserve"> and family life – </w:t>
      </w:r>
      <w:r w:rsidR="0088737A">
        <w:rPr>
          <w:lang w:eastAsia="en-AU"/>
        </w:rPr>
        <w:t>Non-</w:t>
      </w:r>
      <w:r>
        <w:rPr>
          <w:lang w:eastAsia="en-AU"/>
        </w:rPr>
        <w:t xml:space="preserve">discrimination – Where ss 9(3A) and 9(3B) of </w:t>
      </w:r>
      <w:r>
        <w:rPr>
          <w:i/>
          <w:lang w:eastAsia="en-AU"/>
        </w:rPr>
        <w:t>Tax Credits Act 2002</w:t>
      </w:r>
      <w:r>
        <w:rPr>
          <w:lang w:eastAsia="en-AU"/>
        </w:rPr>
        <w:t xml:space="preserve"> provides for tax credits intended to support families with children but limits amount payable to two children unless exception a</w:t>
      </w:r>
      <w:r w:rsidR="005C5A84">
        <w:rPr>
          <w:lang w:eastAsia="en-AU"/>
        </w:rPr>
        <w:t>ppl</w:t>
      </w:r>
      <w:r>
        <w:rPr>
          <w:lang w:eastAsia="en-AU"/>
        </w:rPr>
        <w:t>ies – Where appellants allege two child limit violates art 8 (respect for priva</w:t>
      </w:r>
      <w:r w:rsidR="00A82750">
        <w:rPr>
          <w:lang w:eastAsia="en-AU"/>
        </w:rPr>
        <w:t>te</w:t>
      </w:r>
      <w:r>
        <w:rPr>
          <w:lang w:eastAsia="en-AU"/>
        </w:rPr>
        <w:t xml:space="preserve"> and family life) and art 14 (non-discrimination) of </w:t>
      </w:r>
      <w:r>
        <w:rPr>
          <w:i/>
          <w:lang w:eastAsia="en-AU"/>
        </w:rPr>
        <w:t xml:space="preserve">European Convention on Human Rights </w:t>
      </w:r>
      <w:r>
        <w:rPr>
          <w:lang w:eastAsia="en-AU"/>
        </w:rPr>
        <w:t>– Where High Court dismissed claim and Court of Appeals dismissed appeal – Whether two child limit breaches art 8 or 14 – If so, whether breach  proportionate</w:t>
      </w:r>
      <w:r w:rsidR="0088737A">
        <w:rPr>
          <w:lang w:eastAsia="en-AU"/>
        </w:rPr>
        <w:t xml:space="preserve"> and justified</w:t>
      </w:r>
      <w:r>
        <w:rPr>
          <w:lang w:eastAsia="en-AU"/>
        </w:rPr>
        <w:t xml:space="preserve">. </w:t>
      </w:r>
    </w:p>
    <w:p w:rsidR="004D3E8E" w:rsidRPr="00856E9C" w:rsidRDefault="004D3E8E" w:rsidP="004D3E8E">
      <w:pPr>
        <w:ind w:left="720"/>
        <w:rPr>
          <w:highlight w:val="yellow"/>
          <w:lang w:eastAsia="en-AU"/>
        </w:rPr>
      </w:pPr>
    </w:p>
    <w:p w:rsidR="004D3E8E" w:rsidRDefault="004D3E8E" w:rsidP="004D3E8E">
      <w:pPr>
        <w:rPr>
          <w:lang w:eastAsia="en-AU"/>
        </w:rPr>
      </w:pPr>
      <w:r w:rsidRPr="002F4F7E">
        <w:rPr>
          <w:b/>
          <w:lang w:eastAsia="en-AU"/>
        </w:rPr>
        <w:t>Held (</w:t>
      </w:r>
      <w:r w:rsidR="00221689">
        <w:rPr>
          <w:b/>
          <w:lang w:eastAsia="en-AU"/>
        </w:rPr>
        <w:t>7</w:t>
      </w:r>
      <w:r>
        <w:rPr>
          <w:b/>
          <w:lang w:eastAsia="en-AU"/>
        </w:rPr>
        <w:t>:0</w:t>
      </w:r>
      <w:r w:rsidRPr="002F4F7E">
        <w:rPr>
          <w:b/>
          <w:lang w:eastAsia="en-AU"/>
        </w:rPr>
        <w:t xml:space="preserve">): </w:t>
      </w:r>
      <w:r>
        <w:rPr>
          <w:lang w:eastAsia="en-AU"/>
        </w:rPr>
        <w:t xml:space="preserve">Appeal dismissed. </w:t>
      </w:r>
    </w:p>
    <w:p w:rsidR="00997FB3" w:rsidRDefault="00997FB3" w:rsidP="00997FB3">
      <w:pPr>
        <w:pStyle w:val="BullDivider2"/>
        <w:rPr>
          <w:rFonts w:cs="Arial"/>
          <w:highlight w:val="yellow"/>
        </w:rPr>
      </w:pPr>
    </w:p>
    <w:p w:rsidR="00997FB3" w:rsidRPr="00B546B2" w:rsidRDefault="00997FB3" w:rsidP="00997FB3">
      <w:pPr>
        <w:rPr>
          <w:highlight w:val="yellow"/>
        </w:rPr>
      </w:pPr>
    </w:p>
    <w:p w:rsidR="008C5839" w:rsidRDefault="008C5839" w:rsidP="008C5839">
      <w:pPr>
        <w:pStyle w:val="Heading1"/>
      </w:pPr>
      <w:r>
        <w:t>Industrial Law</w:t>
      </w:r>
    </w:p>
    <w:p w:rsidR="008C5839" w:rsidRDefault="008C5839" w:rsidP="008C5839"/>
    <w:p w:rsidR="008C5839" w:rsidRPr="002F4F7E" w:rsidRDefault="008C5839" w:rsidP="008C5839">
      <w:pPr>
        <w:pStyle w:val="Heading2"/>
      </w:pPr>
      <w:r>
        <w:t>Maroveke v Talane NO &amp; Ors</w:t>
      </w:r>
    </w:p>
    <w:p w:rsidR="008C5839" w:rsidRPr="002F4F7E" w:rsidRDefault="008C5839" w:rsidP="008C5839">
      <w:pPr>
        <w:rPr>
          <w:lang w:eastAsia="en-AU"/>
        </w:rPr>
      </w:pPr>
      <w:r>
        <w:rPr>
          <w:b/>
          <w:lang w:eastAsia="en-AU"/>
        </w:rPr>
        <w:t>Constitutional Court of South Africa</w:t>
      </w:r>
      <w:r w:rsidRPr="002F4F7E">
        <w:rPr>
          <w:b/>
          <w:lang w:eastAsia="en-AU"/>
        </w:rPr>
        <w:t xml:space="preserve">: </w:t>
      </w:r>
      <w:hyperlink r:id="rId32" w:history="1">
        <w:r w:rsidRPr="008C5839">
          <w:rPr>
            <w:rStyle w:val="Hyperlink"/>
            <w:lang w:eastAsia="en-AU"/>
          </w:rPr>
          <w:t>[2021] ZACC 20</w:t>
        </w:r>
      </w:hyperlink>
    </w:p>
    <w:p w:rsidR="008C5839" w:rsidRPr="002F4F7E" w:rsidRDefault="008C5839" w:rsidP="008C5839">
      <w:pPr>
        <w:rPr>
          <w:lang w:eastAsia="en-AU"/>
        </w:rPr>
      </w:pPr>
    </w:p>
    <w:p w:rsidR="008C5839" w:rsidRPr="002F4F7E" w:rsidRDefault="008C5839" w:rsidP="008C5839">
      <w:pPr>
        <w:rPr>
          <w:lang w:eastAsia="en-AU"/>
        </w:rPr>
      </w:pPr>
      <w:r w:rsidRPr="002F4F7E">
        <w:rPr>
          <w:b/>
          <w:lang w:eastAsia="en-AU"/>
        </w:rPr>
        <w:t>Judgment delivered:</w:t>
      </w:r>
      <w:r w:rsidRPr="002F4F7E">
        <w:rPr>
          <w:lang w:eastAsia="en-AU"/>
        </w:rPr>
        <w:t xml:space="preserve"> </w:t>
      </w:r>
      <w:r>
        <w:rPr>
          <w:lang w:eastAsia="en-AU"/>
        </w:rPr>
        <w:t>6 July 2021</w:t>
      </w:r>
    </w:p>
    <w:p w:rsidR="008C5839" w:rsidRPr="002F4F7E" w:rsidRDefault="008C5839" w:rsidP="008C5839">
      <w:pPr>
        <w:rPr>
          <w:lang w:eastAsia="en-AU"/>
        </w:rPr>
      </w:pPr>
    </w:p>
    <w:p w:rsidR="008C5839" w:rsidRPr="002F4F7E" w:rsidRDefault="008C5839" w:rsidP="008C5839">
      <w:pPr>
        <w:rPr>
          <w:lang w:eastAsia="en-AU"/>
        </w:rPr>
      </w:pPr>
      <w:r w:rsidRPr="002F4F7E">
        <w:rPr>
          <w:b/>
          <w:lang w:eastAsia="en-AU"/>
        </w:rPr>
        <w:t xml:space="preserve">Coram: </w:t>
      </w:r>
      <w:r w:rsidRPr="008C5839">
        <w:rPr>
          <w:color w:val="000000"/>
        </w:rPr>
        <w:t>Mogoeng CJ, Jafta, Khampepe, Madlanga, Majiedt, Mhlantla J</w:t>
      </w:r>
      <w:r>
        <w:rPr>
          <w:color w:val="000000"/>
        </w:rPr>
        <w:t>J</w:t>
      </w:r>
      <w:r w:rsidRPr="008C5839">
        <w:rPr>
          <w:color w:val="000000"/>
        </w:rPr>
        <w:t>, Pillay AJ, Theron and Tshiqi J</w:t>
      </w:r>
      <w:r>
        <w:rPr>
          <w:color w:val="000000"/>
        </w:rPr>
        <w:t>J</w:t>
      </w:r>
    </w:p>
    <w:p w:rsidR="008C5839" w:rsidRPr="002F4F7E" w:rsidRDefault="008C5839" w:rsidP="008C5839">
      <w:pPr>
        <w:rPr>
          <w:lang w:eastAsia="en-AU"/>
        </w:rPr>
      </w:pPr>
    </w:p>
    <w:p w:rsidR="008C5839" w:rsidRPr="002F4F7E" w:rsidRDefault="008C5839" w:rsidP="008C5839">
      <w:pPr>
        <w:rPr>
          <w:b/>
          <w:lang w:eastAsia="en-AU"/>
        </w:rPr>
      </w:pPr>
      <w:r>
        <w:rPr>
          <w:b/>
          <w:lang w:eastAsia="en-AU"/>
        </w:rPr>
        <w:t>Catchwords:</w:t>
      </w:r>
    </w:p>
    <w:p w:rsidR="008C5839" w:rsidRPr="00856E9C" w:rsidRDefault="008C5839" w:rsidP="008C5839">
      <w:pPr>
        <w:rPr>
          <w:b/>
          <w:highlight w:val="yellow"/>
          <w:lang w:eastAsia="en-AU"/>
        </w:rPr>
      </w:pPr>
    </w:p>
    <w:p w:rsidR="008C5839" w:rsidRDefault="008C5839" w:rsidP="008C5839">
      <w:pPr>
        <w:ind w:left="720"/>
        <w:rPr>
          <w:lang w:eastAsia="en-AU"/>
        </w:rPr>
      </w:pPr>
      <w:r>
        <w:rPr>
          <w:lang w:eastAsia="en-AU"/>
        </w:rPr>
        <w:t xml:space="preserve">Industrial law – Unfair dismissal – Quantification of back pay – Where applicant employee involved in accident while driving vehicle in mine – Where third respondent dismissed </w:t>
      </w:r>
      <w:r w:rsidR="005C5A84">
        <w:rPr>
          <w:lang w:eastAsia="en-AU"/>
        </w:rPr>
        <w:t xml:space="preserve">applicant </w:t>
      </w:r>
      <w:r>
        <w:rPr>
          <w:lang w:eastAsia="en-AU"/>
        </w:rPr>
        <w:t xml:space="preserve">on ground of misconduct – Where applicant found alternative employment at lesser pay two months after dismissal – Where applicant lodged unfair dismissal claim to Commission for Conciliation, Mediation and Arbitration – Where Commissioner determined applicant acted reasonably and dismissal unfair and awarded 12 months back pay – Where third respondent appealed to Labour Court on basis award gave applicant windfall – Where Labour Court allowed appeal and substituted award of 2 months back pay – Where Labour Appeal Court dismissed appeal – Where, on appeal to Constitutional Court, discovered discrepancy whereby Labour Court mistakenly recorded applicant’s salary lower than actual salary – Whether Commissioner applied correct test in quantification of back pay – Whether </w:t>
      </w:r>
      <w:r w:rsidR="002121B7">
        <w:rPr>
          <w:lang w:eastAsia="en-AU"/>
        </w:rPr>
        <w:t xml:space="preserve">Labour Court misdirected itself by relying on incorrect facts. </w:t>
      </w:r>
    </w:p>
    <w:p w:rsidR="008C5839" w:rsidRPr="00856E9C" w:rsidRDefault="008C5839" w:rsidP="008C5839">
      <w:pPr>
        <w:ind w:left="720"/>
        <w:rPr>
          <w:highlight w:val="yellow"/>
          <w:lang w:eastAsia="en-AU"/>
        </w:rPr>
      </w:pPr>
    </w:p>
    <w:p w:rsidR="008C5839" w:rsidRDefault="008C5839" w:rsidP="008C5839">
      <w:pPr>
        <w:rPr>
          <w:lang w:eastAsia="en-AU"/>
        </w:rPr>
      </w:pPr>
      <w:r w:rsidRPr="002F4F7E">
        <w:rPr>
          <w:b/>
          <w:lang w:eastAsia="en-AU"/>
        </w:rPr>
        <w:t>Held (</w:t>
      </w:r>
      <w:r>
        <w:rPr>
          <w:b/>
          <w:lang w:eastAsia="en-AU"/>
        </w:rPr>
        <w:t>9:0</w:t>
      </w:r>
      <w:r w:rsidRPr="002F4F7E">
        <w:rPr>
          <w:b/>
          <w:lang w:eastAsia="en-AU"/>
        </w:rPr>
        <w:t xml:space="preserve">): </w:t>
      </w:r>
      <w:r w:rsidR="002121B7">
        <w:rPr>
          <w:lang w:eastAsia="en-AU"/>
        </w:rPr>
        <w:t>Leave to appeal granted</w:t>
      </w:r>
      <w:r w:rsidR="00E53AF6">
        <w:rPr>
          <w:lang w:eastAsia="en-AU"/>
        </w:rPr>
        <w:t>;</w:t>
      </w:r>
      <w:r w:rsidR="002121B7">
        <w:rPr>
          <w:lang w:eastAsia="en-AU"/>
        </w:rPr>
        <w:t xml:space="preserve"> appeal allowed in part. </w:t>
      </w:r>
      <w:r>
        <w:rPr>
          <w:lang w:eastAsia="en-AU"/>
        </w:rPr>
        <w:t xml:space="preserve"> </w:t>
      </w:r>
    </w:p>
    <w:p w:rsidR="008C5839" w:rsidRDefault="008C5839" w:rsidP="008C5839">
      <w:pPr>
        <w:pStyle w:val="BullDivider2"/>
        <w:rPr>
          <w:rFonts w:cs="Arial"/>
          <w:highlight w:val="yellow"/>
        </w:rPr>
      </w:pPr>
    </w:p>
    <w:p w:rsidR="008C5839" w:rsidRPr="00B546B2" w:rsidRDefault="008C5839" w:rsidP="008C5839">
      <w:pPr>
        <w:rPr>
          <w:highlight w:val="yellow"/>
        </w:rPr>
      </w:pPr>
    </w:p>
    <w:p w:rsidR="00997FB3" w:rsidRDefault="00997FB3" w:rsidP="00997FB3">
      <w:pPr>
        <w:pStyle w:val="Heading1"/>
      </w:pPr>
      <w:r>
        <w:t>Intellectual Property</w:t>
      </w:r>
    </w:p>
    <w:p w:rsidR="00997FB3" w:rsidRDefault="00997FB3" w:rsidP="00997FB3"/>
    <w:p w:rsidR="00997FB3" w:rsidRPr="002F4F7E" w:rsidRDefault="00997FB3" w:rsidP="00997FB3">
      <w:pPr>
        <w:pStyle w:val="Heading2"/>
      </w:pPr>
      <w:r>
        <w:t>York University v Canadian Copyright Licensing Agency</w:t>
      </w:r>
    </w:p>
    <w:p w:rsidR="00997FB3" w:rsidRPr="002F4F7E" w:rsidRDefault="00997FB3" w:rsidP="00997FB3">
      <w:pPr>
        <w:rPr>
          <w:lang w:eastAsia="en-AU"/>
        </w:rPr>
      </w:pPr>
      <w:r>
        <w:rPr>
          <w:b/>
          <w:lang w:eastAsia="en-AU"/>
        </w:rPr>
        <w:t>Supreme Court of Canada</w:t>
      </w:r>
      <w:r w:rsidRPr="002F4F7E">
        <w:rPr>
          <w:b/>
          <w:lang w:eastAsia="en-AU"/>
        </w:rPr>
        <w:t xml:space="preserve">: </w:t>
      </w:r>
      <w:hyperlink r:id="rId33" w:history="1">
        <w:r w:rsidRPr="00CA6AB8">
          <w:rPr>
            <w:rStyle w:val="Hyperlink"/>
            <w:lang w:eastAsia="en-AU"/>
          </w:rPr>
          <w:t xml:space="preserve">[2021] SCC </w:t>
        </w:r>
        <w:r>
          <w:rPr>
            <w:rStyle w:val="Hyperlink"/>
            <w:lang w:eastAsia="en-AU"/>
          </w:rPr>
          <w:t>32</w:t>
        </w:r>
      </w:hyperlink>
    </w:p>
    <w:p w:rsidR="00997FB3" w:rsidRPr="002F4F7E" w:rsidRDefault="00997FB3" w:rsidP="00997FB3">
      <w:pPr>
        <w:rPr>
          <w:lang w:eastAsia="en-AU"/>
        </w:rPr>
      </w:pPr>
    </w:p>
    <w:p w:rsidR="00997FB3" w:rsidRPr="002F4F7E" w:rsidRDefault="00997FB3" w:rsidP="00997FB3">
      <w:pPr>
        <w:rPr>
          <w:lang w:eastAsia="en-AU"/>
        </w:rPr>
      </w:pPr>
      <w:r w:rsidRPr="002F4F7E">
        <w:rPr>
          <w:b/>
          <w:lang w:eastAsia="en-AU"/>
        </w:rPr>
        <w:t>Judgment delivered:</w:t>
      </w:r>
      <w:r w:rsidRPr="002F4F7E">
        <w:rPr>
          <w:lang w:eastAsia="en-AU"/>
        </w:rPr>
        <w:t xml:space="preserve"> </w:t>
      </w:r>
      <w:r>
        <w:rPr>
          <w:lang w:eastAsia="en-AU"/>
        </w:rPr>
        <w:t>30 July 2021</w:t>
      </w:r>
    </w:p>
    <w:p w:rsidR="00997FB3" w:rsidRPr="002F4F7E" w:rsidRDefault="00997FB3" w:rsidP="00997FB3">
      <w:pPr>
        <w:rPr>
          <w:lang w:eastAsia="en-AU"/>
        </w:rPr>
      </w:pPr>
    </w:p>
    <w:p w:rsidR="00997FB3" w:rsidRPr="002F4F7E" w:rsidRDefault="00997FB3" w:rsidP="00997FB3">
      <w:pPr>
        <w:rPr>
          <w:lang w:eastAsia="en-AU"/>
        </w:rPr>
      </w:pPr>
      <w:r w:rsidRPr="002F4F7E">
        <w:rPr>
          <w:b/>
          <w:lang w:eastAsia="en-AU"/>
        </w:rPr>
        <w:t xml:space="preserve">Coram: </w:t>
      </w:r>
      <w:r>
        <w:rPr>
          <w:color w:val="000000"/>
        </w:rPr>
        <w:t>Wagner CJ, Abella, Moldaver, Karakatsanis, Côté, Brown, Rowe, Martin and Kasirer JJ</w:t>
      </w:r>
    </w:p>
    <w:p w:rsidR="00997FB3" w:rsidRPr="002F4F7E" w:rsidRDefault="00997FB3" w:rsidP="00997FB3">
      <w:pPr>
        <w:rPr>
          <w:lang w:eastAsia="en-AU"/>
        </w:rPr>
      </w:pPr>
    </w:p>
    <w:p w:rsidR="00997FB3" w:rsidRPr="002F4F7E" w:rsidRDefault="00997FB3" w:rsidP="00997FB3">
      <w:pPr>
        <w:rPr>
          <w:b/>
          <w:lang w:eastAsia="en-AU"/>
        </w:rPr>
      </w:pPr>
      <w:r>
        <w:rPr>
          <w:b/>
          <w:lang w:eastAsia="en-AU"/>
        </w:rPr>
        <w:t>Catchwords:</w:t>
      </w:r>
    </w:p>
    <w:p w:rsidR="00997FB3" w:rsidRPr="00856E9C" w:rsidRDefault="00997FB3" w:rsidP="00997FB3">
      <w:pPr>
        <w:rPr>
          <w:b/>
          <w:highlight w:val="yellow"/>
          <w:lang w:eastAsia="en-AU"/>
        </w:rPr>
      </w:pPr>
    </w:p>
    <w:p w:rsidR="00997FB3" w:rsidRDefault="00997FB3" w:rsidP="00997FB3">
      <w:pPr>
        <w:ind w:left="720"/>
        <w:rPr>
          <w:lang w:eastAsia="en-AU"/>
        </w:rPr>
      </w:pPr>
      <w:r w:rsidRPr="00997FB3">
        <w:rPr>
          <w:lang w:eastAsia="en-AU"/>
        </w:rPr>
        <w:t xml:space="preserve">Intellectual property — Copyright — Tariffs — Enforcement — Fair dealing — Declaratory relief — </w:t>
      </w:r>
      <w:r>
        <w:rPr>
          <w:lang w:eastAsia="en-AU"/>
        </w:rPr>
        <w:t>Where c</w:t>
      </w:r>
      <w:r w:rsidRPr="00997FB3">
        <w:rPr>
          <w:lang w:eastAsia="en-AU"/>
        </w:rPr>
        <w:t>ollective society obtain</w:t>
      </w:r>
      <w:r>
        <w:rPr>
          <w:lang w:eastAsia="en-AU"/>
        </w:rPr>
        <w:t>ed</w:t>
      </w:r>
      <w:r w:rsidRPr="00997FB3">
        <w:rPr>
          <w:lang w:eastAsia="en-AU"/>
        </w:rPr>
        <w:t xml:space="preserve"> certification of interim tariff for post</w:t>
      </w:r>
      <w:r w:rsidRPr="00997FB3">
        <w:rPr>
          <w:rFonts w:ascii="Cambria Math" w:hAnsi="Cambria Math" w:cs="Cambria Math"/>
          <w:lang w:eastAsia="en-AU"/>
        </w:rPr>
        <w:t>‑</w:t>
      </w:r>
      <w:r w:rsidRPr="00997FB3">
        <w:rPr>
          <w:lang w:eastAsia="en-AU"/>
        </w:rPr>
        <w:t xml:space="preserve">secondary educational institutions </w:t>
      </w:r>
      <w:r w:rsidRPr="00997FB3">
        <w:rPr>
          <w:rFonts w:cs="Verdana"/>
          <w:lang w:eastAsia="en-AU"/>
        </w:rPr>
        <w:t>—</w:t>
      </w:r>
      <w:r w:rsidRPr="00997FB3">
        <w:rPr>
          <w:lang w:eastAsia="en-AU"/>
        </w:rPr>
        <w:t xml:space="preserve"> </w:t>
      </w:r>
      <w:r>
        <w:rPr>
          <w:lang w:eastAsia="en-AU"/>
        </w:rPr>
        <w:t>Where u</w:t>
      </w:r>
      <w:r w:rsidRPr="00997FB3">
        <w:rPr>
          <w:lang w:eastAsia="en-AU"/>
        </w:rPr>
        <w:t>niversity refus</w:t>
      </w:r>
      <w:r>
        <w:rPr>
          <w:lang w:eastAsia="en-AU"/>
        </w:rPr>
        <w:t>ed</w:t>
      </w:r>
      <w:r w:rsidRPr="00997FB3">
        <w:rPr>
          <w:lang w:eastAsia="en-AU"/>
        </w:rPr>
        <w:t xml:space="preserve"> to pay royalties under interim tariff for its copying </w:t>
      </w:r>
      <w:r w:rsidRPr="00997FB3">
        <w:rPr>
          <w:lang w:eastAsia="en-AU"/>
        </w:rPr>
        <w:lastRenderedPageBreak/>
        <w:t xml:space="preserve">activities — </w:t>
      </w:r>
      <w:r>
        <w:rPr>
          <w:lang w:eastAsia="en-AU"/>
        </w:rPr>
        <w:t>Where c</w:t>
      </w:r>
      <w:r w:rsidRPr="00997FB3">
        <w:rPr>
          <w:lang w:eastAsia="en-AU"/>
        </w:rPr>
        <w:t>ollective society br</w:t>
      </w:r>
      <w:r>
        <w:rPr>
          <w:lang w:eastAsia="en-AU"/>
        </w:rPr>
        <w:t>ought</w:t>
      </w:r>
      <w:r w:rsidRPr="00997FB3">
        <w:rPr>
          <w:lang w:eastAsia="en-AU"/>
        </w:rPr>
        <w:t xml:space="preserve"> enforcement action — </w:t>
      </w:r>
      <w:r>
        <w:rPr>
          <w:lang w:eastAsia="en-AU"/>
        </w:rPr>
        <w:t>Where u</w:t>
      </w:r>
      <w:r w:rsidRPr="00997FB3">
        <w:rPr>
          <w:lang w:eastAsia="en-AU"/>
        </w:rPr>
        <w:t>niversity br</w:t>
      </w:r>
      <w:r>
        <w:rPr>
          <w:lang w:eastAsia="en-AU"/>
        </w:rPr>
        <w:t>ought</w:t>
      </w:r>
      <w:r w:rsidRPr="00997FB3">
        <w:rPr>
          <w:lang w:eastAsia="en-AU"/>
        </w:rPr>
        <w:t xml:space="preserve"> counterclaim seeking declaration that copying conducted within its fair dealing guidelines protected by fair dealing rights — Whether collective society can enforce royalty payments set out in tariff against user who chooses not to be bound by licence on the approved terms — Whether declaratory relief sought by university should be granted — </w:t>
      </w:r>
      <w:r w:rsidRPr="00997FB3">
        <w:rPr>
          <w:i/>
          <w:lang w:eastAsia="en-AU"/>
        </w:rPr>
        <w:t>Copyright Act,</w:t>
      </w:r>
      <w:r w:rsidRPr="00997FB3">
        <w:rPr>
          <w:lang w:eastAsia="en-AU"/>
        </w:rPr>
        <w:t xml:space="preserve"> RSC 1985, c C</w:t>
      </w:r>
      <w:r w:rsidRPr="00997FB3">
        <w:rPr>
          <w:rFonts w:ascii="Cambria Math" w:hAnsi="Cambria Math" w:cs="Cambria Math"/>
          <w:lang w:eastAsia="en-AU"/>
        </w:rPr>
        <w:t>‑</w:t>
      </w:r>
      <w:r w:rsidRPr="00997FB3">
        <w:rPr>
          <w:lang w:eastAsia="en-AU"/>
        </w:rPr>
        <w:t>42, ss. 29, 68.2(1).</w:t>
      </w:r>
    </w:p>
    <w:p w:rsidR="00997FB3" w:rsidRPr="00856E9C" w:rsidRDefault="00997FB3" w:rsidP="00997FB3">
      <w:pPr>
        <w:ind w:left="720"/>
        <w:rPr>
          <w:highlight w:val="yellow"/>
          <w:lang w:eastAsia="en-AU"/>
        </w:rPr>
      </w:pPr>
    </w:p>
    <w:p w:rsidR="00997FB3" w:rsidRDefault="00997FB3" w:rsidP="00997FB3">
      <w:pPr>
        <w:rPr>
          <w:lang w:eastAsia="en-AU"/>
        </w:rPr>
      </w:pPr>
      <w:r w:rsidRPr="002F4F7E">
        <w:rPr>
          <w:b/>
          <w:lang w:eastAsia="en-AU"/>
        </w:rPr>
        <w:t>Held (</w:t>
      </w:r>
      <w:r>
        <w:rPr>
          <w:b/>
          <w:lang w:eastAsia="en-AU"/>
        </w:rPr>
        <w:t>9:0</w:t>
      </w:r>
      <w:r w:rsidRPr="002F4F7E">
        <w:rPr>
          <w:b/>
          <w:lang w:eastAsia="en-AU"/>
        </w:rPr>
        <w:t xml:space="preserve">): </w:t>
      </w:r>
      <w:r>
        <w:rPr>
          <w:lang w:eastAsia="en-AU"/>
        </w:rPr>
        <w:t xml:space="preserve">Appeals dismissed. </w:t>
      </w:r>
    </w:p>
    <w:p w:rsidR="00E21B6A" w:rsidRDefault="00E21B6A" w:rsidP="00E21B6A">
      <w:pPr>
        <w:pStyle w:val="BullDivider2"/>
        <w:rPr>
          <w:rFonts w:cs="Arial"/>
          <w:highlight w:val="yellow"/>
        </w:rPr>
      </w:pPr>
    </w:p>
    <w:p w:rsidR="00E21B6A" w:rsidRPr="00B546B2" w:rsidRDefault="00E21B6A" w:rsidP="00E21B6A">
      <w:pPr>
        <w:rPr>
          <w:highlight w:val="yellow"/>
        </w:rPr>
      </w:pPr>
    </w:p>
    <w:p w:rsidR="00E21B6A" w:rsidRDefault="00E21B6A" w:rsidP="00E21B6A">
      <w:pPr>
        <w:pStyle w:val="Heading1"/>
      </w:pPr>
      <w:r>
        <w:t>Legal Profession</w:t>
      </w:r>
    </w:p>
    <w:p w:rsidR="00E21B6A" w:rsidRDefault="00E21B6A" w:rsidP="00E21B6A"/>
    <w:p w:rsidR="00E21B6A" w:rsidRPr="002F4F7E" w:rsidRDefault="00E21B6A" w:rsidP="00E21B6A">
      <w:pPr>
        <w:pStyle w:val="Heading2"/>
      </w:pPr>
      <w:r>
        <w:t xml:space="preserve">Harcus Sinclair LLP &amp; Anor v Your Lawyers Ltd </w:t>
      </w:r>
    </w:p>
    <w:p w:rsidR="00E21B6A" w:rsidRPr="002F4F7E" w:rsidRDefault="00E21B6A" w:rsidP="00E21B6A">
      <w:pPr>
        <w:rPr>
          <w:lang w:eastAsia="en-AU"/>
        </w:rPr>
      </w:pPr>
      <w:r>
        <w:rPr>
          <w:b/>
          <w:lang w:eastAsia="en-AU"/>
        </w:rPr>
        <w:t>Supreme Court of the United Kingdom</w:t>
      </w:r>
      <w:r w:rsidRPr="002F4F7E">
        <w:rPr>
          <w:b/>
          <w:lang w:eastAsia="en-AU"/>
        </w:rPr>
        <w:t xml:space="preserve">: </w:t>
      </w:r>
      <w:hyperlink r:id="rId34" w:history="1">
        <w:r w:rsidRPr="00E21B6A">
          <w:rPr>
            <w:rStyle w:val="Hyperlink"/>
            <w:lang w:eastAsia="en-AU"/>
          </w:rPr>
          <w:t>[2021] UKSC 32</w:t>
        </w:r>
      </w:hyperlink>
    </w:p>
    <w:p w:rsidR="00E21B6A" w:rsidRPr="002F4F7E" w:rsidRDefault="00E21B6A" w:rsidP="00E21B6A">
      <w:pPr>
        <w:rPr>
          <w:lang w:eastAsia="en-AU"/>
        </w:rPr>
      </w:pPr>
    </w:p>
    <w:p w:rsidR="00E21B6A" w:rsidRPr="002F4F7E" w:rsidRDefault="00E21B6A" w:rsidP="00E21B6A">
      <w:pPr>
        <w:rPr>
          <w:lang w:eastAsia="en-AU"/>
        </w:rPr>
      </w:pPr>
      <w:r w:rsidRPr="002F4F7E">
        <w:rPr>
          <w:b/>
          <w:lang w:eastAsia="en-AU"/>
        </w:rPr>
        <w:t>Judgment delivered:</w:t>
      </w:r>
      <w:r w:rsidRPr="002F4F7E">
        <w:rPr>
          <w:lang w:eastAsia="en-AU"/>
        </w:rPr>
        <w:t xml:space="preserve"> </w:t>
      </w:r>
      <w:r>
        <w:rPr>
          <w:lang w:eastAsia="en-AU"/>
        </w:rPr>
        <w:t>23 July 2021</w:t>
      </w:r>
    </w:p>
    <w:p w:rsidR="00E21B6A" w:rsidRPr="002F4F7E" w:rsidRDefault="00E21B6A" w:rsidP="00E21B6A">
      <w:pPr>
        <w:rPr>
          <w:lang w:eastAsia="en-AU"/>
        </w:rPr>
      </w:pPr>
    </w:p>
    <w:p w:rsidR="00E21B6A" w:rsidRPr="002F4F7E" w:rsidRDefault="00E21B6A" w:rsidP="00E21B6A">
      <w:pPr>
        <w:rPr>
          <w:lang w:eastAsia="en-AU"/>
        </w:rPr>
      </w:pPr>
      <w:r w:rsidRPr="002F4F7E">
        <w:rPr>
          <w:b/>
          <w:lang w:eastAsia="en-AU"/>
        </w:rPr>
        <w:t xml:space="preserve">Coram: </w:t>
      </w:r>
      <w:r>
        <w:rPr>
          <w:color w:val="000000"/>
        </w:rPr>
        <w:t>Lord Lloyd-Jones, Lord Briggs, Lady Arden, Lord Hamblen and Lord Burrows</w:t>
      </w:r>
    </w:p>
    <w:p w:rsidR="00E21B6A" w:rsidRPr="002F4F7E" w:rsidRDefault="00E21B6A" w:rsidP="00E21B6A">
      <w:pPr>
        <w:rPr>
          <w:lang w:eastAsia="en-AU"/>
        </w:rPr>
      </w:pPr>
    </w:p>
    <w:p w:rsidR="00E21B6A" w:rsidRPr="002F4F7E" w:rsidRDefault="00E21B6A" w:rsidP="00E21B6A">
      <w:pPr>
        <w:rPr>
          <w:b/>
          <w:lang w:eastAsia="en-AU"/>
        </w:rPr>
      </w:pPr>
      <w:r>
        <w:rPr>
          <w:b/>
          <w:lang w:eastAsia="en-AU"/>
        </w:rPr>
        <w:t>Catchwords:</w:t>
      </w:r>
    </w:p>
    <w:p w:rsidR="00E21B6A" w:rsidRPr="00856E9C" w:rsidRDefault="00E21B6A" w:rsidP="00E21B6A">
      <w:pPr>
        <w:rPr>
          <w:b/>
          <w:highlight w:val="yellow"/>
          <w:lang w:eastAsia="en-AU"/>
        </w:rPr>
      </w:pPr>
    </w:p>
    <w:p w:rsidR="00E21B6A" w:rsidRDefault="00E21B6A" w:rsidP="00E21B6A">
      <w:pPr>
        <w:ind w:left="720"/>
        <w:rPr>
          <w:lang w:eastAsia="en-AU"/>
        </w:rPr>
      </w:pPr>
      <w:r>
        <w:rPr>
          <w:lang w:eastAsia="en-AU"/>
        </w:rPr>
        <w:t xml:space="preserve">Legal profession – Inherent supervisory jurisdiction – Solicitor’s undertakings – Where appellant intended to collaborate with respondent in respect of potential group litigation order in certain litigation – Where respondent signed non-disclosure agreement, including non-compete clause where respondent agreed not to accept instructions or act on behalf of any other group of claimants in relation to same litigation – Where respondent recruited claimants for own group action and agreed to collaborate with separate law firm – Where appellants sought injunction based on non-compete clause – Where High Court granted injunction and Court of Appeal allowed respondent’s appeal – Whether non-complete clause solicitor’s undertaking – If so, whether High Court has inherent supervisory jurisdiction – If so, whether undertaking unenforceable due to public policy under doctrine of restraint of trade. </w:t>
      </w:r>
    </w:p>
    <w:p w:rsidR="00E21B6A" w:rsidRDefault="00E21B6A" w:rsidP="00E21B6A">
      <w:pPr>
        <w:ind w:left="720"/>
        <w:rPr>
          <w:lang w:eastAsia="en-AU"/>
        </w:rPr>
      </w:pPr>
    </w:p>
    <w:p w:rsidR="00E21B6A" w:rsidRDefault="00E21B6A" w:rsidP="00E21B6A">
      <w:pPr>
        <w:ind w:left="720"/>
        <w:rPr>
          <w:lang w:eastAsia="en-AU"/>
        </w:rPr>
      </w:pPr>
      <w:r>
        <w:rPr>
          <w:lang w:eastAsia="en-AU"/>
        </w:rPr>
        <w:t>Contracts – Unenforceability – Restraint of trade – Whether non-compete clause unenforceable due to restraint of trade.</w:t>
      </w:r>
    </w:p>
    <w:p w:rsidR="00E21B6A" w:rsidRPr="00856E9C" w:rsidRDefault="00E21B6A" w:rsidP="00E21B6A">
      <w:pPr>
        <w:ind w:left="720"/>
        <w:rPr>
          <w:highlight w:val="yellow"/>
          <w:lang w:eastAsia="en-AU"/>
        </w:rPr>
      </w:pPr>
    </w:p>
    <w:p w:rsidR="00E21B6A" w:rsidRDefault="00E21B6A" w:rsidP="00E21B6A">
      <w:pPr>
        <w:rPr>
          <w:lang w:eastAsia="en-AU"/>
        </w:rPr>
      </w:pPr>
      <w:r w:rsidRPr="002F4F7E">
        <w:rPr>
          <w:b/>
          <w:lang w:eastAsia="en-AU"/>
        </w:rPr>
        <w:t>Held (</w:t>
      </w:r>
      <w:r>
        <w:rPr>
          <w:b/>
          <w:lang w:eastAsia="en-AU"/>
        </w:rPr>
        <w:t>5:0</w:t>
      </w:r>
      <w:r w:rsidRPr="002F4F7E">
        <w:rPr>
          <w:b/>
          <w:lang w:eastAsia="en-AU"/>
        </w:rPr>
        <w:t xml:space="preserve">): </w:t>
      </w:r>
      <w:r>
        <w:rPr>
          <w:lang w:eastAsia="en-AU"/>
        </w:rPr>
        <w:t>Appeal allowed.</w:t>
      </w:r>
    </w:p>
    <w:p w:rsidR="002549A2" w:rsidRDefault="002549A2" w:rsidP="002549A2">
      <w:pPr>
        <w:pStyle w:val="BullDivider2"/>
        <w:rPr>
          <w:rFonts w:cs="Arial"/>
          <w:highlight w:val="yellow"/>
        </w:rPr>
      </w:pPr>
    </w:p>
    <w:p w:rsidR="002549A2" w:rsidRPr="00B546B2" w:rsidRDefault="002549A2" w:rsidP="002549A2">
      <w:pPr>
        <w:rPr>
          <w:highlight w:val="yellow"/>
        </w:rPr>
      </w:pPr>
    </w:p>
    <w:p w:rsidR="002549A2" w:rsidRDefault="002549A2" w:rsidP="002549A2">
      <w:pPr>
        <w:pStyle w:val="Heading1"/>
      </w:pPr>
      <w:r>
        <w:t>Practice and Procedure</w:t>
      </w:r>
    </w:p>
    <w:p w:rsidR="002549A2" w:rsidRDefault="002549A2" w:rsidP="002549A2"/>
    <w:p w:rsidR="00297DFE" w:rsidRPr="002F4F7E" w:rsidRDefault="00297DFE" w:rsidP="00297DFE">
      <w:pPr>
        <w:pStyle w:val="Heading2"/>
      </w:pPr>
      <w:r>
        <w:t>CPRE Kent v Secretary of State for Communities and Local Government</w:t>
      </w:r>
    </w:p>
    <w:p w:rsidR="00297DFE" w:rsidRPr="002F4F7E" w:rsidRDefault="00297DFE" w:rsidP="00297DFE">
      <w:pPr>
        <w:rPr>
          <w:lang w:eastAsia="en-AU"/>
        </w:rPr>
      </w:pPr>
      <w:r>
        <w:rPr>
          <w:b/>
          <w:lang w:eastAsia="en-AU"/>
        </w:rPr>
        <w:t>Supreme Court of the United Kingdom</w:t>
      </w:r>
      <w:r w:rsidRPr="002F4F7E">
        <w:rPr>
          <w:b/>
          <w:lang w:eastAsia="en-AU"/>
        </w:rPr>
        <w:t xml:space="preserve">: </w:t>
      </w:r>
      <w:hyperlink r:id="rId35" w:history="1">
        <w:r w:rsidRPr="00297DFE">
          <w:rPr>
            <w:rStyle w:val="Hyperlink"/>
            <w:lang w:eastAsia="en-AU"/>
          </w:rPr>
          <w:t>[2021] UKSC 36</w:t>
        </w:r>
      </w:hyperlink>
    </w:p>
    <w:p w:rsidR="00297DFE" w:rsidRPr="002F4F7E" w:rsidRDefault="00297DFE" w:rsidP="00297DFE">
      <w:pPr>
        <w:rPr>
          <w:lang w:eastAsia="en-AU"/>
        </w:rPr>
      </w:pPr>
    </w:p>
    <w:p w:rsidR="00297DFE" w:rsidRPr="002F4F7E" w:rsidRDefault="00297DFE" w:rsidP="00297DFE">
      <w:pPr>
        <w:rPr>
          <w:lang w:eastAsia="en-AU"/>
        </w:rPr>
      </w:pPr>
      <w:r w:rsidRPr="002F4F7E">
        <w:rPr>
          <w:b/>
          <w:lang w:eastAsia="en-AU"/>
        </w:rPr>
        <w:t>Judgment delivered:</w:t>
      </w:r>
      <w:r w:rsidRPr="002F4F7E">
        <w:rPr>
          <w:lang w:eastAsia="en-AU"/>
        </w:rPr>
        <w:t xml:space="preserve"> </w:t>
      </w:r>
      <w:r>
        <w:rPr>
          <w:lang w:eastAsia="en-AU"/>
        </w:rPr>
        <w:t>30 July 2021</w:t>
      </w:r>
    </w:p>
    <w:p w:rsidR="00297DFE" w:rsidRPr="002F4F7E" w:rsidRDefault="00297DFE" w:rsidP="00297DFE">
      <w:pPr>
        <w:rPr>
          <w:lang w:eastAsia="en-AU"/>
        </w:rPr>
      </w:pPr>
    </w:p>
    <w:p w:rsidR="00297DFE" w:rsidRPr="002F4F7E" w:rsidRDefault="00297DFE" w:rsidP="00297DFE">
      <w:pPr>
        <w:rPr>
          <w:lang w:eastAsia="en-AU"/>
        </w:rPr>
      </w:pPr>
      <w:r w:rsidRPr="002F4F7E">
        <w:rPr>
          <w:b/>
          <w:lang w:eastAsia="en-AU"/>
        </w:rPr>
        <w:t xml:space="preserve">Coram: </w:t>
      </w:r>
      <w:r w:rsidRPr="0088737A">
        <w:rPr>
          <w:lang w:eastAsia="en-AU"/>
        </w:rPr>
        <w:t xml:space="preserve">Lord </w:t>
      </w:r>
      <w:r>
        <w:rPr>
          <w:lang w:eastAsia="en-AU"/>
        </w:rPr>
        <w:t>Reed, Lord Hodge, Lord Lloyd-Jones, Lord Leggatt, Lord Burrows</w:t>
      </w:r>
    </w:p>
    <w:p w:rsidR="00297DFE" w:rsidRPr="002F4F7E" w:rsidRDefault="00297DFE" w:rsidP="00297DFE">
      <w:pPr>
        <w:rPr>
          <w:lang w:eastAsia="en-AU"/>
        </w:rPr>
      </w:pPr>
    </w:p>
    <w:p w:rsidR="00297DFE" w:rsidRPr="002F4F7E" w:rsidRDefault="00297DFE" w:rsidP="00297DFE">
      <w:pPr>
        <w:rPr>
          <w:b/>
          <w:lang w:eastAsia="en-AU"/>
        </w:rPr>
      </w:pPr>
      <w:r>
        <w:rPr>
          <w:b/>
          <w:lang w:eastAsia="en-AU"/>
        </w:rPr>
        <w:t>Catchwords:</w:t>
      </w:r>
    </w:p>
    <w:p w:rsidR="00297DFE" w:rsidRPr="00856E9C" w:rsidRDefault="00297DFE" w:rsidP="00297DFE">
      <w:pPr>
        <w:rPr>
          <w:b/>
          <w:highlight w:val="yellow"/>
          <w:lang w:eastAsia="en-AU"/>
        </w:rPr>
      </w:pPr>
    </w:p>
    <w:p w:rsidR="00297DFE" w:rsidRPr="0088737A" w:rsidRDefault="00297DFE" w:rsidP="00297DFE">
      <w:pPr>
        <w:ind w:left="720"/>
        <w:rPr>
          <w:lang w:eastAsia="en-AU"/>
        </w:rPr>
      </w:pPr>
      <w:r>
        <w:rPr>
          <w:lang w:eastAsia="en-AU"/>
        </w:rPr>
        <w:t xml:space="preserve">Practice and procedure – Costs – Statutory review – Where appellants filed claim for statutory review challenging adoption of policy allowing development at particular site – Where appellant served claim to Secretary as first defendant, local council as second defendant and developer as interested party – Where judge refused permission for appellant’s claim – Where judge made costs order in favour of each defendant and interested party – Where Court of Appeal dismissed appeal on costs – Whether claimant in statutory review unsuccessful at permission stage liable for costs of multiple parties, including interest parties. </w:t>
      </w:r>
    </w:p>
    <w:p w:rsidR="00297DFE" w:rsidRPr="00856E9C" w:rsidRDefault="00297DFE" w:rsidP="00297DFE">
      <w:pPr>
        <w:ind w:left="720"/>
        <w:rPr>
          <w:highlight w:val="yellow"/>
          <w:lang w:eastAsia="en-AU"/>
        </w:rPr>
      </w:pPr>
    </w:p>
    <w:p w:rsidR="00297DFE" w:rsidRPr="000D3E8D" w:rsidRDefault="00297DFE" w:rsidP="00297DFE">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dismissed. </w:t>
      </w:r>
    </w:p>
    <w:p w:rsidR="00297DFE" w:rsidRPr="00181993" w:rsidRDefault="00297DFE" w:rsidP="00297DFE">
      <w:pPr>
        <w:pStyle w:val="BullDivider1"/>
        <w:pBdr>
          <w:bottom w:val="dotted" w:sz="4" w:space="0" w:color="auto"/>
        </w:pBdr>
      </w:pPr>
    </w:p>
    <w:p w:rsidR="00297DFE" w:rsidRDefault="00297DFE" w:rsidP="00297DFE"/>
    <w:p w:rsidR="002549A2" w:rsidRPr="002F4F7E" w:rsidRDefault="002549A2" w:rsidP="002549A2">
      <w:pPr>
        <w:pStyle w:val="Heading2"/>
      </w:pPr>
      <w:r>
        <w:t>Grant Thornton LLP v New Brunswick</w:t>
      </w:r>
    </w:p>
    <w:p w:rsidR="002549A2" w:rsidRPr="002F4F7E" w:rsidRDefault="002549A2" w:rsidP="002549A2">
      <w:pPr>
        <w:rPr>
          <w:lang w:eastAsia="en-AU"/>
        </w:rPr>
      </w:pPr>
      <w:r>
        <w:rPr>
          <w:b/>
          <w:lang w:eastAsia="en-AU"/>
        </w:rPr>
        <w:t>Supreme Court of Canada</w:t>
      </w:r>
      <w:r w:rsidRPr="002F4F7E">
        <w:rPr>
          <w:b/>
          <w:lang w:eastAsia="en-AU"/>
        </w:rPr>
        <w:t xml:space="preserve">: </w:t>
      </w:r>
      <w:hyperlink r:id="rId36" w:history="1">
        <w:r w:rsidRPr="00CA6AB8">
          <w:rPr>
            <w:rStyle w:val="Hyperlink"/>
            <w:lang w:eastAsia="en-AU"/>
          </w:rPr>
          <w:t>[2021] SCC</w:t>
        </w:r>
        <w:r>
          <w:rPr>
            <w:rStyle w:val="Hyperlink"/>
            <w:lang w:eastAsia="en-AU"/>
          </w:rPr>
          <w:t xml:space="preserve"> 31</w:t>
        </w:r>
      </w:hyperlink>
    </w:p>
    <w:p w:rsidR="002549A2" w:rsidRPr="002F4F7E" w:rsidRDefault="002549A2" w:rsidP="002549A2">
      <w:pPr>
        <w:rPr>
          <w:lang w:eastAsia="en-AU"/>
        </w:rPr>
      </w:pPr>
    </w:p>
    <w:p w:rsidR="002549A2" w:rsidRPr="002F4F7E" w:rsidRDefault="002549A2" w:rsidP="002549A2">
      <w:pPr>
        <w:rPr>
          <w:lang w:eastAsia="en-AU"/>
        </w:rPr>
      </w:pPr>
      <w:r w:rsidRPr="002F4F7E">
        <w:rPr>
          <w:b/>
          <w:lang w:eastAsia="en-AU"/>
        </w:rPr>
        <w:t>Judgment delivered:</w:t>
      </w:r>
      <w:r w:rsidRPr="002F4F7E">
        <w:rPr>
          <w:lang w:eastAsia="en-AU"/>
        </w:rPr>
        <w:t xml:space="preserve"> </w:t>
      </w:r>
      <w:r>
        <w:rPr>
          <w:lang w:eastAsia="en-AU"/>
        </w:rPr>
        <w:t>29 July 2021</w:t>
      </w:r>
    </w:p>
    <w:p w:rsidR="002549A2" w:rsidRPr="002F4F7E" w:rsidRDefault="002549A2" w:rsidP="002549A2">
      <w:pPr>
        <w:rPr>
          <w:lang w:eastAsia="en-AU"/>
        </w:rPr>
      </w:pPr>
    </w:p>
    <w:p w:rsidR="002549A2" w:rsidRPr="002F4F7E" w:rsidRDefault="002549A2" w:rsidP="002549A2">
      <w:pPr>
        <w:rPr>
          <w:lang w:eastAsia="en-AU"/>
        </w:rPr>
      </w:pPr>
      <w:r w:rsidRPr="002F4F7E">
        <w:rPr>
          <w:b/>
          <w:lang w:eastAsia="en-AU"/>
        </w:rPr>
        <w:t xml:space="preserve">Coram: </w:t>
      </w:r>
      <w:r>
        <w:rPr>
          <w:color w:val="000000"/>
        </w:rPr>
        <w:t>Moldaver, Karakatsanis, Côté, Brown, Rowe, Martin and Kasirer JJ</w:t>
      </w:r>
    </w:p>
    <w:p w:rsidR="002549A2" w:rsidRPr="002F4F7E" w:rsidRDefault="002549A2" w:rsidP="002549A2">
      <w:pPr>
        <w:rPr>
          <w:lang w:eastAsia="en-AU"/>
        </w:rPr>
      </w:pPr>
    </w:p>
    <w:p w:rsidR="002549A2" w:rsidRPr="002F4F7E" w:rsidRDefault="002549A2" w:rsidP="002549A2">
      <w:pPr>
        <w:rPr>
          <w:b/>
          <w:lang w:eastAsia="en-AU"/>
        </w:rPr>
      </w:pPr>
      <w:r>
        <w:rPr>
          <w:b/>
          <w:lang w:eastAsia="en-AU"/>
        </w:rPr>
        <w:t>Catchwords:</w:t>
      </w:r>
    </w:p>
    <w:p w:rsidR="002549A2" w:rsidRPr="00856E9C" w:rsidRDefault="002549A2" w:rsidP="002549A2">
      <w:pPr>
        <w:rPr>
          <w:b/>
          <w:highlight w:val="yellow"/>
          <w:lang w:eastAsia="en-AU"/>
        </w:rPr>
      </w:pPr>
    </w:p>
    <w:p w:rsidR="002549A2" w:rsidRDefault="002549A2" w:rsidP="002549A2">
      <w:pPr>
        <w:ind w:left="720"/>
        <w:rPr>
          <w:lang w:eastAsia="en-AU"/>
        </w:rPr>
      </w:pPr>
      <w:r>
        <w:rPr>
          <w:lang w:eastAsia="en-AU"/>
        </w:rPr>
        <w:t xml:space="preserve">Practice and procedure – </w:t>
      </w:r>
      <w:r w:rsidRPr="002549A2">
        <w:rPr>
          <w:lang w:eastAsia="en-AU"/>
        </w:rPr>
        <w:t xml:space="preserve">Limitation of actions — Discoverability — Requisite degree of knowledge to discover claim — Negligence — </w:t>
      </w:r>
      <w:r>
        <w:rPr>
          <w:lang w:eastAsia="en-AU"/>
        </w:rPr>
        <w:t>Where p</w:t>
      </w:r>
      <w:r w:rsidRPr="002549A2">
        <w:rPr>
          <w:lang w:eastAsia="en-AU"/>
        </w:rPr>
        <w:t>rovince deliver</w:t>
      </w:r>
      <w:r>
        <w:rPr>
          <w:lang w:eastAsia="en-AU"/>
        </w:rPr>
        <w:t>ed</w:t>
      </w:r>
      <w:r w:rsidRPr="002549A2">
        <w:rPr>
          <w:lang w:eastAsia="en-AU"/>
        </w:rPr>
        <w:t xml:space="preserve"> loan guarantees to company based on auditor’s report — </w:t>
      </w:r>
      <w:r>
        <w:rPr>
          <w:lang w:eastAsia="en-AU"/>
        </w:rPr>
        <w:t xml:space="preserve"> Where c</w:t>
      </w:r>
      <w:r w:rsidRPr="002549A2">
        <w:rPr>
          <w:lang w:eastAsia="en-AU"/>
        </w:rPr>
        <w:t>ompany r</w:t>
      </w:r>
      <w:r>
        <w:rPr>
          <w:lang w:eastAsia="en-AU"/>
        </w:rPr>
        <w:t>an</w:t>
      </w:r>
      <w:r w:rsidRPr="002549A2">
        <w:rPr>
          <w:lang w:eastAsia="en-AU"/>
        </w:rPr>
        <w:t xml:space="preserve"> out of working capital months after receiving loan from bank — </w:t>
      </w:r>
      <w:r>
        <w:rPr>
          <w:lang w:eastAsia="en-AU"/>
        </w:rPr>
        <w:t>Where p</w:t>
      </w:r>
      <w:r w:rsidRPr="002549A2">
        <w:rPr>
          <w:lang w:eastAsia="en-AU"/>
        </w:rPr>
        <w:t>rovince pa</w:t>
      </w:r>
      <w:r>
        <w:rPr>
          <w:lang w:eastAsia="en-AU"/>
        </w:rPr>
        <w:t>id</w:t>
      </w:r>
      <w:r w:rsidRPr="002549A2">
        <w:rPr>
          <w:lang w:eastAsia="en-AU"/>
        </w:rPr>
        <w:t xml:space="preserve"> out guarantees — </w:t>
      </w:r>
      <w:r>
        <w:rPr>
          <w:lang w:eastAsia="en-AU"/>
        </w:rPr>
        <w:t>Where p</w:t>
      </w:r>
      <w:r w:rsidRPr="002549A2">
        <w:rPr>
          <w:lang w:eastAsia="en-AU"/>
        </w:rPr>
        <w:t>rovince commenc</w:t>
      </w:r>
      <w:r>
        <w:rPr>
          <w:lang w:eastAsia="en-AU"/>
        </w:rPr>
        <w:t xml:space="preserve">ed </w:t>
      </w:r>
      <w:r w:rsidRPr="002549A2">
        <w:rPr>
          <w:lang w:eastAsia="en-AU"/>
        </w:rPr>
        <w:t xml:space="preserve">negligence claim against auditor — </w:t>
      </w:r>
      <w:r>
        <w:rPr>
          <w:lang w:eastAsia="en-AU"/>
        </w:rPr>
        <w:t>Where a</w:t>
      </w:r>
      <w:r w:rsidRPr="002549A2">
        <w:rPr>
          <w:lang w:eastAsia="en-AU"/>
        </w:rPr>
        <w:t xml:space="preserve">uditor </w:t>
      </w:r>
      <w:r>
        <w:rPr>
          <w:lang w:eastAsia="en-AU"/>
        </w:rPr>
        <w:t xml:space="preserve">sought </w:t>
      </w:r>
      <w:r w:rsidRPr="002549A2">
        <w:rPr>
          <w:lang w:eastAsia="en-AU"/>
        </w:rPr>
        <w:t>summary judgment on basis that claim commenced after two</w:t>
      </w:r>
      <w:r w:rsidRPr="002549A2">
        <w:rPr>
          <w:rFonts w:ascii="Cambria Math" w:hAnsi="Cambria Math" w:cs="Cambria Math"/>
          <w:lang w:eastAsia="en-AU"/>
        </w:rPr>
        <w:t>‑</w:t>
      </w:r>
      <w:r w:rsidRPr="002549A2">
        <w:rPr>
          <w:lang w:eastAsia="en-AU"/>
        </w:rPr>
        <w:t xml:space="preserve">year statutory limitation period — </w:t>
      </w:r>
      <w:r>
        <w:rPr>
          <w:lang w:eastAsia="en-AU"/>
        </w:rPr>
        <w:t>Whether correct s</w:t>
      </w:r>
      <w:r w:rsidRPr="002549A2">
        <w:rPr>
          <w:lang w:eastAsia="en-AU"/>
        </w:rPr>
        <w:t>tandard applied in determining whether plaintiff has requisite degree of knowledge to discover claim — Whether province discovered negligence claim against auditor — Whether claim statute</w:t>
      </w:r>
      <w:r w:rsidRPr="002549A2">
        <w:rPr>
          <w:rFonts w:ascii="Cambria Math" w:hAnsi="Cambria Math" w:cs="Cambria Math"/>
          <w:lang w:eastAsia="en-AU"/>
        </w:rPr>
        <w:t>‑</w:t>
      </w:r>
      <w:r w:rsidRPr="002549A2">
        <w:rPr>
          <w:lang w:eastAsia="en-AU"/>
        </w:rPr>
        <w:t xml:space="preserve">barred </w:t>
      </w:r>
      <w:r w:rsidRPr="002549A2">
        <w:rPr>
          <w:rFonts w:cs="Verdana"/>
          <w:lang w:eastAsia="en-AU"/>
        </w:rPr>
        <w:t>—</w:t>
      </w:r>
      <w:r w:rsidRPr="002549A2">
        <w:rPr>
          <w:lang w:eastAsia="en-AU"/>
        </w:rPr>
        <w:t xml:space="preserve"> </w:t>
      </w:r>
      <w:r w:rsidRPr="002549A2">
        <w:rPr>
          <w:i/>
          <w:lang w:eastAsia="en-AU"/>
        </w:rPr>
        <w:t>Limitation of Actions Act</w:t>
      </w:r>
      <w:r w:rsidRPr="002549A2">
        <w:rPr>
          <w:lang w:eastAsia="en-AU"/>
        </w:rPr>
        <w:t>, SNB 2009, c L</w:t>
      </w:r>
      <w:r w:rsidRPr="002549A2">
        <w:rPr>
          <w:rFonts w:ascii="Cambria Math" w:hAnsi="Cambria Math" w:cs="Cambria Math"/>
          <w:lang w:eastAsia="en-AU"/>
        </w:rPr>
        <w:t>‑</w:t>
      </w:r>
      <w:r w:rsidRPr="002549A2">
        <w:rPr>
          <w:lang w:eastAsia="en-AU"/>
        </w:rPr>
        <w:t>8.5, s 5(1)(a), (2).</w:t>
      </w:r>
    </w:p>
    <w:p w:rsidR="002549A2" w:rsidRPr="00856E9C" w:rsidRDefault="002549A2" w:rsidP="002549A2">
      <w:pPr>
        <w:ind w:left="720"/>
        <w:rPr>
          <w:highlight w:val="yellow"/>
          <w:lang w:eastAsia="en-AU"/>
        </w:rPr>
      </w:pPr>
    </w:p>
    <w:p w:rsidR="002F786A" w:rsidRDefault="002549A2" w:rsidP="002549A2">
      <w:pPr>
        <w:rPr>
          <w:lang w:eastAsia="en-AU"/>
        </w:rPr>
      </w:pPr>
      <w:r w:rsidRPr="002F4F7E">
        <w:rPr>
          <w:b/>
          <w:lang w:eastAsia="en-AU"/>
        </w:rPr>
        <w:t>Held (</w:t>
      </w:r>
      <w:r>
        <w:rPr>
          <w:b/>
          <w:lang w:eastAsia="en-AU"/>
        </w:rPr>
        <w:t>7:0</w:t>
      </w:r>
      <w:r w:rsidRPr="002F4F7E">
        <w:rPr>
          <w:b/>
          <w:lang w:eastAsia="en-AU"/>
        </w:rPr>
        <w:t xml:space="preserve">): </w:t>
      </w:r>
      <w:r>
        <w:rPr>
          <w:lang w:eastAsia="en-AU"/>
        </w:rPr>
        <w:t>Appeal allowed.</w:t>
      </w:r>
    </w:p>
    <w:p w:rsidR="007F5EEF" w:rsidRPr="00B546B2" w:rsidRDefault="007F5EEF" w:rsidP="007F5EEF">
      <w:pPr>
        <w:pStyle w:val="BullDivider2"/>
        <w:rPr>
          <w:rFonts w:cs="Arial"/>
          <w:highlight w:val="yellow"/>
        </w:rPr>
      </w:pPr>
    </w:p>
    <w:p w:rsidR="007F5EEF" w:rsidRPr="00B546B2" w:rsidRDefault="007F5EEF" w:rsidP="007F5EEF">
      <w:pPr>
        <w:rPr>
          <w:highlight w:val="yellow"/>
          <w:lang w:eastAsia="en-AU"/>
        </w:rPr>
      </w:pPr>
    </w:p>
    <w:p w:rsidR="007F5EEF" w:rsidRPr="00B20BAC" w:rsidRDefault="007F5EEF" w:rsidP="007F5EEF">
      <w:pPr>
        <w:pStyle w:val="Heading1"/>
      </w:pPr>
      <w:r>
        <w:t>Taxation</w:t>
      </w:r>
    </w:p>
    <w:p w:rsidR="007F5EEF" w:rsidRPr="00856E9C" w:rsidRDefault="007F5EEF" w:rsidP="007F5EEF">
      <w:pPr>
        <w:rPr>
          <w:highlight w:val="yellow"/>
          <w:lang w:eastAsia="en-AU"/>
        </w:rPr>
      </w:pPr>
    </w:p>
    <w:p w:rsidR="00420BDA" w:rsidRPr="002F4F7E" w:rsidRDefault="00420BDA" w:rsidP="00420BDA">
      <w:pPr>
        <w:pStyle w:val="Heading2"/>
      </w:pPr>
      <w:r>
        <w:t>Tinkler v Commissioners for Her Majesty’s Revenue and Customs</w:t>
      </w:r>
    </w:p>
    <w:p w:rsidR="00420BDA" w:rsidRPr="002F4F7E" w:rsidRDefault="00420BDA" w:rsidP="00420BDA">
      <w:pPr>
        <w:rPr>
          <w:lang w:eastAsia="en-AU"/>
        </w:rPr>
      </w:pPr>
      <w:r>
        <w:rPr>
          <w:b/>
          <w:lang w:eastAsia="en-AU"/>
        </w:rPr>
        <w:t>Supreme Court of the United Kingdom</w:t>
      </w:r>
      <w:r w:rsidRPr="002F4F7E">
        <w:rPr>
          <w:b/>
          <w:lang w:eastAsia="en-AU"/>
        </w:rPr>
        <w:t xml:space="preserve">: </w:t>
      </w:r>
      <w:hyperlink r:id="rId37" w:history="1">
        <w:r w:rsidRPr="00221689">
          <w:rPr>
            <w:rStyle w:val="Hyperlink"/>
            <w:lang w:eastAsia="en-AU"/>
          </w:rPr>
          <w:t>[2021] UKSC</w:t>
        </w:r>
        <w:r>
          <w:rPr>
            <w:rStyle w:val="Hyperlink"/>
            <w:lang w:eastAsia="en-AU"/>
          </w:rPr>
          <w:t xml:space="preserve"> 39</w:t>
        </w:r>
      </w:hyperlink>
    </w:p>
    <w:p w:rsidR="00420BDA" w:rsidRPr="002F4F7E" w:rsidRDefault="00420BDA" w:rsidP="00420BDA">
      <w:pPr>
        <w:rPr>
          <w:lang w:eastAsia="en-AU"/>
        </w:rPr>
      </w:pPr>
    </w:p>
    <w:p w:rsidR="00420BDA" w:rsidRPr="002F4F7E" w:rsidRDefault="00420BDA" w:rsidP="00420BDA">
      <w:pPr>
        <w:rPr>
          <w:lang w:eastAsia="en-AU"/>
        </w:rPr>
      </w:pPr>
      <w:r w:rsidRPr="002F4F7E">
        <w:rPr>
          <w:b/>
          <w:lang w:eastAsia="en-AU"/>
        </w:rPr>
        <w:t>Judgment delivered:</w:t>
      </w:r>
      <w:r w:rsidRPr="002F4F7E">
        <w:rPr>
          <w:lang w:eastAsia="en-AU"/>
        </w:rPr>
        <w:t xml:space="preserve"> </w:t>
      </w:r>
      <w:r>
        <w:rPr>
          <w:lang w:eastAsia="en-AU"/>
        </w:rPr>
        <w:t>23 July 2021</w:t>
      </w:r>
    </w:p>
    <w:p w:rsidR="00420BDA" w:rsidRPr="002F4F7E" w:rsidRDefault="00420BDA" w:rsidP="00420BDA">
      <w:pPr>
        <w:rPr>
          <w:lang w:eastAsia="en-AU"/>
        </w:rPr>
      </w:pPr>
    </w:p>
    <w:p w:rsidR="00420BDA" w:rsidRDefault="00420BDA" w:rsidP="00420BDA">
      <w:pPr>
        <w:rPr>
          <w:color w:val="000000"/>
        </w:rPr>
      </w:pPr>
      <w:r w:rsidRPr="002F4F7E">
        <w:rPr>
          <w:b/>
          <w:lang w:eastAsia="en-AU"/>
        </w:rPr>
        <w:t xml:space="preserve">Coram: </w:t>
      </w:r>
      <w:r w:rsidRPr="00221689">
        <w:rPr>
          <w:color w:val="000000"/>
        </w:rPr>
        <w:t xml:space="preserve">Lord </w:t>
      </w:r>
      <w:r>
        <w:rPr>
          <w:color w:val="000000"/>
        </w:rPr>
        <w:t>Hodge, Lord Briggs, Lady Arden, Lord Burrows and Lady Rose</w:t>
      </w:r>
    </w:p>
    <w:p w:rsidR="00420BDA" w:rsidRPr="002F4F7E" w:rsidRDefault="00420BDA" w:rsidP="00420BDA">
      <w:pPr>
        <w:rPr>
          <w:lang w:eastAsia="en-AU"/>
        </w:rPr>
      </w:pPr>
    </w:p>
    <w:p w:rsidR="00420BDA" w:rsidRPr="002F4F7E" w:rsidRDefault="00420BDA" w:rsidP="00420BDA">
      <w:pPr>
        <w:rPr>
          <w:b/>
          <w:lang w:eastAsia="en-AU"/>
        </w:rPr>
      </w:pPr>
      <w:r>
        <w:rPr>
          <w:b/>
          <w:lang w:eastAsia="en-AU"/>
        </w:rPr>
        <w:t>Catchwords:</w:t>
      </w:r>
    </w:p>
    <w:p w:rsidR="00420BDA" w:rsidRPr="00856E9C" w:rsidRDefault="00420BDA" w:rsidP="00420BDA">
      <w:pPr>
        <w:rPr>
          <w:b/>
          <w:highlight w:val="yellow"/>
          <w:lang w:eastAsia="en-AU"/>
        </w:rPr>
      </w:pPr>
    </w:p>
    <w:p w:rsidR="00420BDA" w:rsidRPr="005F0F89" w:rsidRDefault="00420BDA" w:rsidP="00420BDA">
      <w:pPr>
        <w:ind w:left="720"/>
        <w:rPr>
          <w:lang w:eastAsia="en-AU"/>
        </w:rPr>
      </w:pPr>
      <w:r>
        <w:rPr>
          <w:lang w:eastAsia="en-AU"/>
        </w:rPr>
        <w:t xml:space="preserve">Taxation – Estoppel by convention – </w:t>
      </w:r>
      <w:r w:rsidR="007F5021">
        <w:rPr>
          <w:lang w:eastAsia="en-AU"/>
        </w:rPr>
        <w:t xml:space="preserve">Where, on 1 July 2005, appellant sent notice of </w:t>
      </w:r>
      <w:r w:rsidR="00820194">
        <w:rPr>
          <w:lang w:eastAsia="en-AU"/>
        </w:rPr>
        <w:t xml:space="preserve">enquiry to wrong address – Where appellant also sent copy of notice to respondent’s tax accountants – Where tax accountants responded to notice and confirmed valid tax enquiry opened – Where, on 30 August 2012, appellants issued closure notice purporting to amend tax return and disallow certain losses claimed – Whether respondent argued closure notice invalid because initial notice of enquiry sent to wrong address – Where appellants argued respondent estopped from denying validity on basis of wrong address – Where Court of Appeal found for respondent – Whether respondent estopped from denying validity of enquiry on basis of wrong address by doctrine of estoppel by convention. </w:t>
      </w:r>
    </w:p>
    <w:p w:rsidR="00420BDA" w:rsidRPr="00856E9C" w:rsidRDefault="00420BDA" w:rsidP="00420BDA">
      <w:pPr>
        <w:ind w:left="720"/>
        <w:rPr>
          <w:highlight w:val="yellow"/>
          <w:lang w:eastAsia="en-AU"/>
        </w:rPr>
      </w:pPr>
    </w:p>
    <w:p w:rsidR="00420BDA" w:rsidRPr="000D3E8D" w:rsidRDefault="00420BDA" w:rsidP="00420BDA">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allowed. </w:t>
      </w:r>
    </w:p>
    <w:p w:rsidR="00420BDA" w:rsidRPr="00181993" w:rsidRDefault="00420BDA" w:rsidP="00420BDA">
      <w:pPr>
        <w:pStyle w:val="BullDivider1"/>
        <w:pBdr>
          <w:bottom w:val="dotted" w:sz="4" w:space="0" w:color="auto"/>
        </w:pBdr>
      </w:pPr>
    </w:p>
    <w:p w:rsidR="00420BDA" w:rsidRDefault="00420BDA" w:rsidP="00420BDA"/>
    <w:p w:rsidR="00651B1E" w:rsidRPr="002F4F7E" w:rsidRDefault="00651B1E" w:rsidP="00651B1E">
      <w:pPr>
        <w:pStyle w:val="Heading2"/>
      </w:pPr>
      <w:r>
        <w:t>Test Claimants in the Franked Investment Income Group Litigation &amp; Ors v Commissioners for Her Majesty’s Revenue and Customs</w:t>
      </w:r>
    </w:p>
    <w:p w:rsidR="00651B1E" w:rsidRPr="002F4F7E" w:rsidRDefault="00651B1E" w:rsidP="00651B1E">
      <w:pPr>
        <w:rPr>
          <w:lang w:eastAsia="en-AU"/>
        </w:rPr>
      </w:pPr>
      <w:r>
        <w:rPr>
          <w:b/>
          <w:lang w:eastAsia="en-AU"/>
        </w:rPr>
        <w:t>Supreme Court of the United Kingdom</w:t>
      </w:r>
      <w:r w:rsidRPr="002F4F7E">
        <w:rPr>
          <w:b/>
          <w:lang w:eastAsia="en-AU"/>
        </w:rPr>
        <w:t xml:space="preserve">: </w:t>
      </w:r>
      <w:hyperlink r:id="rId38" w:history="1">
        <w:r w:rsidRPr="00221689">
          <w:rPr>
            <w:rStyle w:val="Hyperlink"/>
            <w:lang w:eastAsia="en-AU"/>
          </w:rPr>
          <w:t>[2021] UKSC</w:t>
        </w:r>
        <w:r>
          <w:rPr>
            <w:rStyle w:val="Hyperlink"/>
            <w:lang w:eastAsia="en-AU"/>
          </w:rPr>
          <w:t xml:space="preserve"> 31</w:t>
        </w:r>
      </w:hyperlink>
    </w:p>
    <w:p w:rsidR="00651B1E" w:rsidRPr="002F4F7E" w:rsidRDefault="00651B1E" w:rsidP="00651B1E">
      <w:pPr>
        <w:rPr>
          <w:lang w:eastAsia="en-AU"/>
        </w:rPr>
      </w:pPr>
    </w:p>
    <w:p w:rsidR="00651B1E" w:rsidRPr="002F4F7E" w:rsidRDefault="00651B1E" w:rsidP="00651B1E">
      <w:pPr>
        <w:rPr>
          <w:lang w:eastAsia="en-AU"/>
        </w:rPr>
      </w:pPr>
      <w:r w:rsidRPr="002F4F7E">
        <w:rPr>
          <w:b/>
          <w:lang w:eastAsia="en-AU"/>
        </w:rPr>
        <w:t>Judgment delivered:</w:t>
      </w:r>
      <w:r w:rsidRPr="002F4F7E">
        <w:rPr>
          <w:lang w:eastAsia="en-AU"/>
        </w:rPr>
        <w:t xml:space="preserve"> </w:t>
      </w:r>
      <w:r>
        <w:rPr>
          <w:lang w:eastAsia="en-AU"/>
        </w:rPr>
        <w:t>23 July 2021</w:t>
      </w:r>
    </w:p>
    <w:p w:rsidR="00651B1E" w:rsidRPr="002F4F7E" w:rsidRDefault="00651B1E" w:rsidP="00651B1E">
      <w:pPr>
        <w:rPr>
          <w:lang w:eastAsia="en-AU"/>
        </w:rPr>
      </w:pPr>
    </w:p>
    <w:p w:rsidR="00651B1E" w:rsidRDefault="00651B1E" w:rsidP="00651B1E">
      <w:pPr>
        <w:rPr>
          <w:color w:val="000000"/>
        </w:rPr>
      </w:pPr>
      <w:r w:rsidRPr="002F4F7E">
        <w:rPr>
          <w:b/>
          <w:lang w:eastAsia="en-AU"/>
        </w:rPr>
        <w:t xml:space="preserve">Coram: </w:t>
      </w:r>
      <w:r w:rsidRPr="00221689">
        <w:rPr>
          <w:color w:val="000000"/>
        </w:rPr>
        <w:t xml:space="preserve">Lord </w:t>
      </w:r>
      <w:r>
        <w:rPr>
          <w:color w:val="000000"/>
        </w:rPr>
        <w:t>Reed, Lord Hodge, Lord Briggs, Lord Sales</w:t>
      </w:r>
      <w:r w:rsidR="00420BDA">
        <w:rPr>
          <w:color w:val="000000"/>
        </w:rPr>
        <w:t xml:space="preserve"> and</w:t>
      </w:r>
      <w:r>
        <w:rPr>
          <w:color w:val="000000"/>
        </w:rPr>
        <w:t xml:space="preserve"> Lord Hamblen</w:t>
      </w:r>
    </w:p>
    <w:p w:rsidR="00651B1E" w:rsidRPr="002F4F7E" w:rsidRDefault="00651B1E" w:rsidP="00651B1E">
      <w:pPr>
        <w:rPr>
          <w:lang w:eastAsia="en-AU"/>
        </w:rPr>
      </w:pPr>
    </w:p>
    <w:p w:rsidR="00651B1E" w:rsidRPr="002F4F7E" w:rsidRDefault="00651B1E" w:rsidP="00651B1E">
      <w:pPr>
        <w:rPr>
          <w:b/>
          <w:lang w:eastAsia="en-AU"/>
        </w:rPr>
      </w:pPr>
      <w:r>
        <w:rPr>
          <w:b/>
          <w:lang w:eastAsia="en-AU"/>
        </w:rPr>
        <w:t>Catchwords:</w:t>
      </w:r>
    </w:p>
    <w:p w:rsidR="00651B1E" w:rsidRPr="00856E9C" w:rsidRDefault="00651B1E" w:rsidP="00651B1E">
      <w:pPr>
        <w:rPr>
          <w:b/>
          <w:highlight w:val="yellow"/>
          <w:lang w:eastAsia="en-AU"/>
        </w:rPr>
      </w:pPr>
    </w:p>
    <w:p w:rsidR="00651B1E" w:rsidRPr="005F0F89" w:rsidRDefault="00651B1E" w:rsidP="00651B1E">
      <w:pPr>
        <w:ind w:left="720"/>
        <w:rPr>
          <w:lang w:eastAsia="en-AU"/>
        </w:rPr>
      </w:pPr>
      <w:r>
        <w:rPr>
          <w:lang w:eastAsia="en-AU"/>
        </w:rPr>
        <w:t xml:space="preserve">Taxation – Franked investment income – Differential tax treatment – European Union law – Where matter arose in context of long-running proceedings – Where original claim provisions of </w:t>
      </w:r>
      <w:r>
        <w:rPr>
          <w:i/>
          <w:lang w:eastAsia="en-AU"/>
        </w:rPr>
        <w:t xml:space="preserve">Income and Corporation Taxes Act 1988 </w:t>
      </w:r>
      <w:r>
        <w:rPr>
          <w:lang w:eastAsia="en-AU"/>
        </w:rPr>
        <w:t xml:space="preserve">relating to taxation of franked foreign investment income breached European Union treaty provisions – Where current matter determination of seven disparate issues – Whether (1) Commissioners barred from contesting award of compound interest for tax paid prematurely – Whether (2) claimants entitled to recover compound interest for tax paid prematurely – Whether (3) remedy for breach of EU law appropriate in respect of set off – Whether (4) Commissioners enriched by unlawful levying of taxes – Whether (5) relevant that claimants had non-UK residential parent receiving double taxation credits – Whether (6) impugned provisions permitted by art 64(1) of </w:t>
      </w:r>
      <w:r>
        <w:rPr>
          <w:i/>
          <w:lang w:eastAsia="en-AU"/>
        </w:rPr>
        <w:t xml:space="preserve">Treaty on the Functioning of the European Union </w:t>
      </w:r>
      <w:r>
        <w:rPr>
          <w:lang w:eastAsia="en-AU"/>
        </w:rPr>
        <w:t xml:space="preserve">– Whether (7) unlawful tax paid considered surrendered. </w:t>
      </w:r>
    </w:p>
    <w:p w:rsidR="00651B1E" w:rsidRPr="00856E9C" w:rsidRDefault="00651B1E" w:rsidP="00651B1E">
      <w:pPr>
        <w:ind w:left="720"/>
        <w:rPr>
          <w:highlight w:val="yellow"/>
          <w:lang w:eastAsia="en-AU"/>
        </w:rPr>
      </w:pPr>
    </w:p>
    <w:p w:rsidR="00651B1E" w:rsidRPr="000D3E8D" w:rsidRDefault="00651B1E" w:rsidP="00651B1E">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Commissioners’ appeal allowed on issues 1 and 2, and appeal dismissed on issue 4. Claimants’ appeal allowed on issues 3, 5 and 6, and appeal dismissed on issue 7. </w:t>
      </w:r>
    </w:p>
    <w:p w:rsidR="00651B1E" w:rsidRPr="00181993" w:rsidRDefault="00651B1E" w:rsidP="00651B1E">
      <w:pPr>
        <w:pStyle w:val="BullDivider1"/>
        <w:pBdr>
          <w:bottom w:val="dotted" w:sz="4" w:space="0" w:color="auto"/>
        </w:pBdr>
      </w:pPr>
    </w:p>
    <w:p w:rsidR="00651B1E" w:rsidRDefault="00651B1E" w:rsidP="00651B1E"/>
    <w:p w:rsidR="007F5EEF" w:rsidRPr="002F4F7E" w:rsidRDefault="007F5EEF" w:rsidP="007F5EEF">
      <w:pPr>
        <w:pStyle w:val="Heading2"/>
      </w:pPr>
      <w:r>
        <w:lastRenderedPageBreak/>
        <w:t>R (Haworth) v Commissioners for Her Majesty’s Revenue and Customs</w:t>
      </w:r>
    </w:p>
    <w:p w:rsidR="007F5EEF" w:rsidRPr="002F4F7E" w:rsidRDefault="007F5EEF" w:rsidP="007F5EEF">
      <w:pPr>
        <w:rPr>
          <w:lang w:eastAsia="en-AU"/>
        </w:rPr>
      </w:pPr>
      <w:r>
        <w:rPr>
          <w:b/>
          <w:lang w:eastAsia="en-AU"/>
        </w:rPr>
        <w:t>Supreme Court of the United Kingdom</w:t>
      </w:r>
      <w:r w:rsidRPr="002F4F7E">
        <w:rPr>
          <w:b/>
          <w:lang w:eastAsia="en-AU"/>
        </w:rPr>
        <w:t xml:space="preserve">: </w:t>
      </w:r>
      <w:hyperlink r:id="rId39" w:history="1">
        <w:r w:rsidRPr="00227DEC">
          <w:rPr>
            <w:rStyle w:val="Hyperlink"/>
            <w:lang w:eastAsia="en-AU"/>
          </w:rPr>
          <w:t xml:space="preserve">[2021] </w:t>
        </w:r>
        <w:r>
          <w:rPr>
            <w:rStyle w:val="Hyperlink"/>
            <w:lang w:eastAsia="en-AU"/>
          </w:rPr>
          <w:t>UKSC 25</w:t>
        </w:r>
      </w:hyperlink>
    </w:p>
    <w:p w:rsidR="007F5EEF" w:rsidRPr="002F4F7E" w:rsidRDefault="007F5EEF" w:rsidP="007F5EEF">
      <w:pPr>
        <w:rPr>
          <w:lang w:eastAsia="en-AU"/>
        </w:rPr>
      </w:pPr>
    </w:p>
    <w:p w:rsidR="007F5EEF" w:rsidRPr="002F4F7E" w:rsidRDefault="007F5EEF" w:rsidP="007F5EEF">
      <w:pPr>
        <w:rPr>
          <w:lang w:eastAsia="en-AU"/>
        </w:rPr>
      </w:pPr>
      <w:r w:rsidRPr="002F4F7E">
        <w:rPr>
          <w:b/>
          <w:lang w:eastAsia="en-AU"/>
        </w:rPr>
        <w:t>Judgment delivered:</w:t>
      </w:r>
      <w:r w:rsidRPr="002F4F7E">
        <w:rPr>
          <w:lang w:eastAsia="en-AU"/>
        </w:rPr>
        <w:t xml:space="preserve"> </w:t>
      </w:r>
      <w:r>
        <w:rPr>
          <w:lang w:eastAsia="en-AU"/>
        </w:rPr>
        <w:t>2 July 2021</w:t>
      </w:r>
    </w:p>
    <w:p w:rsidR="007F5EEF" w:rsidRPr="002F4F7E" w:rsidRDefault="007F5EEF" w:rsidP="007F5EEF">
      <w:pPr>
        <w:rPr>
          <w:lang w:eastAsia="en-AU"/>
        </w:rPr>
      </w:pPr>
    </w:p>
    <w:p w:rsidR="007F5EEF" w:rsidRPr="002F4F7E" w:rsidRDefault="007F5EEF" w:rsidP="007F5EEF">
      <w:pPr>
        <w:rPr>
          <w:lang w:eastAsia="en-AU"/>
        </w:rPr>
      </w:pPr>
      <w:r w:rsidRPr="002F4F7E">
        <w:rPr>
          <w:b/>
          <w:lang w:eastAsia="en-AU"/>
        </w:rPr>
        <w:t xml:space="preserve">Coram: </w:t>
      </w:r>
      <w:r>
        <w:rPr>
          <w:color w:val="000000"/>
        </w:rPr>
        <w:t xml:space="preserve">Lord </w:t>
      </w:r>
      <w:r w:rsidRPr="007F5EEF">
        <w:rPr>
          <w:color w:val="000000"/>
        </w:rPr>
        <w:t>Briggs, Lady Arden, Lord Leggatt, Lord Stephens</w:t>
      </w:r>
      <w:r>
        <w:rPr>
          <w:color w:val="000000"/>
        </w:rPr>
        <w:t xml:space="preserve"> and </w:t>
      </w:r>
      <w:r w:rsidRPr="007F5EEF">
        <w:rPr>
          <w:color w:val="000000"/>
        </w:rPr>
        <w:t>Lady Rose</w:t>
      </w:r>
    </w:p>
    <w:p w:rsidR="007F5EEF" w:rsidRPr="002F4F7E" w:rsidRDefault="007F5EEF" w:rsidP="007F5EEF">
      <w:pPr>
        <w:rPr>
          <w:lang w:eastAsia="en-AU"/>
        </w:rPr>
      </w:pPr>
    </w:p>
    <w:p w:rsidR="007F5EEF" w:rsidRPr="002F4F7E" w:rsidRDefault="007F5EEF" w:rsidP="007F5EEF">
      <w:pPr>
        <w:rPr>
          <w:b/>
          <w:lang w:eastAsia="en-AU"/>
        </w:rPr>
      </w:pPr>
      <w:r>
        <w:rPr>
          <w:b/>
          <w:lang w:eastAsia="en-AU"/>
        </w:rPr>
        <w:t>Catchwords:</w:t>
      </w:r>
    </w:p>
    <w:p w:rsidR="007F5EEF" w:rsidRPr="00856E9C" w:rsidRDefault="007F5EEF" w:rsidP="007F5EEF">
      <w:pPr>
        <w:rPr>
          <w:b/>
          <w:highlight w:val="yellow"/>
          <w:lang w:eastAsia="en-AU"/>
        </w:rPr>
      </w:pPr>
    </w:p>
    <w:p w:rsidR="007F5EEF" w:rsidRPr="008B3AD0" w:rsidRDefault="007F5EEF" w:rsidP="007F5EEF">
      <w:pPr>
        <w:ind w:left="720"/>
        <w:rPr>
          <w:lang w:eastAsia="en-AU"/>
        </w:rPr>
      </w:pPr>
      <w:r>
        <w:rPr>
          <w:lang w:eastAsia="en-AU"/>
        </w:rPr>
        <w:t xml:space="preserve">Taxation – Tax advantage – Follower notice regime – Where respondent entered into tax arrangements to minimise tax – Where appellant issued follower notice, pursuant to Part 4 of </w:t>
      </w:r>
      <w:r>
        <w:rPr>
          <w:i/>
          <w:lang w:eastAsia="en-AU"/>
        </w:rPr>
        <w:t>Finance Act 2014</w:t>
      </w:r>
      <w:r>
        <w:rPr>
          <w:lang w:eastAsia="en-AU"/>
        </w:rPr>
        <w:t xml:space="preserve">, which applies when tax advantage claimed by taxpayer depends on interpretation of relevant statute and court has already decided interpretation is incorrect – Where s 205(3)(b) of </w:t>
      </w:r>
      <w:r>
        <w:rPr>
          <w:i/>
          <w:lang w:eastAsia="en-AU"/>
        </w:rPr>
        <w:t xml:space="preserve">Finance Act </w:t>
      </w:r>
      <w:r>
        <w:rPr>
          <w:lang w:eastAsia="en-AU"/>
        </w:rPr>
        <w:t xml:space="preserve">provides that notice can only be issued if appellant satisfied principles in earlier judgment “would” if applied to respondent’s arrangements deny asserted advantage – Where appellant considered decision in </w:t>
      </w:r>
      <w:r>
        <w:rPr>
          <w:i/>
          <w:lang w:eastAsia="en-AU"/>
        </w:rPr>
        <w:t xml:space="preserve">Smallwood v Revenue and Customs Commissioners </w:t>
      </w:r>
      <w:r>
        <w:rPr>
          <w:lang w:eastAsia="en-AU"/>
        </w:rPr>
        <w:t xml:space="preserve">[2010] EWCA Civ 778 likely to apply to respondent’s arrangements </w:t>
      </w:r>
      <w:r w:rsidR="008B3AD0">
        <w:rPr>
          <w:lang w:eastAsia="en-AU"/>
        </w:rPr>
        <w:t xml:space="preserve">– Where appellant applied for judicial review of notice and High Court dismissed application – Where Court of Appeal allowed appeal – Whether “would” in s 205(3)(b) means principles in earlier decision </w:t>
      </w:r>
      <w:r w:rsidR="008B3AD0">
        <w:rPr>
          <w:i/>
          <w:lang w:eastAsia="en-AU"/>
        </w:rPr>
        <w:t xml:space="preserve">will </w:t>
      </w:r>
      <w:r w:rsidR="008B3AD0">
        <w:rPr>
          <w:lang w:eastAsia="en-AU"/>
        </w:rPr>
        <w:t xml:space="preserve">deny advantage, or merely </w:t>
      </w:r>
      <w:r w:rsidR="008B3AD0" w:rsidRPr="008B3AD0">
        <w:rPr>
          <w:i/>
          <w:lang w:eastAsia="en-AU"/>
        </w:rPr>
        <w:t>more likely than not</w:t>
      </w:r>
      <w:r w:rsidR="008B3AD0">
        <w:rPr>
          <w:lang w:eastAsia="en-AU"/>
        </w:rPr>
        <w:t xml:space="preserve"> to deny advantage. </w:t>
      </w:r>
    </w:p>
    <w:p w:rsidR="007F5EEF" w:rsidRPr="00856E9C" w:rsidRDefault="007F5EEF" w:rsidP="007F5EEF">
      <w:pPr>
        <w:ind w:left="720"/>
        <w:rPr>
          <w:highlight w:val="yellow"/>
          <w:lang w:eastAsia="en-AU"/>
        </w:rPr>
      </w:pPr>
    </w:p>
    <w:p w:rsidR="007F5EEF" w:rsidRDefault="007F5EEF" w:rsidP="007F5EEF">
      <w:pPr>
        <w:rPr>
          <w:lang w:eastAsia="en-AU"/>
        </w:rPr>
      </w:pPr>
      <w:r w:rsidRPr="002F4F7E">
        <w:rPr>
          <w:b/>
          <w:lang w:eastAsia="en-AU"/>
        </w:rPr>
        <w:t>Held (</w:t>
      </w:r>
      <w:r>
        <w:rPr>
          <w:b/>
          <w:lang w:eastAsia="en-AU"/>
        </w:rPr>
        <w:t>5:0</w:t>
      </w:r>
      <w:r w:rsidRPr="002F4F7E">
        <w:rPr>
          <w:b/>
          <w:lang w:eastAsia="en-AU"/>
        </w:rPr>
        <w:t xml:space="preserve">): </w:t>
      </w:r>
      <w:r>
        <w:rPr>
          <w:lang w:eastAsia="en-AU"/>
        </w:rPr>
        <w:t>Appeal dismissed.</w:t>
      </w:r>
    </w:p>
    <w:p w:rsidR="005F103F" w:rsidRDefault="005F103F" w:rsidP="005F103F">
      <w:pPr>
        <w:pStyle w:val="BullDivider2"/>
        <w:rPr>
          <w:rFonts w:cs="Arial"/>
          <w:highlight w:val="yellow"/>
        </w:rPr>
      </w:pPr>
    </w:p>
    <w:p w:rsidR="005F103F" w:rsidRPr="00B546B2" w:rsidRDefault="005F103F" w:rsidP="005F103F">
      <w:pPr>
        <w:rPr>
          <w:highlight w:val="yellow"/>
        </w:rPr>
      </w:pPr>
    </w:p>
    <w:p w:rsidR="005F103F" w:rsidRDefault="008A1E60" w:rsidP="005F103F">
      <w:pPr>
        <w:pStyle w:val="Heading1"/>
      </w:pPr>
      <w:r>
        <w:t>Torts</w:t>
      </w:r>
    </w:p>
    <w:p w:rsidR="00FD1ACA" w:rsidRPr="00FD1ACA" w:rsidRDefault="00FD1ACA" w:rsidP="00FD1ACA">
      <w:pPr>
        <w:rPr>
          <w:lang w:eastAsia="en-AU"/>
        </w:rPr>
      </w:pPr>
    </w:p>
    <w:p w:rsidR="00FD1ACA" w:rsidRPr="002F4F7E" w:rsidRDefault="00C61094" w:rsidP="00FD1ACA">
      <w:pPr>
        <w:pStyle w:val="Heading2"/>
      </w:pPr>
      <w:r>
        <w:t>BE on behalf of JE v Member of the Executive Council for Social Development, Western Cape</w:t>
      </w:r>
    </w:p>
    <w:p w:rsidR="00FD1ACA" w:rsidRPr="002F4F7E" w:rsidRDefault="00C61094" w:rsidP="00FD1ACA">
      <w:pPr>
        <w:rPr>
          <w:lang w:eastAsia="en-AU"/>
        </w:rPr>
      </w:pPr>
      <w:r>
        <w:rPr>
          <w:b/>
          <w:lang w:eastAsia="en-AU"/>
        </w:rPr>
        <w:t>Constitutional Court of South Africa</w:t>
      </w:r>
      <w:r w:rsidR="00FD1ACA" w:rsidRPr="002F4F7E">
        <w:rPr>
          <w:b/>
          <w:lang w:eastAsia="en-AU"/>
        </w:rPr>
        <w:t xml:space="preserve">: </w:t>
      </w:r>
      <w:hyperlink r:id="rId40" w:history="1">
        <w:r w:rsidRPr="00C61094">
          <w:rPr>
            <w:rStyle w:val="Hyperlink"/>
            <w:lang w:eastAsia="en-AU"/>
          </w:rPr>
          <w:t>[2021] ZACC 23</w:t>
        </w:r>
      </w:hyperlink>
    </w:p>
    <w:p w:rsidR="00FD1ACA" w:rsidRPr="002F4F7E" w:rsidRDefault="00FD1ACA" w:rsidP="00FD1ACA">
      <w:pPr>
        <w:rPr>
          <w:lang w:eastAsia="en-AU"/>
        </w:rPr>
      </w:pPr>
    </w:p>
    <w:p w:rsidR="00FD1ACA" w:rsidRPr="002F4F7E" w:rsidRDefault="00FD1ACA" w:rsidP="00FD1ACA">
      <w:pPr>
        <w:rPr>
          <w:lang w:eastAsia="en-AU"/>
        </w:rPr>
      </w:pPr>
      <w:r w:rsidRPr="002F4F7E">
        <w:rPr>
          <w:b/>
          <w:lang w:eastAsia="en-AU"/>
        </w:rPr>
        <w:t>Judgment delivered:</w:t>
      </w:r>
      <w:r w:rsidRPr="002F4F7E">
        <w:rPr>
          <w:lang w:eastAsia="en-AU"/>
        </w:rPr>
        <w:t xml:space="preserve"> </w:t>
      </w:r>
      <w:r w:rsidR="00C61094">
        <w:rPr>
          <w:lang w:eastAsia="en-AU"/>
        </w:rPr>
        <w:t>27 August 2021</w:t>
      </w:r>
    </w:p>
    <w:p w:rsidR="00FD1ACA" w:rsidRPr="002F4F7E" w:rsidRDefault="00FD1ACA" w:rsidP="00FD1ACA">
      <w:pPr>
        <w:rPr>
          <w:lang w:eastAsia="en-AU"/>
        </w:rPr>
      </w:pPr>
    </w:p>
    <w:p w:rsidR="00FD1ACA" w:rsidRDefault="00FD1ACA" w:rsidP="00FD1ACA">
      <w:pPr>
        <w:rPr>
          <w:color w:val="000000"/>
        </w:rPr>
      </w:pPr>
      <w:r w:rsidRPr="002F4F7E">
        <w:rPr>
          <w:b/>
          <w:lang w:eastAsia="en-AU"/>
        </w:rPr>
        <w:t xml:space="preserve">Coram: </w:t>
      </w:r>
      <w:r w:rsidR="00C61094" w:rsidRPr="00C61094">
        <w:rPr>
          <w:color w:val="000000"/>
        </w:rPr>
        <w:t>Mogoeng CJ, Jafta, Khampepe, Madlanga</w:t>
      </w:r>
      <w:r w:rsidR="00C61094">
        <w:rPr>
          <w:color w:val="000000"/>
        </w:rPr>
        <w:t>,</w:t>
      </w:r>
      <w:r w:rsidR="00C61094" w:rsidRPr="00C61094">
        <w:rPr>
          <w:color w:val="000000"/>
        </w:rPr>
        <w:t xml:space="preserve"> Majiedt, Mhlantla </w:t>
      </w:r>
      <w:r w:rsidR="00C61094">
        <w:rPr>
          <w:color w:val="000000"/>
        </w:rPr>
        <w:t>J</w:t>
      </w:r>
      <w:r w:rsidR="00C61094" w:rsidRPr="00C61094">
        <w:rPr>
          <w:color w:val="000000"/>
        </w:rPr>
        <w:t>J, Pillay AJ, Theron J, Tlaletsi AJ and Tshiqi J</w:t>
      </w:r>
    </w:p>
    <w:p w:rsidR="00FD1ACA" w:rsidRPr="002F4F7E" w:rsidRDefault="00FD1ACA" w:rsidP="00FD1ACA">
      <w:pPr>
        <w:rPr>
          <w:lang w:eastAsia="en-AU"/>
        </w:rPr>
      </w:pPr>
    </w:p>
    <w:p w:rsidR="00FD1ACA" w:rsidRPr="002F4F7E" w:rsidRDefault="00FD1ACA" w:rsidP="00FD1ACA">
      <w:pPr>
        <w:rPr>
          <w:b/>
          <w:lang w:eastAsia="en-AU"/>
        </w:rPr>
      </w:pPr>
      <w:r>
        <w:rPr>
          <w:b/>
          <w:lang w:eastAsia="en-AU"/>
        </w:rPr>
        <w:t>Catchwords:</w:t>
      </w:r>
    </w:p>
    <w:p w:rsidR="00FD1ACA" w:rsidRPr="00856E9C" w:rsidRDefault="00FD1ACA" w:rsidP="00FD1ACA">
      <w:pPr>
        <w:rPr>
          <w:b/>
          <w:highlight w:val="yellow"/>
          <w:lang w:eastAsia="en-AU"/>
        </w:rPr>
      </w:pPr>
    </w:p>
    <w:p w:rsidR="00FD1ACA" w:rsidRDefault="00C61094" w:rsidP="00FD1ACA">
      <w:pPr>
        <w:ind w:left="720"/>
        <w:rPr>
          <w:lang w:eastAsia="en-AU"/>
        </w:rPr>
      </w:pPr>
      <w:r>
        <w:rPr>
          <w:lang w:eastAsia="en-AU"/>
        </w:rPr>
        <w:t xml:space="preserve">Torts – Delicts – Negligence – Duty of care – Where </w:t>
      </w:r>
      <w:r w:rsidR="008D76F0">
        <w:rPr>
          <w:lang w:eastAsia="en-AU"/>
        </w:rPr>
        <w:t xml:space="preserve">applicant suffered injury at school when top beam of swing collapsed </w:t>
      </w:r>
      <w:r w:rsidR="008E7BCE">
        <w:rPr>
          <w:lang w:eastAsia="en-AU"/>
        </w:rPr>
        <w:t xml:space="preserve">on top of her </w:t>
      </w:r>
      <w:r w:rsidR="008D76F0">
        <w:rPr>
          <w:lang w:eastAsia="en-AU"/>
        </w:rPr>
        <w:t xml:space="preserve">– Where applicant sued respondent Minister for damages arising from incident – Where High Court upheld claim against Minister and Supreme Court of Appeal allowed Minister’s appeal – Whether Minister owed duty to take reasonable steps to ensure safety of equipment at schools. </w:t>
      </w:r>
    </w:p>
    <w:p w:rsidR="00C61094" w:rsidRPr="00856E9C" w:rsidRDefault="00C61094" w:rsidP="00FD1ACA">
      <w:pPr>
        <w:ind w:left="720"/>
        <w:rPr>
          <w:highlight w:val="yellow"/>
          <w:lang w:eastAsia="en-AU"/>
        </w:rPr>
      </w:pPr>
    </w:p>
    <w:p w:rsidR="00FD1ACA" w:rsidRPr="000D3E8D" w:rsidRDefault="00FD1ACA" w:rsidP="00FD1ACA">
      <w:pPr>
        <w:rPr>
          <w:lang w:eastAsia="en-AU"/>
        </w:rPr>
      </w:pPr>
      <w:r w:rsidRPr="002F4F7E">
        <w:rPr>
          <w:b/>
          <w:lang w:eastAsia="en-AU"/>
        </w:rPr>
        <w:t>Held (</w:t>
      </w:r>
      <w:r w:rsidR="008D76F0">
        <w:rPr>
          <w:b/>
          <w:lang w:eastAsia="en-AU"/>
        </w:rPr>
        <w:t>10</w:t>
      </w:r>
      <w:r>
        <w:rPr>
          <w:b/>
          <w:lang w:eastAsia="en-AU"/>
        </w:rPr>
        <w:t>:0</w:t>
      </w:r>
      <w:r w:rsidRPr="002F4F7E">
        <w:rPr>
          <w:b/>
          <w:lang w:eastAsia="en-AU"/>
        </w:rPr>
        <w:t xml:space="preserve">): </w:t>
      </w:r>
      <w:r w:rsidR="008D76F0">
        <w:rPr>
          <w:lang w:eastAsia="en-AU"/>
        </w:rPr>
        <w:t xml:space="preserve">Leave to appeal granted’ appeal dismissed. </w:t>
      </w:r>
      <w:r>
        <w:rPr>
          <w:lang w:eastAsia="en-AU"/>
        </w:rPr>
        <w:t xml:space="preserve"> </w:t>
      </w:r>
    </w:p>
    <w:p w:rsidR="00FD1ACA" w:rsidRPr="00181993" w:rsidRDefault="00FD1ACA" w:rsidP="00FD1ACA">
      <w:pPr>
        <w:pStyle w:val="BullDivider1"/>
        <w:pBdr>
          <w:bottom w:val="dotted" w:sz="4" w:space="0" w:color="auto"/>
        </w:pBdr>
      </w:pPr>
    </w:p>
    <w:p w:rsidR="005F103F" w:rsidRDefault="005F103F" w:rsidP="005F103F"/>
    <w:p w:rsidR="008A1E60" w:rsidRDefault="008A1E60" w:rsidP="005F103F">
      <w:pPr>
        <w:rPr>
          <w:rFonts w:ascii="Arial" w:hAnsi="Arial" w:cs="Arial"/>
          <w:bCs/>
          <w:i/>
          <w:iCs/>
          <w:sz w:val="28"/>
          <w:szCs w:val="28"/>
          <w:lang w:eastAsia="en-AU"/>
        </w:rPr>
      </w:pPr>
      <w:r w:rsidRPr="008A1E60">
        <w:rPr>
          <w:rFonts w:ascii="Arial" w:hAnsi="Arial" w:cs="Arial"/>
          <w:bCs/>
          <w:i/>
          <w:iCs/>
          <w:sz w:val="28"/>
          <w:szCs w:val="28"/>
          <w:lang w:eastAsia="en-AU"/>
        </w:rPr>
        <w:lastRenderedPageBreak/>
        <w:t xml:space="preserve">Secretary of State for Health </w:t>
      </w:r>
      <w:r w:rsidR="00221689">
        <w:rPr>
          <w:rFonts w:ascii="Arial" w:hAnsi="Arial" w:cs="Arial"/>
          <w:bCs/>
          <w:i/>
          <w:iCs/>
          <w:sz w:val="28"/>
          <w:szCs w:val="28"/>
          <w:lang w:eastAsia="en-AU"/>
        </w:rPr>
        <w:t>&amp;</w:t>
      </w:r>
      <w:r w:rsidRPr="008A1E60">
        <w:rPr>
          <w:rFonts w:ascii="Arial" w:hAnsi="Arial" w:cs="Arial"/>
          <w:bCs/>
          <w:i/>
          <w:iCs/>
          <w:sz w:val="28"/>
          <w:szCs w:val="28"/>
          <w:lang w:eastAsia="en-AU"/>
        </w:rPr>
        <w:t xml:space="preserve"> Anor v Servier Laboratories Ltd </w:t>
      </w:r>
      <w:r w:rsidR="00221689">
        <w:rPr>
          <w:rFonts w:ascii="Arial" w:hAnsi="Arial" w:cs="Arial"/>
          <w:bCs/>
          <w:i/>
          <w:iCs/>
          <w:sz w:val="28"/>
          <w:szCs w:val="28"/>
          <w:lang w:eastAsia="en-AU"/>
        </w:rPr>
        <w:t>&amp;</w:t>
      </w:r>
      <w:r w:rsidRPr="008A1E60">
        <w:rPr>
          <w:rFonts w:ascii="Arial" w:hAnsi="Arial" w:cs="Arial"/>
          <w:bCs/>
          <w:i/>
          <w:iCs/>
          <w:sz w:val="28"/>
          <w:szCs w:val="28"/>
          <w:lang w:eastAsia="en-AU"/>
        </w:rPr>
        <w:t xml:space="preserve"> Ors </w:t>
      </w:r>
    </w:p>
    <w:p w:rsidR="005F103F" w:rsidRPr="002F4F7E" w:rsidRDefault="005F103F" w:rsidP="005F103F">
      <w:pPr>
        <w:rPr>
          <w:lang w:eastAsia="en-AU"/>
        </w:rPr>
      </w:pPr>
      <w:r>
        <w:rPr>
          <w:b/>
          <w:lang w:eastAsia="en-AU"/>
        </w:rPr>
        <w:t xml:space="preserve">Supreme Court of </w:t>
      </w:r>
      <w:r w:rsidR="008A1E60">
        <w:rPr>
          <w:b/>
          <w:lang w:eastAsia="en-AU"/>
        </w:rPr>
        <w:t>the United Kingdom</w:t>
      </w:r>
      <w:r w:rsidRPr="002F4F7E">
        <w:rPr>
          <w:b/>
          <w:lang w:eastAsia="en-AU"/>
        </w:rPr>
        <w:t xml:space="preserve">: </w:t>
      </w:r>
      <w:hyperlink r:id="rId41" w:history="1">
        <w:r w:rsidR="008A1E60" w:rsidRPr="008A1E60">
          <w:rPr>
            <w:rStyle w:val="Hyperlink"/>
            <w:lang w:eastAsia="en-AU"/>
          </w:rPr>
          <w:t>[2021] UKSC 24</w:t>
        </w:r>
      </w:hyperlink>
    </w:p>
    <w:p w:rsidR="005F103F" w:rsidRPr="002F4F7E" w:rsidRDefault="005F103F" w:rsidP="005F103F">
      <w:pPr>
        <w:rPr>
          <w:lang w:eastAsia="en-AU"/>
        </w:rPr>
      </w:pPr>
    </w:p>
    <w:p w:rsidR="005F103F" w:rsidRPr="002F4F7E" w:rsidRDefault="005F103F" w:rsidP="005F103F">
      <w:pPr>
        <w:rPr>
          <w:lang w:eastAsia="en-AU"/>
        </w:rPr>
      </w:pPr>
      <w:r w:rsidRPr="002F4F7E">
        <w:rPr>
          <w:b/>
          <w:lang w:eastAsia="en-AU"/>
        </w:rPr>
        <w:t>Judgment delivered:</w:t>
      </w:r>
      <w:r w:rsidRPr="002F4F7E">
        <w:rPr>
          <w:lang w:eastAsia="en-AU"/>
        </w:rPr>
        <w:t xml:space="preserve"> </w:t>
      </w:r>
      <w:r>
        <w:rPr>
          <w:lang w:eastAsia="en-AU"/>
        </w:rPr>
        <w:t>2 July 2021</w:t>
      </w:r>
    </w:p>
    <w:p w:rsidR="005F103F" w:rsidRPr="002F4F7E" w:rsidRDefault="005F103F" w:rsidP="005F103F">
      <w:pPr>
        <w:rPr>
          <w:lang w:eastAsia="en-AU"/>
        </w:rPr>
      </w:pPr>
    </w:p>
    <w:p w:rsidR="005F103F" w:rsidRPr="002F4F7E" w:rsidRDefault="005F103F" w:rsidP="005F103F">
      <w:pPr>
        <w:rPr>
          <w:lang w:eastAsia="en-AU"/>
        </w:rPr>
      </w:pPr>
      <w:r w:rsidRPr="002F4F7E">
        <w:rPr>
          <w:b/>
          <w:lang w:eastAsia="en-AU"/>
        </w:rPr>
        <w:t xml:space="preserve">Coram: </w:t>
      </w:r>
      <w:r w:rsidR="008A1E60">
        <w:rPr>
          <w:color w:val="000000"/>
        </w:rPr>
        <w:t xml:space="preserve">Lord Reed, Lord Hodge, </w:t>
      </w:r>
      <w:r w:rsidR="008A1E60" w:rsidRPr="008A1E60">
        <w:rPr>
          <w:color w:val="000000"/>
        </w:rPr>
        <w:t>Lord Lloyd-Jones, Lord Briggs, Lord Kitchin, Lord Sales</w:t>
      </w:r>
      <w:r w:rsidR="008A1E60">
        <w:rPr>
          <w:color w:val="000000"/>
        </w:rPr>
        <w:t xml:space="preserve"> and</w:t>
      </w:r>
      <w:r w:rsidR="008A1E60" w:rsidRPr="008A1E60">
        <w:rPr>
          <w:color w:val="000000"/>
        </w:rPr>
        <w:t xml:space="preserve"> Lord Hamblen</w:t>
      </w:r>
    </w:p>
    <w:p w:rsidR="005F103F" w:rsidRPr="002F4F7E" w:rsidRDefault="005F103F" w:rsidP="005F103F">
      <w:pPr>
        <w:rPr>
          <w:lang w:eastAsia="en-AU"/>
        </w:rPr>
      </w:pPr>
    </w:p>
    <w:p w:rsidR="005F103F" w:rsidRPr="002F4F7E" w:rsidRDefault="005F103F" w:rsidP="005F103F">
      <w:pPr>
        <w:rPr>
          <w:b/>
          <w:lang w:eastAsia="en-AU"/>
        </w:rPr>
      </w:pPr>
      <w:r>
        <w:rPr>
          <w:b/>
          <w:lang w:eastAsia="en-AU"/>
        </w:rPr>
        <w:t>Catchwords:</w:t>
      </w:r>
    </w:p>
    <w:p w:rsidR="005F103F" w:rsidRPr="00856E9C" w:rsidRDefault="005F103F" w:rsidP="005F103F">
      <w:pPr>
        <w:rPr>
          <w:b/>
          <w:highlight w:val="yellow"/>
          <w:lang w:eastAsia="en-AU"/>
        </w:rPr>
      </w:pPr>
    </w:p>
    <w:p w:rsidR="005F103F" w:rsidRDefault="008A1E60" w:rsidP="005F103F">
      <w:pPr>
        <w:ind w:left="720"/>
        <w:rPr>
          <w:lang w:eastAsia="en-AU"/>
        </w:rPr>
      </w:pPr>
      <w:r>
        <w:rPr>
          <w:lang w:eastAsia="en-AU"/>
        </w:rPr>
        <w:t xml:space="preserve">Torts – Causing loss by unlawful means – Dealing requirement – Where respondent granted patent by European Patent Office (EPO) – Where challenge to patent upheld in UK Court of Appeal and EPO Technical Board of Appeal revoked patent – Where appellants alleged respondent practised deceit on EPO and courts (third parties) with intention of profiting at expense of appellants by obtaining and defending patent while knowing or reckless as to novelty of patent subject – Where High Court struck out claim on basis unlawful means tort requires impugned act affected third party’s freedom to deal with appellant – Where Court of Appeal dismissed appellant’s appeal – Whether necessary element of unlawful means tort is unlawful means affect third party’s freedom to deal with claimant. </w:t>
      </w:r>
    </w:p>
    <w:p w:rsidR="005F103F" w:rsidRPr="00856E9C" w:rsidRDefault="005F103F" w:rsidP="005F103F">
      <w:pPr>
        <w:ind w:left="720"/>
        <w:rPr>
          <w:highlight w:val="yellow"/>
          <w:lang w:eastAsia="en-AU"/>
        </w:rPr>
      </w:pPr>
    </w:p>
    <w:p w:rsidR="005F103F" w:rsidRDefault="005F103F" w:rsidP="005F103F">
      <w:pPr>
        <w:rPr>
          <w:lang w:eastAsia="en-AU"/>
        </w:rPr>
      </w:pPr>
      <w:r w:rsidRPr="002F4F7E">
        <w:rPr>
          <w:b/>
          <w:lang w:eastAsia="en-AU"/>
        </w:rPr>
        <w:t>Held (</w:t>
      </w:r>
      <w:r>
        <w:rPr>
          <w:b/>
          <w:lang w:eastAsia="en-AU"/>
        </w:rPr>
        <w:t>7:0</w:t>
      </w:r>
      <w:r w:rsidRPr="002F4F7E">
        <w:rPr>
          <w:b/>
          <w:lang w:eastAsia="en-AU"/>
        </w:rPr>
        <w:t xml:space="preserve">): </w:t>
      </w:r>
      <w:r>
        <w:rPr>
          <w:lang w:eastAsia="en-AU"/>
        </w:rPr>
        <w:t xml:space="preserve">Appeal </w:t>
      </w:r>
      <w:r w:rsidR="008A1E60">
        <w:rPr>
          <w:lang w:eastAsia="en-AU"/>
        </w:rPr>
        <w:t xml:space="preserve">dismissed. </w:t>
      </w:r>
      <w:r>
        <w:rPr>
          <w:lang w:eastAsia="en-AU"/>
        </w:rPr>
        <w:t xml:space="preserve">  </w:t>
      </w:r>
    </w:p>
    <w:p w:rsidR="002549A2" w:rsidRDefault="002549A2" w:rsidP="002549A2">
      <w:pPr>
        <w:rPr>
          <w:lang w:eastAsia="en-AU"/>
        </w:rPr>
      </w:pPr>
      <w:r>
        <w:rPr>
          <w:lang w:eastAsia="en-AU"/>
        </w:rPr>
        <w:t xml:space="preserve">  </w:t>
      </w:r>
    </w:p>
    <w:p w:rsidR="00620F1A" w:rsidRPr="00B546B2" w:rsidRDefault="00620F1A" w:rsidP="00620F1A">
      <w:pPr>
        <w:rPr>
          <w:highlight w:val="yellow"/>
        </w:rPr>
      </w:pPr>
    </w:p>
    <w:sectPr w:rsidR="00620F1A" w:rsidRPr="00B546B2" w:rsidSect="00F4611C">
      <w:footerReference w:type="default" r:id="rId4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F73" w:rsidRDefault="00FA7F73" w:rsidP="00803531">
      <w:r>
        <w:separator/>
      </w:r>
    </w:p>
  </w:endnote>
  <w:endnote w:type="continuationSeparator" w:id="0">
    <w:p w:rsidR="00FA7F73" w:rsidRDefault="00FA7F73" w:rsidP="0080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BF3" w:rsidRDefault="00445BF3" w:rsidP="00FF7AAF">
    <w:pPr>
      <w:pStyle w:val="Footer"/>
    </w:pPr>
    <w:r w:rsidRPr="00227DEC">
      <w:t>ODB (2021) 18:4</w:t>
    </w:r>
    <w:r w:rsidRPr="00227DEC">
      <w:tab/>
    </w:r>
    <w:r w:rsidRPr="00227DEC">
      <w:tab/>
    </w:r>
    <w:hyperlink w:anchor="_top" w:history="1">
      <w:r w:rsidRPr="00227DEC">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F73" w:rsidRDefault="00FA7F73" w:rsidP="00803531">
      <w:r>
        <w:separator/>
      </w:r>
    </w:p>
  </w:footnote>
  <w:footnote w:type="continuationSeparator" w:id="0">
    <w:p w:rsidR="00FA7F73" w:rsidRDefault="00FA7F73" w:rsidP="0080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AE56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261D1D"/>
    <w:multiLevelType w:val="hybridMultilevel"/>
    <w:tmpl w:val="A2C84320"/>
    <w:lvl w:ilvl="0" w:tplc="3558C7F6">
      <w:numFmt w:val="bullet"/>
      <w:lvlText w:val="-"/>
      <w:lvlJc w:val="left"/>
      <w:pPr>
        <w:ind w:left="1080" w:hanging="360"/>
      </w:pPr>
      <w:rPr>
        <w:rFonts w:ascii="Verdana" w:eastAsia="Times New Roman" w:hAnsi="Verdan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2FC1ABC9-96F7-48C6-8917-90547F4220EA}"/>
    <w:docVar w:name="dgnword-eventsink" w:val="90600792"/>
  </w:docVars>
  <w:rsids>
    <w:rsidRoot w:val="00D533AE"/>
    <w:rsid w:val="00003A8C"/>
    <w:rsid w:val="0000611F"/>
    <w:rsid w:val="000061F8"/>
    <w:rsid w:val="00007833"/>
    <w:rsid w:val="0001028C"/>
    <w:rsid w:val="00012586"/>
    <w:rsid w:val="00014F57"/>
    <w:rsid w:val="00016876"/>
    <w:rsid w:val="00020080"/>
    <w:rsid w:val="000206E8"/>
    <w:rsid w:val="00025A72"/>
    <w:rsid w:val="0002797C"/>
    <w:rsid w:val="000300A3"/>
    <w:rsid w:val="00034778"/>
    <w:rsid w:val="00035ADE"/>
    <w:rsid w:val="00036B97"/>
    <w:rsid w:val="00040616"/>
    <w:rsid w:val="00041979"/>
    <w:rsid w:val="00044344"/>
    <w:rsid w:val="00054234"/>
    <w:rsid w:val="00055030"/>
    <w:rsid w:val="00056565"/>
    <w:rsid w:val="00056AFF"/>
    <w:rsid w:val="000608CF"/>
    <w:rsid w:val="0006158D"/>
    <w:rsid w:val="00061DE2"/>
    <w:rsid w:val="00062A56"/>
    <w:rsid w:val="00063EAE"/>
    <w:rsid w:val="00064C83"/>
    <w:rsid w:val="00071C1F"/>
    <w:rsid w:val="00071E8B"/>
    <w:rsid w:val="0007274E"/>
    <w:rsid w:val="00075100"/>
    <w:rsid w:val="0007563A"/>
    <w:rsid w:val="00076788"/>
    <w:rsid w:val="00083B55"/>
    <w:rsid w:val="0008559E"/>
    <w:rsid w:val="00092FB3"/>
    <w:rsid w:val="00097C28"/>
    <w:rsid w:val="000A0C44"/>
    <w:rsid w:val="000A0D8C"/>
    <w:rsid w:val="000A1252"/>
    <w:rsid w:val="000A148B"/>
    <w:rsid w:val="000A28E4"/>
    <w:rsid w:val="000A32A4"/>
    <w:rsid w:val="000A3B5A"/>
    <w:rsid w:val="000A52DA"/>
    <w:rsid w:val="000B2704"/>
    <w:rsid w:val="000B2CC5"/>
    <w:rsid w:val="000B404F"/>
    <w:rsid w:val="000B4066"/>
    <w:rsid w:val="000B6229"/>
    <w:rsid w:val="000B64D7"/>
    <w:rsid w:val="000C0320"/>
    <w:rsid w:val="000C0D72"/>
    <w:rsid w:val="000C0DD6"/>
    <w:rsid w:val="000C13EC"/>
    <w:rsid w:val="000C26C1"/>
    <w:rsid w:val="000C70A6"/>
    <w:rsid w:val="000D1D3A"/>
    <w:rsid w:val="000D28D6"/>
    <w:rsid w:val="000D2EE4"/>
    <w:rsid w:val="000D3E8D"/>
    <w:rsid w:val="000D5142"/>
    <w:rsid w:val="000E1CE7"/>
    <w:rsid w:val="000E2BAA"/>
    <w:rsid w:val="000E58D2"/>
    <w:rsid w:val="000E5BD7"/>
    <w:rsid w:val="000E5F48"/>
    <w:rsid w:val="000E7F45"/>
    <w:rsid w:val="000F0DBE"/>
    <w:rsid w:val="000F389D"/>
    <w:rsid w:val="000F4DC5"/>
    <w:rsid w:val="000F7D3C"/>
    <w:rsid w:val="00100B3E"/>
    <w:rsid w:val="001018FD"/>
    <w:rsid w:val="001036AC"/>
    <w:rsid w:val="00103F4B"/>
    <w:rsid w:val="00106FCA"/>
    <w:rsid w:val="00112D8A"/>
    <w:rsid w:val="001139AF"/>
    <w:rsid w:val="00113C18"/>
    <w:rsid w:val="00115250"/>
    <w:rsid w:val="001158DF"/>
    <w:rsid w:val="00117699"/>
    <w:rsid w:val="00121E50"/>
    <w:rsid w:val="001224D8"/>
    <w:rsid w:val="00122616"/>
    <w:rsid w:val="00122779"/>
    <w:rsid w:val="001247EB"/>
    <w:rsid w:val="00125B7B"/>
    <w:rsid w:val="0012760C"/>
    <w:rsid w:val="0013001F"/>
    <w:rsid w:val="00130C04"/>
    <w:rsid w:val="001328C3"/>
    <w:rsid w:val="00133E53"/>
    <w:rsid w:val="001348BB"/>
    <w:rsid w:val="00136EE9"/>
    <w:rsid w:val="00137559"/>
    <w:rsid w:val="0013755F"/>
    <w:rsid w:val="00140FCC"/>
    <w:rsid w:val="00142680"/>
    <w:rsid w:val="00143ADC"/>
    <w:rsid w:val="001451E5"/>
    <w:rsid w:val="001468A0"/>
    <w:rsid w:val="0014793D"/>
    <w:rsid w:val="00150915"/>
    <w:rsid w:val="00150962"/>
    <w:rsid w:val="00152A41"/>
    <w:rsid w:val="00154743"/>
    <w:rsid w:val="00155A72"/>
    <w:rsid w:val="00161796"/>
    <w:rsid w:val="001638E7"/>
    <w:rsid w:val="001639F4"/>
    <w:rsid w:val="00164073"/>
    <w:rsid w:val="00164A02"/>
    <w:rsid w:val="0016544D"/>
    <w:rsid w:val="00166D65"/>
    <w:rsid w:val="001671EE"/>
    <w:rsid w:val="001730B2"/>
    <w:rsid w:val="001761EF"/>
    <w:rsid w:val="001762D9"/>
    <w:rsid w:val="001765A2"/>
    <w:rsid w:val="0017729B"/>
    <w:rsid w:val="00180393"/>
    <w:rsid w:val="00180D2F"/>
    <w:rsid w:val="0018118A"/>
    <w:rsid w:val="00181274"/>
    <w:rsid w:val="001812FD"/>
    <w:rsid w:val="00181993"/>
    <w:rsid w:val="00181C26"/>
    <w:rsid w:val="00181C2D"/>
    <w:rsid w:val="00182267"/>
    <w:rsid w:val="00182F80"/>
    <w:rsid w:val="00183809"/>
    <w:rsid w:val="001845F8"/>
    <w:rsid w:val="00184BF6"/>
    <w:rsid w:val="00185B04"/>
    <w:rsid w:val="001861E1"/>
    <w:rsid w:val="0018777A"/>
    <w:rsid w:val="0019053F"/>
    <w:rsid w:val="0019057F"/>
    <w:rsid w:val="00190714"/>
    <w:rsid w:val="00193C5B"/>
    <w:rsid w:val="00193D7D"/>
    <w:rsid w:val="00196B53"/>
    <w:rsid w:val="00197443"/>
    <w:rsid w:val="001A1741"/>
    <w:rsid w:val="001A1BEC"/>
    <w:rsid w:val="001A3C19"/>
    <w:rsid w:val="001A3D22"/>
    <w:rsid w:val="001A5535"/>
    <w:rsid w:val="001A674A"/>
    <w:rsid w:val="001B0F99"/>
    <w:rsid w:val="001B1D92"/>
    <w:rsid w:val="001B34E9"/>
    <w:rsid w:val="001B62EE"/>
    <w:rsid w:val="001B6F90"/>
    <w:rsid w:val="001C02C1"/>
    <w:rsid w:val="001D1234"/>
    <w:rsid w:val="001D1F45"/>
    <w:rsid w:val="001D36B4"/>
    <w:rsid w:val="001D376F"/>
    <w:rsid w:val="001D4B11"/>
    <w:rsid w:val="001E333A"/>
    <w:rsid w:val="001E3CAD"/>
    <w:rsid w:val="001E5A46"/>
    <w:rsid w:val="001E6171"/>
    <w:rsid w:val="001F09C4"/>
    <w:rsid w:val="001F33E7"/>
    <w:rsid w:val="001F3418"/>
    <w:rsid w:val="00201235"/>
    <w:rsid w:val="00201B76"/>
    <w:rsid w:val="00201D90"/>
    <w:rsid w:val="00205443"/>
    <w:rsid w:val="00205B04"/>
    <w:rsid w:val="00207229"/>
    <w:rsid w:val="002110A3"/>
    <w:rsid w:val="00211DFA"/>
    <w:rsid w:val="00212027"/>
    <w:rsid w:val="002121B7"/>
    <w:rsid w:val="00212845"/>
    <w:rsid w:val="002133BA"/>
    <w:rsid w:val="0021397A"/>
    <w:rsid w:val="00213C1A"/>
    <w:rsid w:val="00213D2B"/>
    <w:rsid w:val="002209A5"/>
    <w:rsid w:val="00221689"/>
    <w:rsid w:val="0022191E"/>
    <w:rsid w:val="00221F4D"/>
    <w:rsid w:val="002225AA"/>
    <w:rsid w:val="002233EB"/>
    <w:rsid w:val="0022481A"/>
    <w:rsid w:val="00227473"/>
    <w:rsid w:val="00227577"/>
    <w:rsid w:val="00227DEC"/>
    <w:rsid w:val="00230A69"/>
    <w:rsid w:val="002347CA"/>
    <w:rsid w:val="00236AC3"/>
    <w:rsid w:val="00240E8A"/>
    <w:rsid w:val="002410CC"/>
    <w:rsid w:val="00242C96"/>
    <w:rsid w:val="002433A8"/>
    <w:rsid w:val="00243A33"/>
    <w:rsid w:val="002459E4"/>
    <w:rsid w:val="00245DAD"/>
    <w:rsid w:val="00246EF5"/>
    <w:rsid w:val="00247287"/>
    <w:rsid w:val="002477DC"/>
    <w:rsid w:val="00250F94"/>
    <w:rsid w:val="00251D0F"/>
    <w:rsid w:val="0025252A"/>
    <w:rsid w:val="002526F0"/>
    <w:rsid w:val="00252F31"/>
    <w:rsid w:val="00254090"/>
    <w:rsid w:val="002540B8"/>
    <w:rsid w:val="002549A2"/>
    <w:rsid w:val="00256B0D"/>
    <w:rsid w:val="00270FCA"/>
    <w:rsid w:val="0027369F"/>
    <w:rsid w:val="00276923"/>
    <w:rsid w:val="00280499"/>
    <w:rsid w:val="00281809"/>
    <w:rsid w:val="0028505C"/>
    <w:rsid w:val="00285C50"/>
    <w:rsid w:val="00286BC6"/>
    <w:rsid w:val="002904E1"/>
    <w:rsid w:val="002936F6"/>
    <w:rsid w:val="00296137"/>
    <w:rsid w:val="00297845"/>
    <w:rsid w:val="00297DFE"/>
    <w:rsid w:val="002A3C55"/>
    <w:rsid w:val="002A527B"/>
    <w:rsid w:val="002A69DC"/>
    <w:rsid w:val="002A6DD4"/>
    <w:rsid w:val="002B1336"/>
    <w:rsid w:val="002B1A95"/>
    <w:rsid w:val="002B4119"/>
    <w:rsid w:val="002B47B1"/>
    <w:rsid w:val="002B58BD"/>
    <w:rsid w:val="002B7B5E"/>
    <w:rsid w:val="002C0A90"/>
    <w:rsid w:val="002C2C37"/>
    <w:rsid w:val="002C3E68"/>
    <w:rsid w:val="002C5401"/>
    <w:rsid w:val="002C5856"/>
    <w:rsid w:val="002E059E"/>
    <w:rsid w:val="002E0A88"/>
    <w:rsid w:val="002E3D12"/>
    <w:rsid w:val="002E5D09"/>
    <w:rsid w:val="002E7C04"/>
    <w:rsid w:val="002F18CF"/>
    <w:rsid w:val="002F220E"/>
    <w:rsid w:val="002F40F5"/>
    <w:rsid w:val="002F41DC"/>
    <w:rsid w:val="002F4B3A"/>
    <w:rsid w:val="002F4F7E"/>
    <w:rsid w:val="002F5F93"/>
    <w:rsid w:val="002F6666"/>
    <w:rsid w:val="002F73D6"/>
    <w:rsid w:val="002F786A"/>
    <w:rsid w:val="002F7A17"/>
    <w:rsid w:val="002F7D66"/>
    <w:rsid w:val="00301AC5"/>
    <w:rsid w:val="00301B43"/>
    <w:rsid w:val="00303C40"/>
    <w:rsid w:val="00304307"/>
    <w:rsid w:val="00307804"/>
    <w:rsid w:val="0031010D"/>
    <w:rsid w:val="00310522"/>
    <w:rsid w:val="00310A4E"/>
    <w:rsid w:val="0031754B"/>
    <w:rsid w:val="0032013E"/>
    <w:rsid w:val="0032098B"/>
    <w:rsid w:val="0032244A"/>
    <w:rsid w:val="00326031"/>
    <w:rsid w:val="003261E1"/>
    <w:rsid w:val="0033020E"/>
    <w:rsid w:val="00342F77"/>
    <w:rsid w:val="003470D1"/>
    <w:rsid w:val="00351E4C"/>
    <w:rsid w:val="003553B8"/>
    <w:rsid w:val="003579AA"/>
    <w:rsid w:val="003604E8"/>
    <w:rsid w:val="00360F0A"/>
    <w:rsid w:val="0036233C"/>
    <w:rsid w:val="00363764"/>
    <w:rsid w:val="0036633D"/>
    <w:rsid w:val="0037207F"/>
    <w:rsid w:val="0037306C"/>
    <w:rsid w:val="0037370F"/>
    <w:rsid w:val="00373D30"/>
    <w:rsid w:val="00375515"/>
    <w:rsid w:val="0037654C"/>
    <w:rsid w:val="00380978"/>
    <w:rsid w:val="00381899"/>
    <w:rsid w:val="0038382C"/>
    <w:rsid w:val="00385DA8"/>
    <w:rsid w:val="003868AD"/>
    <w:rsid w:val="00387C34"/>
    <w:rsid w:val="003908CA"/>
    <w:rsid w:val="003A011E"/>
    <w:rsid w:val="003A1231"/>
    <w:rsid w:val="003A156B"/>
    <w:rsid w:val="003A1962"/>
    <w:rsid w:val="003A3A72"/>
    <w:rsid w:val="003A7D12"/>
    <w:rsid w:val="003B13F6"/>
    <w:rsid w:val="003B18B6"/>
    <w:rsid w:val="003B3C02"/>
    <w:rsid w:val="003B405E"/>
    <w:rsid w:val="003B5377"/>
    <w:rsid w:val="003C0017"/>
    <w:rsid w:val="003C18F0"/>
    <w:rsid w:val="003C25CB"/>
    <w:rsid w:val="003C28A6"/>
    <w:rsid w:val="003C4007"/>
    <w:rsid w:val="003C606F"/>
    <w:rsid w:val="003C6712"/>
    <w:rsid w:val="003C7439"/>
    <w:rsid w:val="003D72BF"/>
    <w:rsid w:val="003D7578"/>
    <w:rsid w:val="003E0190"/>
    <w:rsid w:val="003E27C2"/>
    <w:rsid w:val="003E31C1"/>
    <w:rsid w:val="003F165A"/>
    <w:rsid w:val="003F1AD9"/>
    <w:rsid w:val="003F26EE"/>
    <w:rsid w:val="003F270F"/>
    <w:rsid w:val="003F3508"/>
    <w:rsid w:val="003F4132"/>
    <w:rsid w:val="003F418A"/>
    <w:rsid w:val="003F5341"/>
    <w:rsid w:val="003F6485"/>
    <w:rsid w:val="004007CD"/>
    <w:rsid w:val="00401A7C"/>
    <w:rsid w:val="00403C92"/>
    <w:rsid w:val="004061FF"/>
    <w:rsid w:val="00412E8D"/>
    <w:rsid w:val="004138B3"/>
    <w:rsid w:val="00414F67"/>
    <w:rsid w:val="00415D91"/>
    <w:rsid w:val="00420BDA"/>
    <w:rsid w:val="004211CE"/>
    <w:rsid w:val="00421D81"/>
    <w:rsid w:val="00423F69"/>
    <w:rsid w:val="00424660"/>
    <w:rsid w:val="00427221"/>
    <w:rsid w:val="004273FD"/>
    <w:rsid w:val="00430424"/>
    <w:rsid w:val="0043209B"/>
    <w:rsid w:val="0043549F"/>
    <w:rsid w:val="00436081"/>
    <w:rsid w:val="004402BC"/>
    <w:rsid w:val="00444A54"/>
    <w:rsid w:val="00445279"/>
    <w:rsid w:val="00445BF3"/>
    <w:rsid w:val="00451339"/>
    <w:rsid w:val="00451E71"/>
    <w:rsid w:val="00455553"/>
    <w:rsid w:val="00455B96"/>
    <w:rsid w:val="004570E7"/>
    <w:rsid w:val="0046101B"/>
    <w:rsid w:val="00462AEB"/>
    <w:rsid w:val="0046475B"/>
    <w:rsid w:val="00465D90"/>
    <w:rsid w:val="00466473"/>
    <w:rsid w:val="00466689"/>
    <w:rsid w:val="004668F6"/>
    <w:rsid w:val="004676C3"/>
    <w:rsid w:val="004706F8"/>
    <w:rsid w:val="004711A0"/>
    <w:rsid w:val="00475D39"/>
    <w:rsid w:val="00476476"/>
    <w:rsid w:val="00477A68"/>
    <w:rsid w:val="00480F84"/>
    <w:rsid w:val="00481FA6"/>
    <w:rsid w:val="00482C3A"/>
    <w:rsid w:val="00484053"/>
    <w:rsid w:val="00486A6F"/>
    <w:rsid w:val="00486B32"/>
    <w:rsid w:val="00490E9B"/>
    <w:rsid w:val="00493062"/>
    <w:rsid w:val="00497C2A"/>
    <w:rsid w:val="004B33B5"/>
    <w:rsid w:val="004B4405"/>
    <w:rsid w:val="004B509B"/>
    <w:rsid w:val="004B5AE4"/>
    <w:rsid w:val="004B7772"/>
    <w:rsid w:val="004C01B0"/>
    <w:rsid w:val="004C3A90"/>
    <w:rsid w:val="004C5D19"/>
    <w:rsid w:val="004D1BDA"/>
    <w:rsid w:val="004D3E8E"/>
    <w:rsid w:val="004D416B"/>
    <w:rsid w:val="004D4D99"/>
    <w:rsid w:val="004E5A9D"/>
    <w:rsid w:val="004F2FA3"/>
    <w:rsid w:val="004F5D25"/>
    <w:rsid w:val="004F76BF"/>
    <w:rsid w:val="004F79DE"/>
    <w:rsid w:val="004F7B7B"/>
    <w:rsid w:val="00502BC3"/>
    <w:rsid w:val="00502C3F"/>
    <w:rsid w:val="00503C5F"/>
    <w:rsid w:val="00510C1C"/>
    <w:rsid w:val="00512244"/>
    <w:rsid w:val="0051272D"/>
    <w:rsid w:val="00514E2E"/>
    <w:rsid w:val="00516BB6"/>
    <w:rsid w:val="005208B3"/>
    <w:rsid w:val="00521A62"/>
    <w:rsid w:val="00521CE7"/>
    <w:rsid w:val="0052287E"/>
    <w:rsid w:val="00524296"/>
    <w:rsid w:val="00525007"/>
    <w:rsid w:val="0053305E"/>
    <w:rsid w:val="00533C10"/>
    <w:rsid w:val="005344BB"/>
    <w:rsid w:val="00541281"/>
    <w:rsid w:val="00542209"/>
    <w:rsid w:val="005428DC"/>
    <w:rsid w:val="00545ED8"/>
    <w:rsid w:val="005465A4"/>
    <w:rsid w:val="005577D3"/>
    <w:rsid w:val="00560229"/>
    <w:rsid w:val="00562037"/>
    <w:rsid w:val="00562D37"/>
    <w:rsid w:val="00564976"/>
    <w:rsid w:val="00566941"/>
    <w:rsid w:val="0057096E"/>
    <w:rsid w:val="00572002"/>
    <w:rsid w:val="00573E57"/>
    <w:rsid w:val="00575041"/>
    <w:rsid w:val="005779CA"/>
    <w:rsid w:val="00580849"/>
    <w:rsid w:val="00580959"/>
    <w:rsid w:val="005817A0"/>
    <w:rsid w:val="00581EE1"/>
    <w:rsid w:val="00586493"/>
    <w:rsid w:val="005912F2"/>
    <w:rsid w:val="00592667"/>
    <w:rsid w:val="0059269E"/>
    <w:rsid w:val="00593341"/>
    <w:rsid w:val="005942A7"/>
    <w:rsid w:val="005946CD"/>
    <w:rsid w:val="00597F08"/>
    <w:rsid w:val="005A0C20"/>
    <w:rsid w:val="005A1474"/>
    <w:rsid w:val="005A38CD"/>
    <w:rsid w:val="005B2468"/>
    <w:rsid w:val="005C1893"/>
    <w:rsid w:val="005C5A84"/>
    <w:rsid w:val="005C6023"/>
    <w:rsid w:val="005C6B57"/>
    <w:rsid w:val="005D10AC"/>
    <w:rsid w:val="005D1CEE"/>
    <w:rsid w:val="005D2400"/>
    <w:rsid w:val="005D4626"/>
    <w:rsid w:val="005E08A5"/>
    <w:rsid w:val="005E2B34"/>
    <w:rsid w:val="005E4CF4"/>
    <w:rsid w:val="005E5DAF"/>
    <w:rsid w:val="005E6984"/>
    <w:rsid w:val="005F0B55"/>
    <w:rsid w:val="005F0F89"/>
    <w:rsid w:val="005F103F"/>
    <w:rsid w:val="005F122D"/>
    <w:rsid w:val="005F12F6"/>
    <w:rsid w:val="005F4AE2"/>
    <w:rsid w:val="005F6CE0"/>
    <w:rsid w:val="00605527"/>
    <w:rsid w:val="00611AB9"/>
    <w:rsid w:val="00613431"/>
    <w:rsid w:val="006151E0"/>
    <w:rsid w:val="006153D8"/>
    <w:rsid w:val="00615569"/>
    <w:rsid w:val="00616B64"/>
    <w:rsid w:val="00620F1A"/>
    <w:rsid w:val="00622DC8"/>
    <w:rsid w:val="00623BCE"/>
    <w:rsid w:val="00623E1A"/>
    <w:rsid w:val="0062493B"/>
    <w:rsid w:val="006261C0"/>
    <w:rsid w:val="006278AB"/>
    <w:rsid w:val="00630D68"/>
    <w:rsid w:val="006316BF"/>
    <w:rsid w:val="006325A7"/>
    <w:rsid w:val="0063303D"/>
    <w:rsid w:val="006338A2"/>
    <w:rsid w:val="006372D1"/>
    <w:rsid w:val="00637F18"/>
    <w:rsid w:val="00645B16"/>
    <w:rsid w:val="00647B8A"/>
    <w:rsid w:val="006502A0"/>
    <w:rsid w:val="00650C85"/>
    <w:rsid w:val="00651B1E"/>
    <w:rsid w:val="00652264"/>
    <w:rsid w:val="00652D36"/>
    <w:rsid w:val="00662182"/>
    <w:rsid w:val="00663A7B"/>
    <w:rsid w:val="00664464"/>
    <w:rsid w:val="0066751B"/>
    <w:rsid w:val="00671C14"/>
    <w:rsid w:val="00671EB9"/>
    <w:rsid w:val="00672358"/>
    <w:rsid w:val="00673127"/>
    <w:rsid w:val="00676627"/>
    <w:rsid w:val="006838F1"/>
    <w:rsid w:val="00683E9E"/>
    <w:rsid w:val="006850AA"/>
    <w:rsid w:val="00686CDB"/>
    <w:rsid w:val="00686F0E"/>
    <w:rsid w:val="00687C34"/>
    <w:rsid w:val="00690E6E"/>
    <w:rsid w:val="006918AE"/>
    <w:rsid w:val="006932CA"/>
    <w:rsid w:val="00695E0C"/>
    <w:rsid w:val="006A151A"/>
    <w:rsid w:val="006A1D9D"/>
    <w:rsid w:val="006A6DF4"/>
    <w:rsid w:val="006B093A"/>
    <w:rsid w:val="006B3318"/>
    <w:rsid w:val="006C05E8"/>
    <w:rsid w:val="006C160C"/>
    <w:rsid w:val="006C1999"/>
    <w:rsid w:val="006C1C53"/>
    <w:rsid w:val="006C1DE4"/>
    <w:rsid w:val="006C2695"/>
    <w:rsid w:val="006C2C13"/>
    <w:rsid w:val="006C4198"/>
    <w:rsid w:val="006C5722"/>
    <w:rsid w:val="006C6AF2"/>
    <w:rsid w:val="006C6C3E"/>
    <w:rsid w:val="006D1EC0"/>
    <w:rsid w:val="006D6D8D"/>
    <w:rsid w:val="006D7988"/>
    <w:rsid w:val="006E0DAD"/>
    <w:rsid w:val="006E1B64"/>
    <w:rsid w:val="006E3044"/>
    <w:rsid w:val="006E78AB"/>
    <w:rsid w:val="006F600C"/>
    <w:rsid w:val="006F6ED2"/>
    <w:rsid w:val="007008E3"/>
    <w:rsid w:val="00704703"/>
    <w:rsid w:val="0070640F"/>
    <w:rsid w:val="007135C3"/>
    <w:rsid w:val="0071397E"/>
    <w:rsid w:val="00714E18"/>
    <w:rsid w:val="00715DED"/>
    <w:rsid w:val="0071767F"/>
    <w:rsid w:val="0071770A"/>
    <w:rsid w:val="007201C7"/>
    <w:rsid w:val="00724E3B"/>
    <w:rsid w:val="00725613"/>
    <w:rsid w:val="00725F4B"/>
    <w:rsid w:val="0072624B"/>
    <w:rsid w:val="0072661E"/>
    <w:rsid w:val="00727206"/>
    <w:rsid w:val="007309C2"/>
    <w:rsid w:val="007322C5"/>
    <w:rsid w:val="0073602A"/>
    <w:rsid w:val="00737850"/>
    <w:rsid w:val="00741440"/>
    <w:rsid w:val="007432F8"/>
    <w:rsid w:val="00744449"/>
    <w:rsid w:val="00752075"/>
    <w:rsid w:val="0075257C"/>
    <w:rsid w:val="007529F1"/>
    <w:rsid w:val="007633E1"/>
    <w:rsid w:val="00765EAD"/>
    <w:rsid w:val="00766808"/>
    <w:rsid w:val="00770B55"/>
    <w:rsid w:val="007731EB"/>
    <w:rsid w:val="00774670"/>
    <w:rsid w:val="0077573D"/>
    <w:rsid w:val="007803CD"/>
    <w:rsid w:val="00782A2B"/>
    <w:rsid w:val="0078404C"/>
    <w:rsid w:val="007847F9"/>
    <w:rsid w:val="0078525A"/>
    <w:rsid w:val="007907B8"/>
    <w:rsid w:val="00790FB6"/>
    <w:rsid w:val="007918BA"/>
    <w:rsid w:val="00791EE3"/>
    <w:rsid w:val="0079309C"/>
    <w:rsid w:val="007936F1"/>
    <w:rsid w:val="00794233"/>
    <w:rsid w:val="00797321"/>
    <w:rsid w:val="007A097C"/>
    <w:rsid w:val="007A4E3A"/>
    <w:rsid w:val="007A56A5"/>
    <w:rsid w:val="007B3B4F"/>
    <w:rsid w:val="007B6094"/>
    <w:rsid w:val="007B64CB"/>
    <w:rsid w:val="007B702B"/>
    <w:rsid w:val="007B7E38"/>
    <w:rsid w:val="007C00A9"/>
    <w:rsid w:val="007C18FC"/>
    <w:rsid w:val="007C1F73"/>
    <w:rsid w:val="007C2DD7"/>
    <w:rsid w:val="007C3F85"/>
    <w:rsid w:val="007C6556"/>
    <w:rsid w:val="007D36E4"/>
    <w:rsid w:val="007D6B07"/>
    <w:rsid w:val="007E4414"/>
    <w:rsid w:val="007E4731"/>
    <w:rsid w:val="007E4E01"/>
    <w:rsid w:val="007E6C8E"/>
    <w:rsid w:val="007E7A4C"/>
    <w:rsid w:val="007F4D06"/>
    <w:rsid w:val="007F5021"/>
    <w:rsid w:val="007F5EEF"/>
    <w:rsid w:val="007F70E0"/>
    <w:rsid w:val="007F7BF3"/>
    <w:rsid w:val="00801EB1"/>
    <w:rsid w:val="008021B1"/>
    <w:rsid w:val="00803531"/>
    <w:rsid w:val="00804839"/>
    <w:rsid w:val="0080621A"/>
    <w:rsid w:val="00807023"/>
    <w:rsid w:val="00810B1D"/>
    <w:rsid w:val="008139A1"/>
    <w:rsid w:val="00820194"/>
    <w:rsid w:val="00820B22"/>
    <w:rsid w:val="008259F5"/>
    <w:rsid w:val="00832CF6"/>
    <w:rsid w:val="008369B1"/>
    <w:rsid w:val="00841E1C"/>
    <w:rsid w:val="008422D7"/>
    <w:rsid w:val="00843627"/>
    <w:rsid w:val="00843F25"/>
    <w:rsid w:val="0084666F"/>
    <w:rsid w:val="008478BF"/>
    <w:rsid w:val="00855546"/>
    <w:rsid w:val="0085571B"/>
    <w:rsid w:val="00856E9C"/>
    <w:rsid w:val="00857556"/>
    <w:rsid w:val="00862711"/>
    <w:rsid w:val="008642DB"/>
    <w:rsid w:val="008657BF"/>
    <w:rsid w:val="00871674"/>
    <w:rsid w:val="00874300"/>
    <w:rsid w:val="00874DE2"/>
    <w:rsid w:val="0087655A"/>
    <w:rsid w:val="00877428"/>
    <w:rsid w:val="0088018F"/>
    <w:rsid w:val="00883861"/>
    <w:rsid w:val="00884DAE"/>
    <w:rsid w:val="0088737A"/>
    <w:rsid w:val="00887E18"/>
    <w:rsid w:val="008904D1"/>
    <w:rsid w:val="00896DA1"/>
    <w:rsid w:val="008A18EA"/>
    <w:rsid w:val="008A1C86"/>
    <w:rsid w:val="008A1E60"/>
    <w:rsid w:val="008A2472"/>
    <w:rsid w:val="008A30A6"/>
    <w:rsid w:val="008A65BC"/>
    <w:rsid w:val="008A7973"/>
    <w:rsid w:val="008B24F1"/>
    <w:rsid w:val="008B3AD0"/>
    <w:rsid w:val="008B7C35"/>
    <w:rsid w:val="008C0595"/>
    <w:rsid w:val="008C1EB6"/>
    <w:rsid w:val="008C2552"/>
    <w:rsid w:val="008C2FA1"/>
    <w:rsid w:val="008C35EC"/>
    <w:rsid w:val="008C3797"/>
    <w:rsid w:val="008C5839"/>
    <w:rsid w:val="008D0EC0"/>
    <w:rsid w:val="008D564E"/>
    <w:rsid w:val="008D76F0"/>
    <w:rsid w:val="008D798F"/>
    <w:rsid w:val="008E0D98"/>
    <w:rsid w:val="008E174A"/>
    <w:rsid w:val="008E1D99"/>
    <w:rsid w:val="008E20BF"/>
    <w:rsid w:val="008E3CD8"/>
    <w:rsid w:val="008E3EA2"/>
    <w:rsid w:val="008E481B"/>
    <w:rsid w:val="008E492B"/>
    <w:rsid w:val="008E50C4"/>
    <w:rsid w:val="008E557B"/>
    <w:rsid w:val="008E5ADE"/>
    <w:rsid w:val="008E7BCE"/>
    <w:rsid w:val="008F2CD3"/>
    <w:rsid w:val="008F5E54"/>
    <w:rsid w:val="008F6960"/>
    <w:rsid w:val="00901F51"/>
    <w:rsid w:val="009027B9"/>
    <w:rsid w:val="00903658"/>
    <w:rsid w:val="00904275"/>
    <w:rsid w:val="00904725"/>
    <w:rsid w:val="009069C9"/>
    <w:rsid w:val="00907721"/>
    <w:rsid w:val="0091673B"/>
    <w:rsid w:val="0091707B"/>
    <w:rsid w:val="0092254A"/>
    <w:rsid w:val="00923481"/>
    <w:rsid w:val="00925702"/>
    <w:rsid w:val="009322C7"/>
    <w:rsid w:val="00936AF4"/>
    <w:rsid w:val="009373E9"/>
    <w:rsid w:val="0094245A"/>
    <w:rsid w:val="00943C54"/>
    <w:rsid w:val="009447C6"/>
    <w:rsid w:val="0094631A"/>
    <w:rsid w:val="00947F07"/>
    <w:rsid w:val="00951CE9"/>
    <w:rsid w:val="00957249"/>
    <w:rsid w:val="009605CB"/>
    <w:rsid w:val="0096245A"/>
    <w:rsid w:val="009645AE"/>
    <w:rsid w:val="00966174"/>
    <w:rsid w:val="0096631E"/>
    <w:rsid w:val="00967048"/>
    <w:rsid w:val="00970E42"/>
    <w:rsid w:val="009728AC"/>
    <w:rsid w:val="00975C67"/>
    <w:rsid w:val="0098121E"/>
    <w:rsid w:val="00981BD5"/>
    <w:rsid w:val="00982827"/>
    <w:rsid w:val="00982F1C"/>
    <w:rsid w:val="009843E2"/>
    <w:rsid w:val="00985505"/>
    <w:rsid w:val="009872CB"/>
    <w:rsid w:val="00990A83"/>
    <w:rsid w:val="00995728"/>
    <w:rsid w:val="009967A9"/>
    <w:rsid w:val="009972A1"/>
    <w:rsid w:val="00997FB3"/>
    <w:rsid w:val="009A1D79"/>
    <w:rsid w:val="009A3808"/>
    <w:rsid w:val="009A6970"/>
    <w:rsid w:val="009B00D7"/>
    <w:rsid w:val="009B0EDE"/>
    <w:rsid w:val="009B198F"/>
    <w:rsid w:val="009B241E"/>
    <w:rsid w:val="009C2781"/>
    <w:rsid w:val="009C2F5B"/>
    <w:rsid w:val="009C3C84"/>
    <w:rsid w:val="009C47BB"/>
    <w:rsid w:val="009D0CE8"/>
    <w:rsid w:val="009D4472"/>
    <w:rsid w:val="009D60C9"/>
    <w:rsid w:val="009D6C37"/>
    <w:rsid w:val="009D70EC"/>
    <w:rsid w:val="009E0762"/>
    <w:rsid w:val="009E27D3"/>
    <w:rsid w:val="009E4E3B"/>
    <w:rsid w:val="009E6626"/>
    <w:rsid w:val="009E7027"/>
    <w:rsid w:val="009E7A40"/>
    <w:rsid w:val="009F02C0"/>
    <w:rsid w:val="009F108B"/>
    <w:rsid w:val="009F57D3"/>
    <w:rsid w:val="009F6369"/>
    <w:rsid w:val="009F7953"/>
    <w:rsid w:val="00A00E2D"/>
    <w:rsid w:val="00A041BD"/>
    <w:rsid w:val="00A0485B"/>
    <w:rsid w:val="00A05F03"/>
    <w:rsid w:val="00A106F0"/>
    <w:rsid w:val="00A1286B"/>
    <w:rsid w:val="00A13CCB"/>
    <w:rsid w:val="00A1405C"/>
    <w:rsid w:val="00A167A9"/>
    <w:rsid w:val="00A21EDB"/>
    <w:rsid w:val="00A26321"/>
    <w:rsid w:val="00A269EB"/>
    <w:rsid w:val="00A26ADD"/>
    <w:rsid w:val="00A27CCB"/>
    <w:rsid w:val="00A30029"/>
    <w:rsid w:val="00A33A66"/>
    <w:rsid w:val="00A33D5B"/>
    <w:rsid w:val="00A355CF"/>
    <w:rsid w:val="00A3585F"/>
    <w:rsid w:val="00A361B5"/>
    <w:rsid w:val="00A36292"/>
    <w:rsid w:val="00A42AC1"/>
    <w:rsid w:val="00A441AF"/>
    <w:rsid w:val="00A441EE"/>
    <w:rsid w:val="00A44FFD"/>
    <w:rsid w:val="00A52FC1"/>
    <w:rsid w:val="00A540F3"/>
    <w:rsid w:val="00A61EB6"/>
    <w:rsid w:val="00A6296E"/>
    <w:rsid w:val="00A64DBD"/>
    <w:rsid w:val="00A70785"/>
    <w:rsid w:val="00A7097D"/>
    <w:rsid w:val="00A71FEB"/>
    <w:rsid w:val="00A72725"/>
    <w:rsid w:val="00A748E9"/>
    <w:rsid w:val="00A75DEB"/>
    <w:rsid w:val="00A76068"/>
    <w:rsid w:val="00A76322"/>
    <w:rsid w:val="00A76441"/>
    <w:rsid w:val="00A8007D"/>
    <w:rsid w:val="00A82750"/>
    <w:rsid w:val="00A842F5"/>
    <w:rsid w:val="00A84B2A"/>
    <w:rsid w:val="00A8509C"/>
    <w:rsid w:val="00A8527A"/>
    <w:rsid w:val="00A87537"/>
    <w:rsid w:val="00A92ED7"/>
    <w:rsid w:val="00A93C9D"/>
    <w:rsid w:val="00A96319"/>
    <w:rsid w:val="00A97E6E"/>
    <w:rsid w:val="00AA16C5"/>
    <w:rsid w:val="00AA5773"/>
    <w:rsid w:val="00AA7142"/>
    <w:rsid w:val="00AB06BE"/>
    <w:rsid w:val="00AB09A3"/>
    <w:rsid w:val="00AB1D69"/>
    <w:rsid w:val="00AB70E4"/>
    <w:rsid w:val="00AC1B7C"/>
    <w:rsid w:val="00AC796A"/>
    <w:rsid w:val="00AD03CB"/>
    <w:rsid w:val="00AD3B0D"/>
    <w:rsid w:val="00AD458D"/>
    <w:rsid w:val="00AE00FF"/>
    <w:rsid w:val="00AE1227"/>
    <w:rsid w:val="00AE3817"/>
    <w:rsid w:val="00AE3F09"/>
    <w:rsid w:val="00AF04B7"/>
    <w:rsid w:val="00AF173A"/>
    <w:rsid w:val="00AF2E40"/>
    <w:rsid w:val="00AF3DDA"/>
    <w:rsid w:val="00AF4FBD"/>
    <w:rsid w:val="00AF6748"/>
    <w:rsid w:val="00AF7805"/>
    <w:rsid w:val="00B02D3C"/>
    <w:rsid w:val="00B126DF"/>
    <w:rsid w:val="00B134C9"/>
    <w:rsid w:val="00B143C1"/>
    <w:rsid w:val="00B1533C"/>
    <w:rsid w:val="00B16B90"/>
    <w:rsid w:val="00B20BAC"/>
    <w:rsid w:val="00B2407D"/>
    <w:rsid w:val="00B26F7B"/>
    <w:rsid w:val="00B322AC"/>
    <w:rsid w:val="00B32FD1"/>
    <w:rsid w:val="00B3795C"/>
    <w:rsid w:val="00B40915"/>
    <w:rsid w:val="00B42849"/>
    <w:rsid w:val="00B4444C"/>
    <w:rsid w:val="00B46543"/>
    <w:rsid w:val="00B47E1B"/>
    <w:rsid w:val="00B52602"/>
    <w:rsid w:val="00B5291F"/>
    <w:rsid w:val="00B546B2"/>
    <w:rsid w:val="00B546C7"/>
    <w:rsid w:val="00B61C9D"/>
    <w:rsid w:val="00B63F4A"/>
    <w:rsid w:val="00B64298"/>
    <w:rsid w:val="00B645EB"/>
    <w:rsid w:val="00B662CB"/>
    <w:rsid w:val="00B7382A"/>
    <w:rsid w:val="00B73873"/>
    <w:rsid w:val="00B73D4E"/>
    <w:rsid w:val="00B74415"/>
    <w:rsid w:val="00B75931"/>
    <w:rsid w:val="00B7677C"/>
    <w:rsid w:val="00B810DB"/>
    <w:rsid w:val="00B82D8F"/>
    <w:rsid w:val="00B85220"/>
    <w:rsid w:val="00B872D8"/>
    <w:rsid w:val="00B8794F"/>
    <w:rsid w:val="00B901EB"/>
    <w:rsid w:val="00B917F7"/>
    <w:rsid w:val="00B918CA"/>
    <w:rsid w:val="00B94016"/>
    <w:rsid w:val="00B9663F"/>
    <w:rsid w:val="00B96B5D"/>
    <w:rsid w:val="00BA038E"/>
    <w:rsid w:val="00BA3275"/>
    <w:rsid w:val="00BA5434"/>
    <w:rsid w:val="00BA5561"/>
    <w:rsid w:val="00BB192E"/>
    <w:rsid w:val="00BB4E16"/>
    <w:rsid w:val="00BB7403"/>
    <w:rsid w:val="00BC0102"/>
    <w:rsid w:val="00BC0DCB"/>
    <w:rsid w:val="00BC1C47"/>
    <w:rsid w:val="00BC495C"/>
    <w:rsid w:val="00BC6272"/>
    <w:rsid w:val="00BC6A53"/>
    <w:rsid w:val="00BC77C9"/>
    <w:rsid w:val="00BD1BCD"/>
    <w:rsid w:val="00BD2773"/>
    <w:rsid w:val="00BD44EF"/>
    <w:rsid w:val="00BD594D"/>
    <w:rsid w:val="00BD64FD"/>
    <w:rsid w:val="00BE0A72"/>
    <w:rsid w:val="00BE4B5C"/>
    <w:rsid w:val="00BE7C05"/>
    <w:rsid w:val="00BF09D7"/>
    <w:rsid w:val="00BF278C"/>
    <w:rsid w:val="00BF41C9"/>
    <w:rsid w:val="00BF53DA"/>
    <w:rsid w:val="00BF544A"/>
    <w:rsid w:val="00BF7050"/>
    <w:rsid w:val="00C00B9C"/>
    <w:rsid w:val="00C01203"/>
    <w:rsid w:val="00C04017"/>
    <w:rsid w:val="00C04C71"/>
    <w:rsid w:val="00C0731B"/>
    <w:rsid w:val="00C108EB"/>
    <w:rsid w:val="00C11CE9"/>
    <w:rsid w:val="00C1379D"/>
    <w:rsid w:val="00C14712"/>
    <w:rsid w:val="00C15D3D"/>
    <w:rsid w:val="00C171CF"/>
    <w:rsid w:val="00C21C21"/>
    <w:rsid w:val="00C24A27"/>
    <w:rsid w:val="00C255D7"/>
    <w:rsid w:val="00C25FB2"/>
    <w:rsid w:val="00C27968"/>
    <w:rsid w:val="00C31C4D"/>
    <w:rsid w:val="00C35CEA"/>
    <w:rsid w:val="00C36F20"/>
    <w:rsid w:val="00C37A21"/>
    <w:rsid w:val="00C43005"/>
    <w:rsid w:val="00C43750"/>
    <w:rsid w:val="00C46CD7"/>
    <w:rsid w:val="00C52986"/>
    <w:rsid w:val="00C52E19"/>
    <w:rsid w:val="00C53CB1"/>
    <w:rsid w:val="00C5582E"/>
    <w:rsid w:val="00C57A4A"/>
    <w:rsid w:val="00C57EDA"/>
    <w:rsid w:val="00C61094"/>
    <w:rsid w:val="00C62BCC"/>
    <w:rsid w:val="00C64042"/>
    <w:rsid w:val="00C64669"/>
    <w:rsid w:val="00C669F2"/>
    <w:rsid w:val="00C67053"/>
    <w:rsid w:val="00C73F20"/>
    <w:rsid w:val="00C76386"/>
    <w:rsid w:val="00C81FDF"/>
    <w:rsid w:val="00C823A2"/>
    <w:rsid w:val="00C8310F"/>
    <w:rsid w:val="00C842B4"/>
    <w:rsid w:val="00C845A5"/>
    <w:rsid w:val="00C84C60"/>
    <w:rsid w:val="00C86968"/>
    <w:rsid w:val="00C86DB5"/>
    <w:rsid w:val="00C9037B"/>
    <w:rsid w:val="00C920EA"/>
    <w:rsid w:val="00C92457"/>
    <w:rsid w:val="00C92F73"/>
    <w:rsid w:val="00C9411B"/>
    <w:rsid w:val="00C942EC"/>
    <w:rsid w:val="00C945CD"/>
    <w:rsid w:val="00CA023B"/>
    <w:rsid w:val="00CA1A8B"/>
    <w:rsid w:val="00CA272C"/>
    <w:rsid w:val="00CA6AB8"/>
    <w:rsid w:val="00CA6DEE"/>
    <w:rsid w:val="00CB4AB1"/>
    <w:rsid w:val="00CC3EE2"/>
    <w:rsid w:val="00CD052A"/>
    <w:rsid w:val="00CD370E"/>
    <w:rsid w:val="00CD4C21"/>
    <w:rsid w:val="00CD588B"/>
    <w:rsid w:val="00CD6DF9"/>
    <w:rsid w:val="00CE0463"/>
    <w:rsid w:val="00CE1F0B"/>
    <w:rsid w:val="00CE4734"/>
    <w:rsid w:val="00CE7B46"/>
    <w:rsid w:val="00CF2037"/>
    <w:rsid w:val="00CF2118"/>
    <w:rsid w:val="00CF2EE4"/>
    <w:rsid w:val="00CF2F85"/>
    <w:rsid w:val="00CF390C"/>
    <w:rsid w:val="00CF3E0A"/>
    <w:rsid w:val="00CF4A40"/>
    <w:rsid w:val="00D00CB2"/>
    <w:rsid w:val="00D01559"/>
    <w:rsid w:val="00D01B2B"/>
    <w:rsid w:val="00D02995"/>
    <w:rsid w:val="00D02AB1"/>
    <w:rsid w:val="00D03610"/>
    <w:rsid w:val="00D05067"/>
    <w:rsid w:val="00D053C2"/>
    <w:rsid w:val="00D064D1"/>
    <w:rsid w:val="00D10889"/>
    <w:rsid w:val="00D12FE1"/>
    <w:rsid w:val="00D13389"/>
    <w:rsid w:val="00D14ABB"/>
    <w:rsid w:val="00D2466A"/>
    <w:rsid w:val="00D261B4"/>
    <w:rsid w:val="00D26209"/>
    <w:rsid w:val="00D334AE"/>
    <w:rsid w:val="00D33BB4"/>
    <w:rsid w:val="00D353B7"/>
    <w:rsid w:val="00D35C49"/>
    <w:rsid w:val="00D533AE"/>
    <w:rsid w:val="00D55396"/>
    <w:rsid w:val="00D6032E"/>
    <w:rsid w:val="00D609C9"/>
    <w:rsid w:val="00D63737"/>
    <w:rsid w:val="00D638CE"/>
    <w:rsid w:val="00D66C5A"/>
    <w:rsid w:val="00D67CE9"/>
    <w:rsid w:val="00D707DF"/>
    <w:rsid w:val="00D70C3C"/>
    <w:rsid w:val="00D72047"/>
    <w:rsid w:val="00D720AD"/>
    <w:rsid w:val="00D85ADD"/>
    <w:rsid w:val="00D92BCB"/>
    <w:rsid w:val="00DA2E1E"/>
    <w:rsid w:val="00DA50A4"/>
    <w:rsid w:val="00DA716A"/>
    <w:rsid w:val="00DA7718"/>
    <w:rsid w:val="00DA784A"/>
    <w:rsid w:val="00DB18F6"/>
    <w:rsid w:val="00DB2F9F"/>
    <w:rsid w:val="00DB45BF"/>
    <w:rsid w:val="00DB4DCD"/>
    <w:rsid w:val="00DC0A2A"/>
    <w:rsid w:val="00DC21D7"/>
    <w:rsid w:val="00DC23F0"/>
    <w:rsid w:val="00DC5651"/>
    <w:rsid w:val="00DD069C"/>
    <w:rsid w:val="00DD0E02"/>
    <w:rsid w:val="00DD2117"/>
    <w:rsid w:val="00DD23CD"/>
    <w:rsid w:val="00DD3F51"/>
    <w:rsid w:val="00DD6F39"/>
    <w:rsid w:val="00DD7AA6"/>
    <w:rsid w:val="00DE2E88"/>
    <w:rsid w:val="00DE7022"/>
    <w:rsid w:val="00DE7246"/>
    <w:rsid w:val="00DF0647"/>
    <w:rsid w:val="00DF2800"/>
    <w:rsid w:val="00DF3C3C"/>
    <w:rsid w:val="00DF4F5E"/>
    <w:rsid w:val="00DF6E99"/>
    <w:rsid w:val="00E033CB"/>
    <w:rsid w:val="00E0403A"/>
    <w:rsid w:val="00E074A4"/>
    <w:rsid w:val="00E10FC0"/>
    <w:rsid w:val="00E13CA8"/>
    <w:rsid w:val="00E1593E"/>
    <w:rsid w:val="00E16894"/>
    <w:rsid w:val="00E17FBA"/>
    <w:rsid w:val="00E20A20"/>
    <w:rsid w:val="00E21B6A"/>
    <w:rsid w:val="00E21C93"/>
    <w:rsid w:val="00E27B87"/>
    <w:rsid w:val="00E33092"/>
    <w:rsid w:val="00E33D79"/>
    <w:rsid w:val="00E35778"/>
    <w:rsid w:val="00E4074E"/>
    <w:rsid w:val="00E42421"/>
    <w:rsid w:val="00E42799"/>
    <w:rsid w:val="00E4327A"/>
    <w:rsid w:val="00E50483"/>
    <w:rsid w:val="00E53AF6"/>
    <w:rsid w:val="00E55670"/>
    <w:rsid w:val="00E558DF"/>
    <w:rsid w:val="00E55EE2"/>
    <w:rsid w:val="00E56A89"/>
    <w:rsid w:val="00E5760E"/>
    <w:rsid w:val="00E60FA6"/>
    <w:rsid w:val="00E663D8"/>
    <w:rsid w:val="00E67830"/>
    <w:rsid w:val="00E70882"/>
    <w:rsid w:val="00E7172E"/>
    <w:rsid w:val="00E85439"/>
    <w:rsid w:val="00E8575C"/>
    <w:rsid w:val="00E912B0"/>
    <w:rsid w:val="00E94F92"/>
    <w:rsid w:val="00E97847"/>
    <w:rsid w:val="00EA0F12"/>
    <w:rsid w:val="00EA1EAB"/>
    <w:rsid w:val="00EA3214"/>
    <w:rsid w:val="00EA5757"/>
    <w:rsid w:val="00EA70E8"/>
    <w:rsid w:val="00EA7D9C"/>
    <w:rsid w:val="00EB283D"/>
    <w:rsid w:val="00EB590C"/>
    <w:rsid w:val="00EB7407"/>
    <w:rsid w:val="00EC41B4"/>
    <w:rsid w:val="00EC41CF"/>
    <w:rsid w:val="00EC60B6"/>
    <w:rsid w:val="00EC7F1D"/>
    <w:rsid w:val="00ED2C5F"/>
    <w:rsid w:val="00ED40E9"/>
    <w:rsid w:val="00ED45AE"/>
    <w:rsid w:val="00ED5369"/>
    <w:rsid w:val="00EE48E8"/>
    <w:rsid w:val="00EE4CE8"/>
    <w:rsid w:val="00EE70FE"/>
    <w:rsid w:val="00EF01D1"/>
    <w:rsid w:val="00EF30C8"/>
    <w:rsid w:val="00EF37CB"/>
    <w:rsid w:val="00EF4382"/>
    <w:rsid w:val="00EF4D2B"/>
    <w:rsid w:val="00EF585F"/>
    <w:rsid w:val="00EF7DAF"/>
    <w:rsid w:val="00F00E88"/>
    <w:rsid w:val="00F03D57"/>
    <w:rsid w:val="00F04A61"/>
    <w:rsid w:val="00F04B2A"/>
    <w:rsid w:val="00F06381"/>
    <w:rsid w:val="00F06DF0"/>
    <w:rsid w:val="00F10F65"/>
    <w:rsid w:val="00F11F88"/>
    <w:rsid w:val="00F154C7"/>
    <w:rsid w:val="00F15CDF"/>
    <w:rsid w:val="00F16D90"/>
    <w:rsid w:val="00F17000"/>
    <w:rsid w:val="00F20E8C"/>
    <w:rsid w:val="00F22BAC"/>
    <w:rsid w:val="00F2546E"/>
    <w:rsid w:val="00F25729"/>
    <w:rsid w:val="00F25C93"/>
    <w:rsid w:val="00F266E4"/>
    <w:rsid w:val="00F26963"/>
    <w:rsid w:val="00F27E18"/>
    <w:rsid w:val="00F306EA"/>
    <w:rsid w:val="00F348D7"/>
    <w:rsid w:val="00F360E8"/>
    <w:rsid w:val="00F37068"/>
    <w:rsid w:val="00F40001"/>
    <w:rsid w:val="00F41B80"/>
    <w:rsid w:val="00F43D89"/>
    <w:rsid w:val="00F44EBC"/>
    <w:rsid w:val="00F4611C"/>
    <w:rsid w:val="00F47822"/>
    <w:rsid w:val="00F47E3C"/>
    <w:rsid w:val="00F50EAD"/>
    <w:rsid w:val="00F50EB7"/>
    <w:rsid w:val="00F52642"/>
    <w:rsid w:val="00F53491"/>
    <w:rsid w:val="00F6073F"/>
    <w:rsid w:val="00F61E31"/>
    <w:rsid w:val="00F62E74"/>
    <w:rsid w:val="00F6423C"/>
    <w:rsid w:val="00F652F7"/>
    <w:rsid w:val="00F730ED"/>
    <w:rsid w:val="00F736AD"/>
    <w:rsid w:val="00F75389"/>
    <w:rsid w:val="00F75EE0"/>
    <w:rsid w:val="00F76B50"/>
    <w:rsid w:val="00F77720"/>
    <w:rsid w:val="00F80FFC"/>
    <w:rsid w:val="00F819E2"/>
    <w:rsid w:val="00F84BF1"/>
    <w:rsid w:val="00F868DB"/>
    <w:rsid w:val="00F9118B"/>
    <w:rsid w:val="00F9194B"/>
    <w:rsid w:val="00F922A9"/>
    <w:rsid w:val="00F92F0D"/>
    <w:rsid w:val="00F94AB0"/>
    <w:rsid w:val="00F94E4E"/>
    <w:rsid w:val="00F97C80"/>
    <w:rsid w:val="00FA3A60"/>
    <w:rsid w:val="00FA4E05"/>
    <w:rsid w:val="00FA7C13"/>
    <w:rsid w:val="00FA7F73"/>
    <w:rsid w:val="00FB3D6A"/>
    <w:rsid w:val="00FB5FB8"/>
    <w:rsid w:val="00FB66BD"/>
    <w:rsid w:val="00FB6A21"/>
    <w:rsid w:val="00FB7B89"/>
    <w:rsid w:val="00FC2B5A"/>
    <w:rsid w:val="00FC73C9"/>
    <w:rsid w:val="00FD0187"/>
    <w:rsid w:val="00FD1ACA"/>
    <w:rsid w:val="00FD3202"/>
    <w:rsid w:val="00FD4B31"/>
    <w:rsid w:val="00FD5DB9"/>
    <w:rsid w:val="00FD6966"/>
    <w:rsid w:val="00FD6A89"/>
    <w:rsid w:val="00FE1ADE"/>
    <w:rsid w:val="00FE4C31"/>
    <w:rsid w:val="00FE611E"/>
    <w:rsid w:val="00FE7055"/>
    <w:rsid w:val="00FF48E9"/>
    <w:rsid w:val="00FF75B8"/>
    <w:rsid w:val="00FF7799"/>
    <w:rsid w:val="00FF7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imes New Roman" w:hAnsi="Helvetica" w:cs="Helvetica"/>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CE8"/>
    <w:pPr>
      <w:spacing w:after="0" w:line="240" w:lineRule="auto"/>
      <w:jc w:val="both"/>
    </w:pPr>
    <w:rPr>
      <w:rFonts w:ascii="Verdana" w:hAnsi="Verdana" w:cs="Times New Roman"/>
      <w:sz w:val="22"/>
      <w:szCs w:val="22"/>
    </w:rPr>
  </w:style>
  <w:style w:type="paragraph" w:styleId="Heading1">
    <w:name w:val="heading 1"/>
    <w:basedOn w:val="Normal"/>
    <w:next w:val="Normal"/>
    <w:link w:val="Heading1Char"/>
    <w:uiPriority w:val="9"/>
    <w:qFormat/>
    <w:rsid w:val="009D0CE8"/>
    <w:pPr>
      <w:tabs>
        <w:tab w:val="left" w:pos="5375"/>
      </w:tabs>
      <w:outlineLvl w:val="0"/>
    </w:pPr>
    <w:rPr>
      <w:rFonts w:ascii="Garamond" w:hAnsi="Garamond"/>
      <w:b/>
      <w:sz w:val="44"/>
      <w:szCs w:val="24"/>
      <w:lang w:eastAsia="en-AU"/>
    </w:rPr>
  </w:style>
  <w:style w:type="paragraph" w:styleId="Heading2">
    <w:name w:val="heading 2"/>
    <w:basedOn w:val="Normal"/>
    <w:next w:val="Normal"/>
    <w:link w:val="Heading2Char"/>
    <w:uiPriority w:val="9"/>
    <w:qFormat/>
    <w:rsid w:val="009D0CE8"/>
    <w:pPr>
      <w:keepNext/>
      <w:outlineLvl w:val="1"/>
    </w:pPr>
    <w:rPr>
      <w:rFonts w:ascii="Arial" w:hAnsi="Arial" w:cs="Arial"/>
      <w:bCs/>
      <w:i/>
      <w:iCs/>
      <w:sz w:val="28"/>
      <w:szCs w:val="28"/>
      <w:lang w:eastAsia="en-AU"/>
    </w:rPr>
  </w:style>
  <w:style w:type="paragraph" w:styleId="Heading3">
    <w:name w:val="heading 3"/>
    <w:basedOn w:val="Normal"/>
    <w:next w:val="Normal"/>
    <w:link w:val="Heading3Char"/>
    <w:uiPriority w:val="9"/>
    <w:unhideWhenUsed/>
    <w:qFormat/>
    <w:rsid w:val="009D0CE8"/>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0CE8"/>
    <w:rPr>
      <w:rFonts w:ascii="Garamond" w:hAnsi="Garamond" w:cs="Times New Roman"/>
      <w:b/>
      <w:sz w:val="24"/>
      <w:szCs w:val="24"/>
      <w:lang w:val="x-none" w:eastAsia="en-AU"/>
    </w:rPr>
  </w:style>
  <w:style w:type="character" w:customStyle="1" w:styleId="Heading2Char">
    <w:name w:val="Heading 2 Char"/>
    <w:basedOn w:val="DefaultParagraphFont"/>
    <w:link w:val="Heading2"/>
    <w:uiPriority w:val="9"/>
    <w:locked/>
    <w:rsid w:val="009D0CE8"/>
    <w:rPr>
      <w:rFonts w:ascii="Arial" w:hAnsi="Arial" w:cs="Arial"/>
      <w:bCs/>
      <w:i/>
      <w:iCs/>
      <w:sz w:val="28"/>
      <w:szCs w:val="28"/>
      <w:lang w:val="x-none" w:eastAsia="en-AU"/>
    </w:rPr>
  </w:style>
  <w:style w:type="character" w:customStyle="1" w:styleId="Heading3Char">
    <w:name w:val="Heading 3 Char"/>
    <w:basedOn w:val="DefaultParagraphFont"/>
    <w:link w:val="Heading3"/>
    <w:uiPriority w:val="9"/>
    <w:locked/>
    <w:rsid w:val="009D0CE8"/>
    <w:rPr>
      <w:rFonts w:asciiTheme="majorHAnsi" w:eastAsiaTheme="majorEastAsia" w:hAnsiTheme="majorHAnsi" w:cs="Times New Roman"/>
      <w:b/>
      <w:bCs/>
      <w:color w:val="4F81BD" w:themeColor="accent1"/>
      <w:sz w:val="22"/>
      <w:szCs w:val="22"/>
    </w:rPr>
  </w:style>
  <w:style w:type="character" w:styleId="FootnoteReference">
    <w:name w:val="footnote reference"/>
    <w:basedOn w:val="DefaultParagraphFont"/>
    <w:uiPriority w:val="99"/>
    <w:semiHidden/>
    <w:unhideWhenUsed/>
    <w:rsid w:val="00797321"/>
    <w:rPr>
      <w:rFonts w:ascii="Calibri" w:hAnsi="Calibri" w:cs="Times New Roman"/>
      <w:sz w:val="20"/>
      <w:vertAlign w:val="superscript"/>
    </w:rPr>
  </w:style>
  <w:style w:type="paragraph" w:customStyle="1" w:styleId="BullTitle1">
    <w:name w:val="Bull Title1"/>
    <w:basedOn w:val="Normal"/>
    <w:next w:val="Normal"/>
    <w:rsid w:val="009D0CE8"/>
    <w:pPr>
      <w:jc w:val="center"/>
    </w:pPr>
    <w:rPr>
      <w:rFonts w:ascii="Garamond" w:hAnsi="Garamond"/>
      <w:b/>
      <w:smallCaps/>
      <w:sz w:val="56"/>
      <w:szCs w:val="52"/>
      <w:lang w:eastAsia="en-AU"/>
    </w:rPr>
  </w:style>
  <w:style w:type="paragraph" w:customStyle="1" w:styleId="BullTitle2">
    <w:name w:val="Bull Title2"/>
    <w:basedOn w:val="Normal"/>
    <w:next w:val="Normal"/>
    <w:rsid w:val="009D0CE8"/>
    <w:pPr>
      <w:jc w:val="center"/>
    </w:pPr>
    <w:rPr>
      <w:rFonts w:ascii="Garamond" w:hAnsi="Garamond"/>
      <w:sz w:val="36"/>
      <w:szCs w:val="32"/>
      <w:lang w:eastAsia="en-AU"/>
    </w:rPr>
  </w:style>
  <w:style w:type="paragraph" w:customStyle="1" w:styleId="BullTitle3">
    <w:name w:val="Bull Title3"/>
    <w:basedOn w:val="Normal"/>
    <w:next w:val="Normal"/>
    <w:rsid w:val="009D0CE8"/>
    <w:pPr>
      <w:jc w:val="center"/>
    </w:pPr>
    <w:rPr>
      <w:szCs w:val="24"/>
      <w:lang w:eastAsia="en-AU"/>
    </w:rPr>
  </w:style>
  <w:style w:type="paragraph" w:customStyle="1" w:styleId="BullDivider2">
    <w:name w:val="Bull Divider2"/>
    <w:basedOn w:val="Normal"/>
    <w:next w:val="Normal"/>
    <w:rsid w:val="009D0CE8"/>
    <w:pPr>
      <w:pBdr>
        <w:bottom w:val="double" w:sz="6" w:space="1" w:color="auto"/>
      </w:pBdr>
    </w:pPr>
    <w:rPr>
      <w:szCs w:val="20"/>
      <w:lang w:eastAsia="en-AU"/>
    </w:rPr>
  </w:style>
  <w:style w:type="character" w:styleId="Hyperlink">
    <w:name w:val="Hyperlink"/>
    <w:basedOn w:val="DefaultParagraphFont"/>
    <w:uiPriority w:val="99"/>
    <w:rsid w:val="009D0CE8"/>
    <w:rPr>
      <w:rFonts w:cs="Times New Roman"/>
      <w:color w:val="0000FF"/>
      <w:u w:val="single"/>
    </w:rPr>
  </w:style>
  <w:style w:type="paragraph" w:customStyle="1" w:styleId="BullDivider1">
    <w:name w:val="Bull Divider1"/>
    <w:basedOn w:val="Normal"/>
    <w:next w:val="Normal"/>
    <w:rsid w:val="009D0CE8"/>
    <w:pPr>
      <w:pBdr>
        <w:bottom w:val="dotted" w:sz="4" w:space="1" w:color="auto"/>
      </w:pBdr>
    </w:pPr>
    <w:rPr>
      <w:szCs w:val="20"/>
      <w:lang w:eastAsia="en-AU"/>
    </w:rPr>
  </w:style>
  <w:style w:type="character" w:customStyle="1" w:styleId="decisia-reflex2-icon">
    <w:name w:val="decisia-reflex2-icon"/>
    <w:rsid w:val="009D0CE8"/>
  </w:style>
  <w:style w:type="paragraph" w:customStyle="1" w:styleId="sccnormaldoublespacing">
    <w:name w:val="sccnormaldoublespacing"/>
    <w:basedOn w:val="Normal"/>
    <w:rsid w:val="009D0CE8"/>
    <w:pPr>
      <w:spacing w:before="100" w:beforeAutospacing="1" w:after="100" w:afterAutospacing="1"/>
    </w:pPr>
    <w:rPr>
      <w:rFonts w:ascii="Times New Roman" w:hAnsi="Times New Roman"/>
      <w:sz w:val="24"/>
      <w:szCs w:val="24"/>
      <w:lang w:eastAsia="en-AU"/>
    </w:rPr>
  </w:style>
  <w:style w:type="paragraph" w:customStyle="1" w:styleId="MediumGrid21">
    <w:name w:val="Medium Grid 21"/>
    <w:uiPriority w:val="1"/>
    <w:qFormat/>
    <w:rsid w:val="009D0CE8"/>
    <w:pPr>
      <w:spacing w:after="0" w:line="240" w:lineRule="auto"/>
    </w:pPr>
    <w:rPr>
      <w:rFonts w:ascii="Verdana" w:hAnsi="Verdana" w:cs="Times New Roman"/>
      <w:sz w:val="22"/>
      <w:szCs w:val="22"/>
    </w:rPr>
  </w:style>
  <w:style w:type="character" w:styleId="FollowedHyperlink">
    <w:name w:val="FollowedHyperlink"/>
    <w:basedOn w:val="DefaultParagraphFont"/>
    <w:uiPriority w:val="99"/>
    <w:semiHidden/>
    <w:unhideWhenUsed/>
    <w:rsid w:val="009D0CE8"/>
    <w:rPr>
      <w:rFonts w:cs="Times New Roman"/>
      <w:color w:val="800080"/>
      <w:u w:val="single"/>
    </w:rPr>
  </w:style>
  <w:style w:type="paragraph" w:customStyle="1" w:styleId="Default">
    <w:name w:val="Default"/>
    <w:rsid w:val="009D0CE8"/>
    <w:pPr>
      <w:autoSpaceDE w:val="0"/>
      <w:autoSpaceDN w:val="0"/>
      <w:adjustRightInd w:val="0"/>
      <w:spacing w:after="0" w:line="240" w:lineRule="auto"/>
    </w:pPr>
    <w:rPr>
      <w:rFonts w:ascii="Garamond" w:hAnsi="Garamond" w:cs="Garamond"/>
      <w:color w:val="000000"/>
      <w:sz w:val="24"/>
      <w:szCs w:val="24"/>
      <w:lang w:eastAsia="en-AU"/>
    </w:rPr>
  </w:style>
  <w:style w:type="paragraph" w:styleId="BalloonText">
    <w:name w:val="Balloon Text"/>
    <w:basedOn w:val="Normal"/>
    <w:link w:val="BalloonTextChar"/>
    <w:uiPriority w:val="99"/>
    <w:semiHidden/>
    <w:unhideWhenUsed/>
    <w:rsid w:val="009D0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E8"/>
    <w:rPr>
      <w:rFonts w:ascii="Tahoma" w:hAnsi="Tahoma" w:cs="Tahoma"/>
      <w:sz w:val="16"/>
      <w:szCs w:val="16"/>
    </w:rPr>
  </w:style>
  <w:style w:type="paragraph" w:styleId="Header">
    <w:name w:val="header"/>
    <w:basedOn w:val="Normal"/>
    <w:link w:val="HeaderChar"/>
    <w:uiPriority w:val="99"/>
    <w:unhideWhenUsed/>
    <w:rsid w:val="009D0CE8"/>
    <w:pPr>
      <w:tabs>
        <w:tab w:val="center" w:pos="4513"/>
        <w:tab w:val="right" w:pos="9026"/>
      </w:tabs>
    </w:pPr>
  </w:style>
  <w:style w:type="character" w:customStyle="1" w:styleId="HeaderChar">
    <w:name w:val="Header Char"/>
    <w:basedOn w:val="DefaultParagraphFont"/>
    <w:link w:val="Header"/>
    <w:uiPriority w:val="99"/>
    <w:locked/>
    <w:rsid w:val="009D0CE8"/>
    <w:rPr>
      <w:rFonts w:ascii="Verdana" w:hAnsi="Verdana" w:cs="Times New Roman"/>
      <w:sz w:val="22"/>
      <w:szCs w:val="22"/>
    </w:rPr>
  </w:style>
  <w:style w:type="paragraph" w:styleId="Footer">
    <w:name w:val="footer"/>
    <w:basedOn w:val="Normal"/>
    <w:link w:val="FooterChar"/>
    <w:uiPriority w:val="99"/>
    <w:unhideWhenUsed/>
    <w:rsid w:val="009D0CE8"/>
    <w:pPr>
      <w:tabs>
        <w:tab w:val="center" w:pos="4513"/>
        <w:tab w:val="right" w:pos="9026"/>
      </w:tabs>
    </w:pPr>
  </w:style>
  <w:style w:type="character" w:customStyle="1" w:styleId="FooterChar">
    <w:name w:val="Footer Char"/>
    <w:basedOn w:val="DefaultParagraphFont"/>
    <w:link w:val="Footer"/>
    <w:uiPriority w:val="99"/>
    <w:locked/>
    <w:rsid w:val="009D0CE8"/>
    <w:rPr>
      <w:rFonts w:ascii="Verdana" w:hAnsi="Verdana" w:cs="Times New Roman"/>
      <w:sz w:val="22"/>
      <w:szCs w:val="22"/>
    </w:rPr>
  </w:style>
  <w:style w:type="paragraph" w:styleId="NormalWeb">
    <w:name w:val="Normal (Web)"/>
    <w:basedOn w:val="Normal"/>
    <w:uiPriority w:val="99"/>
    <w:unhideWhenUsed/>
    <w:rsid w:val="009D0CE8"/>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9D0CE8"/>
    <w:rPr>
      <w:rFonts w:cs="Times New Roman"/>
      <w:sz w:val="16"/>
      <w:szCs w:val="16"/>
    </w:rPr>
  </w:style>
  <w:style w:type="paragraph" w:styleId="CommentText">
    <w:name w:val="annotation text"/>
    <w:basedOn w:val="Normal"/>
    <w:link w:val="CommentTextChar"/>
    <w:uiPriority w:val="99"/>
    <w:semiHidden/>
    <w:unhideWhenUsed/>
    <w:rsid w:val="009D0CE8"/>
    <w:rPr>
      <w:sz w:val="20"/>
      <w:szCs w:val="20"/>
    </w:rPr>
  </w:style>
  <w:style w:type="character" w:customStyle="1" w:styleId="CommentTextChar">
    <w:name w:val="Comment Text Char"/>
    <w:basedOn w:val="DefaultParagraphFont"/>
    <w:link w:val="CommentText"/>
    <w:uiPriority w:val="99"/>
    <w:semiHidden/>
    <w:locked/>
    <w:rsid w:val="009D0CE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9D0CE8"/>
    <w:rPr>
      <w:b/>
      <w:bCs/>
    </w:rPr>
  </w:style>
  <w:style w:type="character" w:customStyle="1" w:styleId="CommentSubjectChar">
    <w:name w:val="Comment Subject Char"/>
    <w:basedOn w:val="CommentTextChar"/>
    <w:link w:val="CommentSubject"/>
    <w:uiPriority w:val="99"/>
    <w:semiHidden/>
    <w:locked/>
    <w:rsid w:val="009D0CE8"/>
    <w:rPr>
      <w:rFonts w:ascii="Verdana" w:hAnsi="Verdana" w:cs="Times New Roman"/>
      <w:b/>
      <w:bCs/>
    </w:rPr>
  </w:style>
  <w:style w:type="paragraph" w:customStyle="1" w:styleId="western">
    <w:name w:val="western"/>
    <w:basedOn w:val="Normal"/>
    <w:rsid w:val="009D0CE8"/>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72"/>
    <w:rsid w:val="009D0CE8"/>
    <w:pPr>
      <w:ind w:left="720"/>
      <w:contextualSpacing/>
    </w:pPr>
  </w:style>
  <w:style w:type="paragraph" w:styleId="Revision">
    <w:name w:val="Revision"/>
    <w:hidden/>
    <w:uiPriority w:val="71"/>
    <w:rsid w:val="009D0CE8"/>
    <w:pPr>
      <w:spacing w:after="0" w:line="240" w:lineRule="auto"/>
    </w:pPr>
    <w:rPr>
      <w:rFonts w:ascii="Verdana" w:hAnsi="Verdana" w:cs="Times New Roman"/>
      <w:sz w:val="22"/>
      <w:szCs w:val="22"/>
    </w:rPr>
  </w:style>
  <w:style w:type="character" w:styleId="Strong">
    <w:name w:val="Strong"/>
    <w:basedOn w:val="DefaultParagraphFont"/>
    <w:uiPriority w:val="22"/>
    <w:qFormat/>
    <w:rsid w:val="009D0CE8"/>
    <w:rPr>
      <w:rFonts w:cs="Times New Roman"/>
      <w:b/>
      <w:bCs/>
    </w:rPr>
  </w:style>
  <w:style w:type="character" w:customStyle="1" w:styleId="sccappellantforindexchar">
    <w:name w:val="sccappellantforindexchar"/>
    <w:basedOn w:val="DefaultParagraphFont"/>
    <w:rsid w:val="009D0CE8"/>
    <w:rPr>
      <w:rFonts w:cs="Times New Roman"/>
    </w:rPr>
  </w:style>
  <w:style w:type="character" w:customStyle="1" w:styleId="sccrespondentforindexchar">
    <w:name w:val="sccrespondentforindexchar"/>
    <w:basedOn w:val="DefaultParagraphFont"/>
    <w:rsid w:val="009D0CE8"/>
    <w:rPr>
      <w:rFonts w:cs="Times New Roman"/>
    </w:rPr>
  </w:style>
  <w:style w:type="character" w:customStyle="1" w:styleId="i">
    <w:name w:val="i"/>
    <w:basedOn w:val="DefaultParagraphFont"/>
    <w:rsid w:val="009D0CE8"/>
    <w:rPr>
      <w:rFonts w:cs="Times New Roman"/>
    </w:rPr>
  </w:style>
  <w:style w:type="character" w:styleId="UnresolvedMention">
    <w:name w:val="Unresolved Mention"/>
    <w:basedOn w:val="DefaultParagraphFont"/>
    <w:uiPriority w:val="99"/>
    <w:semiHidden/>
    <w:unhideWhenUsed/>
    <w:rsid w:val="00227DE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lii.org/za/cases/ZACC/2021/19.html" TargetMode="External"/><Relationship Id="rId18" Type="http://schemas.openxmlformats.org/officeDocument/2006/relationships/hyperlink" Target="https://www.supremecourt.uk/cases/docs/uksc-2018-0102-judgment-1.pdf" TargetMode="External"/><Relationship Id="rId26" Type="http://schemas.openxmlformats.org/officeDocument/2006/relationships/hyperlink" Target="https://www.hklii.hk/eng/hk/cases/hkcfa/2021/24.html" TargetMode="External"/><Relationship Id="rId39" Type="http://schemas.openxmlformats.org/officeDocument/2006/relationships/hyperlink" Target="https://www.supremecourt.uk/cases/docs/uksc-2019-0124-judgment.pdf" TargetMode="External"/><Relationship Id="rId21" Type="http://schemas.openxmlformats.org/officeDocument/2006/relationships/hyperlink" Target="https://www.courtsofnz.govt.nz/assets/cases/2021/2021-NZSC-85.pdf" TargetMode="External"/><Relationship Id="rId34" Type="http://schemas.openxmlformats.org/officeDocument/2006/relationships/hyperlink" Target="https://www.supremecourt.uk/cases/docs/uksc-2019-0098-judgment.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premecourt.gov/opinions/20pdf/19-251_p86b.pdf" TargetMode="External"/><Relationship Id="rId20" Type="http://schemas.openxmlformats.org/officeDocument/2006/relationships/hyperlink" Target="https://www.supremecourt.uk/cases/docs/uksc-2019-0074-judgment.pdf" TargetMode="External"/><Relationship Id="rId29" Type="http://schemas.openxmlformats.org/officeDocument/2006/relationships/hyperlink" Target="https://www.supremecourt.uk/cases/docs/uksc-2019-0155-judgment.pdf" TargetMode="External"/><Relationship Id="rId41" Type="http://schemas.openxmlformats.org/officeDocument/2006/relationships/hyperlink" Target="https://www.supremecourt.uk/cases/docs/uksc-2019-0172-judg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remecourt.uk/cases/docs/uksc-2019-0065-judgment.pdf" TargetMode="External"/><Relationship Id="rId24" Type="http://schemas.openxmlformats.org/officeDocument/2006/relationships/hyperlink" Target="https://www.supremecourt.uk/cases/docs/uksc-2019-0188-judgment.pdf" TargetMode="External"/><Relationship Id="rId32" Type="http://schemas.openxmlformats.org/officeDocument/2006/relationships/hyperlink" Target="http://www.saflii.org/za/cases/ZACC/2021/20.html" TargetMode="External"/><Relationship Id="rId37" Type="http://schemas.openxmlformats.org/officeDocument/2006/relationships/hyperlink" Target="https://www.supremecourt.uk/cases/docs/uksc-2019-0183-judgment.pdf" TargetMode="External"/><Relationship Id="rId40" Type="http://schemas.openxmlformats.org/officeDocument/2006/relationships/hyperlink" Target="http://www.saflii.org/za/cases/ZACC/2021/23.html" TargetMode="External"/><Relationship Id="rId5" Type="http://schemas.openxmlformats.org/officeDocument/2006/relationships/webSettings" Target="webSettings.xml"/><Relationship Id="rId15" Type="http://schemas.openxmlformats.org/officeDocument/2006/relationships/hyperlink" Target="https://www.supremecourt.gov/opinions/20pdf/19-251_p86b.pdf" TargetMode="External"/><Relationship Id="rId23" Type="http://schemas.openxmlformats.org/officeDocument/2006/relationships/hyperlink" Target="https://www.courtsofnz.govt.nz/assets/cases/2021/2021-NZSC-102.pdf" TargetMode="External"/><Relationship Id="rId28" Type="http://schemas.openxmlformats.org/officeDocument/2006/relationships/hyperlink" Target="https://www.supremecourt.uk/cases/docs/uksc-2019-0086-judgment.pdf" TargetMode="External"/><Relationship Id="rId36" Type="http://schemas.openxmlformats.org/officeDocument/2006/relationships/hyperlink" Target="https://scc-csc.lexum.com/scc-csc/scc-csc/en/item/18964/index.do" TargetMode="External"/><Relationship Id="rId10" Type="http://schemas.openxmlformats.org/officeDocument/2006/relationships/hyperlink" Target="https://www.supremecourt.uk/cases/docs/uksc-2019-0147-judgment.pdf" TargetMode="External"/><Relationship Id="rId19" Type="http://schemas.openxmlformats.org/officeDocument/2006/relationships/hyperlink" Target="https://scc-csc.lexum.com/scc-csc/scc-csc/en/item/18962/index.do" TargetMode="External"/><Relationship Id="rId31" Type="http://schemas.openxmlformats.org/officeDocument/2006/relationships/hyperlink" Target="https://www.supremecourt.uk/cases/docs/uksc-2019-0135-judgment.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c-csc.lexum.com/scc-csc/scc-csc/en/item/18955/index.do" TargetMode="External"/><Relationship Id="rId14" Type="http://schemas.openxmlformats.org/officeDocument/2006/relationships/hyperlink" Target="http://www.saflii.org/za/cases/ZACC/2021/22.html" TargetMode="External"/><Relationship Id="rId22" Type="http://schemas.openxmlformats.org/officeDocument/2006/relationships/hyperlink" Target="https://scc-csc.lexum.com/scc-csc/scc-csc/en/item/18963/index.do" TargetMode="External"/><Relationship Id="rId27" Type="http://schemas.openxmlformats.org/officeDocument/2006/relationships/hyperlink" Target="https://www.supremecourt.uk/cases/docs/uksc-2019-0068-judgment.pdf" TargetMode="External"/><Relationship Id="rId30" Type="http://schemas.openxmlformats.org/officeDocument/2006/relationships/hyperlink" Target="https://www.supremecourt.uk/cases/docs/uksc-2019-0055-judgment.pdf" TargetMode="External"/><Relationship Id="rId35" Type="http://schemas.openxmlformats.org/officeDocument/2006/relationships/hyperlink" Target="https://www.supremecourt.uk/cases/docs/uksc-2019-0174-judgment.pdf"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saflii.org/za/cases/ZACC/2021/21.html" TargetMode="External"/><Relationship Id="rId17" Type="http://schemas.openxmlformats.org/officeDocument/2006/relationships/hyperlink" Target="https://www.supremecourt.uk/cases/docs/uksc-2019-0142-judgment.pdf" TargetMode="External"/><Relationship Id="rId25" Type="http://schemas.openxmlformats.org/officeDocument/2006/relationships/hyperlink" Target="https://www.hklii.hk/eng/hk/cases/hkcfa/2021/26.html" TargetMode="External"/><Relationship Id="rId33" Type="http://schemas.openxmlformats.org/officeDocument/2006/relationships/hyperlink" Target="https://scc-csc.lexum.com/scc-csc/scc-csc/en/item/18972/index.do" TargetMode="External"/><Relationship Id="rId38" Type="http://schemas.openxmlformats.org/officeDocument/2006/relationships/hyperlink" Target="https://www.supremecourt.uk/cases/docs/uksc-2016-0228-judgmen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7E86-72C7-41A1-82B6-89D7E6C5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6131</Words>
  <Characters>34950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2021-09-06T04:01:00Z</dcterms:created>
  <dcterms:modified xsi:type="dcterms:W3CDTF">2021-09-06T04:01:00Z</dcterms:modified>
</cp:coreProperties>
</file>