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69B24543" w:rsidR="00F03117" w:rsidRPr="00007C4E" w:rsidRDefault="00810E3E" w:rsidP="00007C4E">
            <w:pPr>
              <w:tabs>
                <w:tab w:val="left" w:pos="851"/>
                <w:tab w:val="right" w:pos="8505"/>
              </w:tabs>
              <w:jc w:val="both"/>
              <w:rPr>
                <w:u w:val="single"/>
              </w:rPr>
            </w:pPr>
            <w:r>
              <w:rPr>
                <w:u w:val="single"/>
              </w:rPr>
              <w:t>Tuesday, 11 October 2022</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04ABEB2D" w:rsidR="00F03117" w:rsidRPr="00913869" w:rsidRDefault="00936C31" w:rsidP="00913869">
            <w:pPr>
              <w:numPr>
                <w:ilvl w:val="0"/>
                <w:numId w:val="9"/>
              </w:numPr>
              <w:ind w:hanging="720"/>
            </w:pPr>
            <w:r>
              <w:t xml:space="preserve">Realestate.com.au Pty </w:t>
            </w:r>
            <w:proofErr w:type="gramStart"/>
            <w:r>
              <w:t>Ltd</w:t>
            </w:r>
            <w:r w:rsidR="00F03117" w:rsidRPr="00007C4E">
              <w:t xml:space="preserve"> </w:t>
            </w:r>
            <w:r>
              <w:t xml:space="preserve"> </w:t>
            </w:r>
            <w:r w:rsidR="00F03117" w:rsidRPr="00007C4E">
              <w:t>v</w:t>
            </w:r>
            <w:proofErr w:type="gramEnd"/>
            <w:r w:rsidR="00F03117" w:rsidRPr="00007C4E">
              <w:t xml:space="preserve">  </w:t>
            </w:r>
            <w:r>
              <w:t xml:space="preserve">Hardingham &amp; </w:t>
            </w:r>
            <w:proofErr w:type="spellStart"/>
            <w:r>
              <w:t>Ors</w:t>
            </w:r>
            <w:proofErr w:type="spellEnd"/>
            <w:r>
              <w:t xml:space="preserve">; </w:t>
            </w:r>
            <w:r w:rsidR="00A92938">
              <w:br/>
            </w:r>
            <w:r>
              <w:t xml:space="preserve">RP Data Pty </w:t>
            </w:r>
            <w:r w:rsidR="00DF61F8">
              <w:t xml:space="preserve">Limited  v  Hardingham &amp; </w:t>
            </w:r>
            <w:proofErr w:type="spellStart"/>
            <w:r w:rsidR="00DF61F8">
              <w:t>Ors</w:t>
            </w:r>
            <w:proofErr w:type="spellEnd"/>
          </w:p>
        </w:tc>
        <w:tc>
          <w:tcPr>
            <w:tcW w:w="850" w:type="dxa"/>
            <w:shd w:val="clear" w:color="auto" w:fill="auto"/>
          </w:tcPr>
          <w:p w14:paraId="05D939EE" w14:textId="69FF89EE" w:rsidR="00F03117" w:rsidRPr="00C65A07" w:rsidRDefault="00AE2855"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AE2855" w:rsidRPr="00007C4E" w14:paraId="3DDF1B87" w14:textId="77777777" w:rsidTr="00F064A3">
        <w:tc>
          <w:tcPr>
            <w:tcW w:w="8755" w:type="dxa"/>
            <w:gridSpan w:val="2"/>
            <w:shd w:val="clear" w:color="auto" w:fill="auto"/>
          </w:tcPr>
          <w:p w14:paraId="5790D645" w14:textId="5B4A027D" w:rsidR="00AE2855" w:rsidRPr="00007C4E" w:rsidRDefault="00810E3E" w:rsidP="00F064A3">
            <w:pPr>
              <w:tabs>
                <w:tab w:val="left" w:pos="851"/>
                <w:tab w:val="right" w:pos="8505"/>
              </w:tabs>
              <w:jc w:val="both"/>
              <w:rPr>
                <w:u w:val="single"/>
              </w:rPr>
            </w:pPr>
            <w:r>
              <w:rPr>
                <w:u w:val="single"/>
              </w:rPr>
              <w:t>Wednesday, 12 October 2022</w:t>
            </w:r>
            <w:r w:rsidR="00AE2855">
              <w:rPr>
                <w:u w:val="single"/>
              </w:rPr>
              <w:t xml:space="preserve"> </w:t>
            </w:r>
          </w:p>
          <w:p w14:paraId="6A78F86B" w14:textId="77777777" w:rsidR="00AE2855" w:rsidRDefault="00AE2855" w:rsidP="00F064A3">
            <w:pPr>
              <w:pStyle w:val="Title"/>
              <w:jc w:val="left"/>
            </w:pPr>
          </w:p>
        </w:tc>
      </w:tr>
      <w:tr w:rsidR="00AE2855" w14:paraId="0FF989F8" w14:textId="77777777" w:rsidTr="00F064A3">
        <w:tc>
          <w:tcPr>
            <w:tcW w:w="7905" w:type="dxa"/>
            <w:shd w:val="clear" w:color="auto" w:fill="auto"/>
          </w:tcPr>
          <w:p w14:paraId="332FF125" w14:textId="40B1DBAC" w:rsidR="00AE2855" w:rsidRPr="00913869" w:rsidRDefault="008A4F58" w:rsidP="00F064A3">
            <w:pPr>
              <w:numPr>
                <w:ilvl w:val="0"/>
                <w:numId w:val="9"/>
              </w:numPr>
              <w:ind w:hanging="720"/>
            </w:pPr>
            <w:r>
              <w:t xml:space="preserve">Metal Manufacturers Pty </w:t>
            </w:r>
            <w:proofErr w:type="gramStart"/>
            <w:r>
              <w:t>Limited</w:t>
            </w:r>
            <w:r w:rsidR="00AE2855" w:rsidRPr="00007C4E">
              <w:t xml:space="preserve"> </w:t>
            </w:r>
            <w:r>
              <w:t xml:space="preserve"> </w:t>
            </w:r>
            <w:r w:rsidR="00AE2855" w:rsidRPr="00007C4E">
              <w:t>v</w:t>
            </w:r>
            <w:proofErr w:type="gramEnd"/>
            <w:r w:rsidR="00AE2855" w:rsidRPr="00007C4E">
              <w:t xml:space="preserve">  </w:t>
            </w:r>
            <w:r>
              <w:t>Gavin Morton as liquidator of MJ Woodman Electrical Contractors Pty Ltd (in liquidation) &amp; Anor</w:t>
            </w:r>
          </w:p>
        </w:tc>
        <w:tc>
          <w:tcPr>
            <w:tcW w:w="850" w:type="dxa"/>
            <w:shd w:val="clear" w:color="auto" w:fill="auto"/>
          </w:tcPr>
          <w:p w14:paraId="5142EFE2" w14:textId="199FF82E" w:rsidR="00AE2855" w:rsidRPr="00C65A07" w:rsidRDefault="00D67A19" w:rsidP="00F064A3">
            <w:pPr>
              <w:pStyle w:val="Title"/>
              <w:rPr>
                <w:u w:val="none"/>
              </w:rPr>
            </w:pPr>
            <w:r>
              <w:rPr>
                <w:u w:val="none"/>
              </w:rPr>
              <w:t>3</w:t>
            </w:r>
          </w:p>
        </w:tc>
      </w:tr>
    </w:tbl>
    <w:p w14:paraId="2FDA08A9" w14:textId="732EB2E7" w:rsidR="004B7828" w:rsidRDefault="004B7828" w:rsidP="00913869"/>
    <w:tbl>
      <w:tblPr>
        <w:tblW w:w="0" w:type="auto"/>
        <w:tblLook w:val="04A0" w:firstRow="1" w:lastRow="0" w:firstColumn="1" w:lastColumn="0" w:noHBand="0" w:noVBand="1"/>
      </w:tblPr>
      <w:tblGrid>
        <w:gridCol w:w="7890"/>
        <w:gridCol w:w="849"/>
      </w:tblGrid>
      <w:tr w:rsidR="00AE2855" w:rsidRPr="00007C4E" w14:paraId="5D072C55" w14:textId="77777777" w:rsidTr="00F064A3">
        <w:tc>
          <w:tcPr>
            <w:tcW w:w="8755" w:type="dxa"/>
            <w:gridSpan w:val="2"/>
            <w:shd w:val="clear" w:color="auto" w:fill="auto"/>
          </w:tcPr>
          <w:p w14:paraId="405C27AC" w14:textId="7686A0C6" w:rsidR="00AE2855" w:rsidRPr="00007C4E" w:rsidRDefault="00810E3E" w:rsidP="00F064A3">
            <w:pPr>
              <w:tabs>
                <w:tab w:val="left" w:pos="851"/>
                <w:tab w:val="right" w:pos="8505"/>
              </w:tabs>
              <w:jc w:val="both"/>
              <w:rPr>
                <w:u w:val="single"/>
              </w:rPr>
            </w:pPr>
            <w:r>
              <w:rPr>
                <w:u w:val="single"/>
              </w:rPr>
              <w:t>Thursday, 13 October 2022</w:t>
            </w:r>
            <w:r w:rsidR="00AE2855">
              <w:rPr>
                <w:u w:val="single"/>
              </w:rPr>
              <w:t xml:space="preserve"> </w:t>
            </w:r>
          </w:p>
          <w:p w14:paraId="2A6AC4A8" w14:textId="77777777" w:rsidR="00AE2855" w:rsidRDefault="00AE2855" w:rsidP="00F064A3">
            <w:pPr>
              <w:pStyle w:val="Title"/>
              <w:jc w:val="left"/>
            </w:pPr>
          </w:p>
        </w:tc>
      </w:tr>
      <w:tr w:rsidR="00AE2855" w14:paraId="4747D2B2" w14:textId="77777777" w:rsidTr="00F064A3">
        <w:tc>
          <w:tcPr>
            <w:tcW w:w="7905" w:type="dxa"/>
            <w:shd w:val="clear" w:color="auto" w:fill="auto"/>
          </w:tcPr>
          <w:p w14:paraId="773CA7C5" w14:textId="5C56B096" w:rsidR="00AE2855" w:rsidRPr="00913869" w:rsidRDefault="002B2D95" w:rsidP="00F064A3">
            <w:pPr>
              <w:numPr>
                <w:ilvl w:val="0"/>
                <w:numId w:val="9"/>
              </w:numPr>
              <w:ind w:hanging="720"/>
            </w:pPr>
            <w:r>
              <w:t xml:space="preserve">Self Care IP Holdings Pty Ltd &amp; </w:t>
            </w:r>
            <w:proofErr w:type="gramStart"/>
            <w:r>
              <w:t xml:space="preserve">Anor </w:t>
            </w:r>
            <w:r w:rsidR="00AE2855" w:rsidRPr="00007C4E">
              <w:t xml:space="preserve"> v</w:t>
            </w:r>
            <w:proofErr w:type="gramEnd"/>
            <w:r w:rsidR="00AE2855" w:rsidRPr="00007C4E">
              <w:t xml:space="preserve">  </w:t>
            </w:r>
            <w:r>
              <w:t>Allergan Australia Pty Ltd &amp; Anor</w:t>
            </w:r>
          </w:p>
        </w:tc>
        <w:tc>
          <w:tcPr>
            <w:tcW w:w="850" w:type="dxa"/>
            <w:shd w:val="clear" w:color="auto" w:fill="auto"/>
          </w:tcPr>
          <w:p w14:paraId="6CFD2A2C" w14:textId="6D0B7929" w:rsidR="00AE2855" w:rsidRPr="00C65A07" w:rsidRDefault="00602F0D" w:rsidP="00F064A3">
            <w:pPr>
              <w:pStyle w:val="Title"/>
              <w:rPr>
                <w:u w:val="none"/>
              </w:rPr>
            </w:pPr>
            <w:r>
              <w:rPr>
                <w:u w:val="none"/>
              </w:rPr>
              <w:t>5</w:t>
            </w:r>
          </w:p>
        </w:tc>
      </w:tr>
    </w:tbl>
    <w:p w14:paraId="61923084" w14:textId="296AC21E" w:rsidR="00AE2855" w:rsidRDefault="00AE2855" w:rsidP="00913869"/>
    <w:tbl>
      <w:tblPr>
        <w:tblW w:w="0" w:type="auto"/>
        <w:tblLook w:val="04A0" w:firstRow="1" w:lastRow="0" w:firstColumn="1" w:lastColumn="0" w:noHBand="0" w:noVBand="1"/>
      </w:tblPr>
      <w:tblGrid>
        <w:gridCol w:w="7890"/>
        <w:gridCol w:w="849"/>
      </w:tblGrid>
      <w:tr w:rsidR="00AE2855" w:rsidRPr="00007C4E" w14:paraId="5A6DC809" w14:textId="77777777" w:rsidTr="00F064A3">
        <w:tc>
          <w:tcPr>
            <w:tcW w:w="8755" w:type="dxa"/>
            <w:gridSpan w:val="2"/>
            <w:shd w:val="clear" w:color="auto" w:fill="auto"/>
          </w:tcPr>
          <w:p w14:paraId="17111428" w14:textId="3CEFB1B4" w:rsidR="00AE2855" w:rsidRPr="00007C4E" w:rsidRDefault="00810E3E" w:rsidP="00F064A3">
            <w:pPr>
              <w:tabs>
                <w:tab w:val="left" w:pos="851"/>
                <w:tab w:val="right" w:pos="8505"/>
              </w:tabs>
              <w:jc w:val="both"/>
              <w:rPr>
                <w:u w:val="single"/>
              </w:rPr>
            </w:pPr>
            <w:r>
              <w:rPr>
                <w:u w:val="single"/>
              </w:rPr>
              <w:t>Tuesday, 18 October 2022</w:t>
            </w:r>
            <w:r w:rsidR="00AE2855">
              <w:rPr>
                <w:u w:val="single"/>
              </w:rPr>
              <w:t xml:space="preserve"> </w:t>
            </w:r>
          </w:p>
          <w:p w14:paraId="053EEF44" w14:textId="77777777" w:rsidR="00AE2855" w:rsidRDefault="00AE2855" w:rsidP="00F064A3">
            <w:pPr>
              <w:pStyle w:val="Title"/>
              <w:jc w:val="left"/>
            </w:pPr>
          </w:p>
        </w:tc>
      </w:tr>
      <w:tr w:rsidR="00AE2855" w14:paraId="5A6A3D1F" w14:textId="77777777" w:rsidTr="00F064A3">
        <w:tc>
          <w:tcPr>
            <w:tcW w:w="7905" w:type="dxa"/>
            <w:shd w:val="clear" w:color="auto" w:fill="auto"/>
          </w:tcPr>
          <w:p w14:paraId="409FF449" w14:textId="42152C94" w:rsidR="00AE2855" w:rsidRPr="00913869" w:rsidRDefault="00796D5D" w:rsidP="00F064A3">
            <w:pPr>
              <w:numPr>
                <w:ilvl w:val="0"/>
                <w:numId w:val="9"/>
              </w:numPr>
              <w:ind w:hanging="720"/>
            </w:pPr>
            <w:r>
              <w:t xml:space="preserve">Bryant &amp; </w:t>
            </w:r>
            <w:proofErr w:type="spellStart"/>
            <w:r>
              <w:t>Ors</w:t>
            </w:r>
            <w:proofErr w:type="spellEnd"/>
            <w:r>
              <w:t xml:space="preserve"> as liquidators of </w:t>
            </w:r>
            <w:proofErr w:type="spellStart"/>
            <w:r>
              <w:t>Gunns</w:t>
            </w:r>
            <w:proofErr w:type="spellEnd"/>
            <w:r>
              <w:t xml:space="preserve"> Limited and </w:t>
            </w:r>
            <w:proofErr w:type="spellStart"/>
            <w:r>
              <w:t>Auspine</w:t>
            </w:r>
            <w:proofErr w:type="spellEnd"/>
            <w:r>
              <w:t xml:space="preserve"> </w:t>
            </w:r>
            <w:proofErr w:type="gramStart"/>
            <w:r>
              <w:t>Limited</w:t>
            </w:r>
            <w:r w:rsidR="00AE2855" w:rsidRPr="00007C4E">
              <w:t xml:space="preserve"> </w:t>
            </w:r>
            <w:r>
              <w:t xml:space="preserve"> </w:t>
            </w:r>
            <w:r w:rsidR="00AE2855" w:rsidRPr="00007C4E">
              <w:t>v</w:t>
            </w:r>
            <w:proofErr w:type="gramEnd"/>
            <w:r w:rsidR="00AE2855" w:rsidRPr="00007C4E">
              <w:t xml:space="preserve">  </w:t>
            </w:r>
            <w:r>
              <w:t>Badenoch Integrated Logging Pty Ltd</w:t>
            </w:r>
          </w:p>
        </w:tc>
        <w:tc>
          <w:tcPr>
            <w:tcW w:w="850" w:type="dxa"/>
            <w:shd w:val="clear" w:color="auto" w:fill="auto"/>
          </w:tcPr>
          <w:p w14:paraId="536B6764" w14:textId="0142E1D3" w:rsidR="00AE2855" w:rsidRPr="00C65A07" w:rsidRDefault="002000F9" w:rsidP="00F064A3">
            <w:pPr>
              <w:pStyle w:val="Title"/>
              <w:rPr>
                <w:u w:val="none"/>
              </w:rPr>
            </w:pPr>
            <w:r>
              <w:rPr>
                <w:u w:val="none"/>
              </w:rPr>
              <w:t>7</w:t>
            </w:r>
          </w:p>
        </w:tc>
      </w:tr>
    </w:tbl>
    <w:p w14:paraId="7FA5CF5D" w14:textId="042484FD" w:rsidR="00AE2855" w:rsidRDefault="00AE2855" w:rsidP="00913869"/>
    <w:tbl>
      <w:tblPr>
        <w:tblW w:w="0" w:type="auto"/>
        <w:tblLook w:val="04A0" w:firstRow="1" w:lastRow="0" w:firstColumn="1" w:lastColumn="0" w:noHBand="0" w:noVBand="1"/>
      </w:tblPr>
      <w:tblGrid>
        <w:gridCol w:w="7890"/>
        <w:gridCol w:w="849"/>
      </w:tblGrid>
      <w:tr w:rsidR="00810E3E" w:rsidRPr="00007C4E" w14:paraId="46BB310A" w14:textId="77777777" w:rsidTr="00F064A3">
        <w:tc>
          <w:tcPr>
            <w:tcW w:w="8755" w:type="dxa"/>
            <w:gridSpan w:val="2"/>
            <w:shd w:val="clear" w:color="auto" w:fill="auto"/>
          </w:tcPr>
          <w:p w14:paraId="332B6648" w14:textId="73CAA62E" w:rsidR="00810E3E" w:rsidRPr="00007C4E" w:rsidRDefault="00810E3E" w:rsidP="00F064A3">
            <w:pPr>
              <w:tabs>
                <w:tab w:val="left" w:pos="851"/>
                <w:tab w:val="right" w:pos="8505"/>
              </w:tabs>
              <w:jc w:val="both"/>
              <w:rPr>
                <w:u w:val="single"/>
              </w:rPr>
            </w:pPr>
            <w:r>
              <w:rPr>
                <w:u w:val="single"/>
              </w:rPr>
              <w:t>Wednesday, 19 October 2022 and Thursday, 20 October 2022</w:t>
            </w:r>
          </w:p>
          <w:p w14:paraId="22FFB478" w14:textId="77777777" w:rsidR="00810E3E" w:rsidRDefault="00810E3E" w:rsidP="00F064A3">
            <w:pPr>
              <w:pStyle w:val="Title"/>
              <w:jc w:val="left"/>
            </w:pPr>
          </w:p>
        </w:tc>
      </w:tr>
      <w:tr w:rsidR="00810E3E" w14:paraId="15CDFC10" w14:textId="77777777" w:rsidTr="00F064A3">
        <w:tc>
          <w:tcPr>
            <w:tcW w:w="7905" w:type="dxa"/>
            <w:shd w:val="clear" w:color="auto" w:fill="auto"/>
          </w:tcPr>
          <w:p w14:paraId="1655377C" w14:textId="0DFD9106" w:rsidR="00810E3E" w:rsidRPr="00913869" w:rsidRDefault="00796D5D" w:rsidP="00F064A3">
            <w:pPr>
              <w:numPr>
                <w:ilvl w:val="0"/>
                <w:numId w:val="9"/>
              </w:numPr>
              <w:ind w:hanging="720"/>
            </w:pPr>
            <w:proofErr w:type="gramStart"/>
            <w:r>
              <w:t xml:space="preserve">Davis </w:t>
            </w:r>
            <w:r w:rsidR="00810E3E" w:rsidRPr="00007C4E">
              <w:t xml:space="preserve"> v</w:t>
            </w:r>
            <w:proofErr w:type="gramEnd"/>
            <w:r w:rsidR="00810E3E" w:rsidRPr="00007C4E">
              <w:t xml:space="preserve">  </w:t>
            </w:r>
            <w:r>
              <w:t xml:space="preserve">Minister for Immigration, Citizenship, Migrant Services and Multicultural Affairs &amp; </w:t>
            </w:r>
            <w:proofErr w:type="spellStart"/>
            <w:r>
              <w:t>Ors</w:t>
            </w:r>
            <w:proofErr w:type="spellEnd"/>
            <w:r>
              <w:t xml:space="preserve">; </w:t>
            </w:r>
            <w:r>
              <w:br/>
              <w:t>DCM20  v  Secretary of Department of Home Affairs &amp; Anor</w:t>
            </w:r>
          </w:p>
        </w:tc>
        <w:tc>
          <w:tcPr>
            <w:tcW w:w="850" w:type="dxa"/>
            <w:shd w:val="clear" w:color="auto" w:fill="auto"/>
          </w:tcPr>
          <w:p w14:paraId="5E3E4445" w14:textId="1BA23379" w:rsidR="00810E3E" w:rsidRPr="00C65A07" w:rsidRDefault="000B2EC3" w:rsidP="00F064A3">
            <w:pPr>
              <w:pStyle w:val="Title"/>
              <w:rPr>
                <w:u w:val="none"/>
              </w:rPr>
            </w:pPr>
            <w:r>
              <w:rPr>
                <w:u w:val="none"/>
              </w:rPr>
              <w:t>9</w:t>
            </w:r>
          </w:p>
        </w:tc>
      </w:tr>
    </w:tbl>
    <w:p w14:paraId="080E99B5" w14:textId="3598101A" w:rsidR="00810E3E" w:rsidRDefault="00810E3E" w:rsidP="00913869"/>
    <w:p w14:paraId="25AE7B81" w14:textId="31C4D756" w:rsidR="00D67A19" w:rsidRDefault="00D67A19">
      <w:r>
        <w:br w:type="page"/>
      </w:r>
    </w:p>
    <w:p w14:paraId="6D9E8497" w14:textId="77777777" w:rsidR="00D67A19" w:rsidRDefault="00D67A19" w:rsidP="00D67A19">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lastRenderedPageBreak/>
        <w:t>REALESTATE.COM.AU PTY LTD</w:t>
      </w:r>
      <w:r w:rsidRPr="00F8735E">
        <w:rPr>
          <w:rFonts w:ascii="Arial" w:eastAsia="Times New Roman" w:hAnsi="Arial" w:cs="Arial"/>
          <w:b/>
          <w:color w:val="000000"/>
          <w:sz w:val="28"/>
          <w:szCs w:val="28"/>
          <w:u w:val="single"/>
          <w:lang w:eastAsia="en-AU"/>
        </w:rPr>
        <w:t xml:space="preserve"> v</w:t>
      </w:r>
      <w:r>
        <w:rPr>
          <w:rFonts w:ascii="Arial" w:eastAsia="Times New Roman" w:hAnsi="Arial" w:cs="Arial"/>
          <w:b/>
          <w:color w:val="000000"/>
          <w:sz w:val="28"/>
          <w:szCs w:val="28"/>
          <w:u w:val="single"/>
          <w:lang w:eastAsia="en-AU"/>
        </w:rPr>
        <w:t xml:space="preserve"> HARDINGHAM &amp; ORS</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S57/2022</w:t>
      </w:r>
      <w:proofErr w:type="gramStart"/>
      <w:r w:rsidRPr="0096712A">
        <w:rPr>
          <w:rFonts w:ascii="Arial" w:eastAsia="Times New Roman" w:hAnsi="Arial" w:cs="Arial"/>
          <w:b/>
          <w:color w:val="000000"/>
          <w:sz w:val="28"/>
          <w:szCs w:val="28"/>
          <w:lang w:eastAsia="en-AU"/>
        </w:rPr>
        <w:t>)</w:t>
      </w:r>
      <w:r>
        <w:rPr>
          <w:rFonts w:ascii="Arial" w:eastAsia="Times New Roman" w:hAnsi="Arial" w:cs="Arial"/>
          <w:b/>
          <w:color w:val="000000"/>
          <w:sz w:val="28"/>
          <w:szCs w:val="28"/>
          <w:lang w:eastAsia="en-AU"/>
        </w:rPr>
        <w:t>;</w:t>
      </w:r>
      <w:proofErr w:type="gramEnd"/>
      <w:r>
        <w:rPr>
          <w:rFonts w:ascii="Arial" w:eastAsia="Times New Roman" w:hAnsi="Arial" w:cs="Arial"/>
          <w:b/>
          <w:color w:val="000000"/>
          <w:sz w:val="28"/>
          <w:szCs w:val="28"/>
          <w:lang w:eastAsia="en-AU"/>
        </w:rPr>
        <w:t xml:space="preserve"> </w:t>
      </w:r>
    </w:p>
    <w:p w14:paraId="755184CC" w14:textId="77777777" w:rsidR="00D67A19" w:rsidRDefault="00D67A19" w:rsidP="00D67A19">
      <w:pPr>
        <w:pStyle w:val="NoSpacing"/>
        <w:rPr>
          <w:rFonts w:ascii="Arial" w:eastAsia="Times New Roman" w:hAnsi="Arial" w:cs="Arial"/>
          <w:b/>
          <w:color w:val="000000"/>
          <w:sz w:val="28"/>
          <w:szCs w:val="28"/>
          <w:lang w:eastAsia="en-AU"/>
        </w:rPr>
      </w:pPr>
      <w:r w:rsidRPr="00550E14">
        <w:rPr>
          <w:rFonts w:ascii="Arial" w:eastAsia="Times New Roman" w:hAnsi="Arial" w:cs="Arial"/>
          <w:b/>
          <w:color w:val="000000"/>
          <w:sz w:val="28"/>
          <w:szCs w:val="28"/>
          <w:u w:val="single"/>
          <w:lang w:eastAsia="en-AU"/>
        </w:rPr>
        <w:t>RP DATA PTY LIMITED v HARDINGHAM &amp; ORS</w:t>
      </w:r>
      <w:r>
        <w:rPr>
          <w:rFonts w:ascii="Arial" w:eastAsia="Times New Roman" w:hAnsi="Arial" w:cs="Arial"/>
          <w:b/>
          <w:color w:val="000000"/>
          <w:sz w:val="28"/>
          <w:szCs w:val="28"/>
          <w:lang w:eastAsia="en-AU"/>
        </w:rPr>
        <w:t xml:space="preserve"> (S58/2022)</w:t>
      </w:r>
    </w:p>
    <w:p w14:paraId="53606E55" w14:textId="77777777" w:rsidR="00D67A19" w:rsidRPr="00A920AB" w:rsidRDefault="00D67A19" w:rsidP="00D67A19">
      <w:pPr>
        <w:rPr>
          <w:rFonts w:cs="Arial"/>
          <w:szCs w:val="24"/>
        </w:rPr>
      </w:pPr>
    </w:p>
    <w:p w14:paraId="3575A632" w14:textId="77777777" w:rsidR="00D67A19" w:rsidRPr="006A1C3E" w:rsidRDefault="00D67A19" w:rsidP="00D67A19">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7D75948B" w14:textId="77777777" w:rsidR="00D67A19" w:rsidRPr="006A1C3E" w:rsidRDefault="00D67A19" w:rsidP="00D67A19">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[2021] FCAFC 148</w:t>
      </w:r>
    </w:p>
    <w:p w14:paraId="22D0842C" w14:textId="77777777" w:rsidR="00D67A19" w:rsidRPr="006A1C3E" w:rsidRDefault="00D67A19" w:rsidP="00D67A19">
      <w:pPr>
        <w:ind w:left="2694" w:hanging="2694"/>
        <w:rPr>
          <w:rFonts w:cs="Arial"/>
          <w:szCs w:val="24"/>
        </w:rPr>
      </w:pPr>
      <w:r w:rsidRPr="006A1C3E">
        <w:rPr>
          <w:rFonts w:cs="Arial"/>
          <w:szCs w:val="24"/>
        </w:rPr>
        <w:tab/>
      </w:r>
    </w:p>
    <w:p w14:paraId="346B4036" w14:textId="77777777" w:rsidR="00D67A19" w:rsidRPr="006A1C3E" w:rsidRDefault="00D67A19" w:rsidP="00D67A19">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18 August 2021</w:t>
      </w:r>
    </w:p>
    <w:p w14:paraId="118B2240" w14:textId="77777777" w:rsidR="00D67A19" w:rsidRPr="006A1C3E" w:rsidRDefault="00D67A19" w:rsidP="00D67A19">
      <w:pPr>
        <w:ind w:left="2694" w:hanging="2694"/>
        <w:rPr>
          <w:rFonts w:cs="Arial"/>
          <w:szCs w:val="24"/>
        </w:rPr>
      </w:pPr>
    </w:p>
    <w:p w14:paraId="21ADA16E" w14:textId="77777777" w:rsidR="00D67A19" w:rsidRDefault="00D67A19" w:rsidP="00D67A19">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12 April </w:t>
      </w:r>
      <w:r w:rsidRPr="006A1C3E">
        <w:rPr>
          <w:rFonts w:cs="Arial"/>
          <w:szCs w:val="24"/>
        </w:rPr>
        <w:t>202</w:t>
      </w:r>
      <w:r>
        <w:rPr>
          <w:rFonts w:cs="Arial"/>
          <w:szCs w:val="24"/>
        </w:rPr>
        <w:t>2</w:t>
      </w:r>
    </w:p>
    <w:p w14:paraId="1D16CAEF" w14:textId="77777777" w:rsidR="00D67A19" w:rsidRDefault="00D67A19" w:rsidP="00D67A19">
      <w:pPr>
        <w:shd w:val="clear" w:color="auto" w:fill="FFFFFF"/>
        <w:jc w:val="both"/>
        <w:rPr>
          <w:rFonts w:cs="Arial"/>
          <w:szCs w:val="24"/>
        </w:rPr>
      </w:pPr>
      <w:bookmarkStart w:id="0" w:name="Heading133"/>
      <w:bookmarkEnd w:id="0"/>
    </w:p>
    <w:p w14:paraId="0E7401BA" w14:textId="77777777" w:rsidR="00D67A19" w:rsidRDefault="00D67A19" w:rsidP="00723BD1">
      <w:pPr>
        <w:shd w:val="clear" w:color="auto" w:fill="FFFFFF"/>
        <w:jc w:val="both"/>
        <w:rPr>
          <w:rFonts w:cs="Arial"/>
          <w:szCs w:val="24"/>
        </w:rPr>
      </w:pPr>
      <w:r>
        <w:rPr>
          <w:rFonts w:cs="Arial"/>
          <w:szCs w:val="24"/>
        </w:rPr>
        <w:t xml:space="preserve">Realestate.com.au Pty Ltd (“REA”) operates an online platform (a website and related mobile apps) for the advertisement of residential properties for sale or lease.  Real estate agents upload marketing material to the platform, pursuant to a subscription agreement that each real estate agency has with REA, the terms of which include the incorporation of terms and conditions that are contained on REA’s website (“REA’s Terms &amp; Conditions”).  REA’s Terms &amp; Conditions include a provision that the agency grants REA a perpetual </w:t>
      </w:r>
      <w:proofErr w:type="spellStart"/>
      <w:r>
        <w:rPr>
          <w:rFonts w:cs="Arial"/>
          <w:szCs w:val="24"/>
        </w:rPr>
        <w:t>licence</w:t>
      </w:r>
      <w:proofErr w:type="spellEnd"/>
      <w:r>
        <w:rPr>
          <w:rFonts w:cs="Arial"/>
          <w:szCs w:val="24"/>
        </w:rPr>
        <w:t xml:space="preserve"> to publish, copy, adapt and license to other persons any content that the agency provides.</w:t>
      </w:r>
    </w:p>
    <w:p w14:paraId="1372FA50" w14:textId="77777777" w:rsidR="00D67A19" w:rsidRDefault="00D67A19" w:rsidP="00723BD1">
      <w:pPr>
        <w:shd w:val="clear" w:color="auto" w:fill="FFFFFF"/>
        <w:jc w:val="both"/>
        <w:rPr>
          <w:rFonts w:cs="Arial"/>
          <w:szCs w:val="24"/>
        </w:rPr>
      </w:pPr>
    </w:p>
    <w:p w14:paraId="3CF99C50" w14:textId="77777777" w:rsidR="00D67A19" w:rsidRDefault="00D67A19" w:rsidP="00723BD1">
      <w:pPr>
        <w:shd w:val="clear" w:color="auto" w:fill="FFFFFF"/>
        <w:jc w:val="both"/>
        <w:rPr>
          <w:rFonts w:cs="Arial"/>
          <w:szCs w:val="24"/>
        </w:rPr>
      </w:pPr>
      <w:r>
        <w:rPr>
          <w:rFonts w:cs="Arial"/>
          <w:szCs w:val="24"/>
        </w:rPr>
        <w:t xml:space="preserve">RP Data Pty Limited (“RP Data”) operates a website, </w:t>
      </w:r>
      <w:r w:rsidRPr="00BD0537">
        <w:rPr>
          <w:rFonts w:cs="Arial"/>
          <w:i/>
          <w:szCs w:val="24"/>
        </w:rPr>
        <w:t>corelogic.com.au</w:t>
      </w:r>
      <w:r>
        <w:rPr>
          <w:rFonts w:cs="Arial"/>
          <w:szCs w:val="24"/>
        </w:rPr>
        <w:t>, by which it makes available to subscribers detailed property information, both current and historical.  The information includes content that has been provided to it by REA.</w:t>
      </w:r>
    </w:p>
    <w:p w14:paraId="4EEE8D51" w14:textId="77777777" w:rsidR="00D67A19" w:rsidRDefault="00D67A19" w:rsidP="00723BD1">
      <w:pPr>
        <w:shd w:val="clear" w:color="auto" w:fill="FFFFFF"/>
        <w:jc w:val="both"/>
        <w:rPr>
          <w:rFonts w:cs="Arial"/>
          <w:szCs w:val="24"/>
        </w:rPr>
      </w:pPr>
    </w:p>
    <w:p w14:paraId="30B0379D" w14:textId="0598BA50" w:rsidR="00D67A19" w:rsidRDefault="00D67A19" w:rsidP="00723BD1">
      <w:pPr>
        <w:shd w:val="clear" w:color="auto" w:fill="FFFFFF"/>
        <w:jc w:val="both"/>
        <w:rPr>
          <w:rFonts w:cs="Arial"/>
          <w:szCs w:val="24"/>
        </w:rPr>
      </w:pPr>
      <w:proofErr w:type="spellStart"/>
      <w:r>
        <w:rPr>
          <w:rFonts w:cs="Arial"/>
          <w:szCs w:val="24"/>
        </w:rPr>
        <w:t>Mr</w:t>
      </w:r>
      <w:proofErr w:type="spellEnd"/>
      <w:r>
        <w:rPr>
          <w:rFonts w:cs="Arial"/>
          <w:szCs w:val="24"/>
        </w:rPr>
        <w:t xml:space="preserve"> James Hardingham is a professional photographer and the sole director of Real Estate Marketing Australia Pty Ltd (“REMA”), which has produced and supplied to real estate agencies numerous photographs and floor plans in an editable digital form (REMA has an exclusive </w:t>
      </w:r>
      <w:proofErr w:type="spellStart"/>
      <w:r>
        <w:rPr>
          <w:rFonts w:cs="Arial"/>
          <w:szCs w:val="24"/>
        </w:rPr>
        <w:t>licence</w:t>
      </w:r>
      <w:proofErr w:type="spellEnd"/>
      <w:r>
        <w:rPr>
          <w:rFonts w:cs="Arial"/>
          <w:szCs w:val="24"/>
        </w:rPr>
        <w:t xml:space="preserve"> in the copyright of </w:t>
      </w:r>
      <w:proofErr w:type="spellStart"/>
      <w:r>
        <w:rPr>
          <w:rFonts w:cs="Arial"/>
          <w:szCs w:val="24"/>
        </w:rPr>
        <w:t>Mr</w:t>
      </w:r>
      <w:proofErr w:type="spellEnd"/>
      <w:r>
        <w:rPr>
          <w:rFonts w:cs="Arial"/>
          <w:szCs w:val="24"/>
        </w:rPr>
        <w:t xml:space="preserve"> Hardingham’s works).  The photographs and floor plans were supplied pursuant to informal oral agreements, each of which was made when an agent called </w:t>
      </w:r>
      <w:proofErr w:type="spellStart"/>
      <w:r>
        <w:rPr>
          <w:rFonts w:cs="Arial"/>
          <w:szCs w:val="24"/>
        </w:rPr>
        <w:t>Mr</w:t>
      </w:r>
      <w:proofErr w:type="spellEnd"/>
      <w:r>
        <w:rPr>
          <w:rFonts w:cs="Arial"/>
          <w:szCs w:val="24"/>
        </w:rPr>
        <w:t xml:space="preserve"> </w:t>
      </w:r>
      <w:proofErr w:type="gramStart"/>
      <w:r>
        <w:rPr>
          <w:rFonts w:cs="Arial"/>
          <w:szCs w:val="24"/>
        </w:rPr>
        <w:t>Hardingham</w:t>
      </w:r>
      <w:proofErr w:type="gramEnd"/>
      <w:r>
        <w:rPr>
          <w:rFonts w:cs="Arial"/>
          <w:szCs w:val="24"/>
        </w:rPr>
        <w:t xml:space="preserve"> and the latter agreed that REMA would provide the requested material for a certain marketing campaign for the sale or lease of a property.</w:t>
      </w:r>
    </w:p>
    <w:p w14:paraId="73525E0B" w14:textId="77777777" w:rsidR="00D67A19" w:rsidRDefault="00D67A19" w:rsidP="00723BD1">
      <w:pPr>
        <w:shd w:val="clear" w:color="auto" w:fill="FFFFFF"/>
        <w:jc w:val="both"/>
        <w:rPr>
          <w:rFonts w:cs="Arial"/>
          <w:szCs w:val="24"/>
        </w:rPr>
      </w:pPr>
    </w:p>
    <w:p w14:paraId="39EECE4C" w14:textId="41048671" w:rsidR="00D67A19" w:rsidRDefault="00D67A19" w:rsidP="00723BD1">
      <w:pPr>
        <w:shd w:val="clear" w:color="auto" w:fill="FFFFFF"/>
        <w:jc w:val="both"/>
        <w:rPr>
          <w:rFonts w:cs="Arial"/>
          <w:szCs w:val="24"/>
        </w:rPr>
      </w:pPr>
      <w:r>
        <w:rPr>
          <w:rFonts w:cs="Arial"/>
          <w:szCs w:val="24"/>
        </w:rPr>
        <w:t xml:space="preserve">In 2018, </w:t>
      </w:r>
      <w:proofErr w:type="spellStart"/>
      <w:r>
        <w:rPr>
          <w:rFonts w:cs="Arial"/>
          <w:szCs w:val="24"/>
        </w:rPr>
        <w:t>Mr</w:t>
      </w:r>
      <w:proofErr w:type="spellEnd"/>
      <w:r>
        <w:rPr>
          <w:rFonts w:cs="Arial"/>
          <w:szCs w:val="24"/>
        </w:rPr>
        <w:t xml:space="preserve"> Hardingham and REMA commenced proceedings against RP Data, alleging infringement of copyright for the latter’s publication of works that had been supplied by REMA to REA.  RP Data cross-claimed, seeking indemnity from REA.  RP Data resisted the infringement claim on the basis that it was the beneficiary of two phases of sub-licensing: firstly, from the agencies to REA, and then from REA to RP Data.  </w:t>
      </w:r>
      <w:proofErr w:type="spellStart"/>
      <w:r>
        <w:rPr>
          <w:rFonts w:cs="Arial"/>
          <w:szCs w:val="24"/>
        </w:rPr>
        <w:t>Mr</w:t>
      </w:r>
      <w:proofErr w:type="spellEnd"/>
      <w:r>
        <w:rPr>
          <w:rFonts w:cs="Arial"/>
          <w:szCs w:val="24"/>
        </w:rPr>
        <w:t xml:space="preserve"> Hardingham and REMA accepted that an implied term of REMA’s agreements with real estate agencies was the </w:t>
      </w:r>
      <w:proofErr w:type="spellStart"/>
      <w:r>
        <w:rPr>
          <w:rFonts w:cs="Arial"/>
          <w:szCs w:val="24"/>
        </w:rPr>
        <w:t>authorisation</w:t>
      </w:r>
      <w:proofErr w:type="spellEnd"/>
      <w:r>
        <w:rPr>
          <w:rFonts w:cs="Arial"/>
          <w:szCs w:val="24"/>
        </w:rPr>
        <w:t xml:space="preserve"> of sub-licensing by the agencies to </w:t>
      </w:r>
      <w:proofErr w:type="gramStart"/>
      <w:r>
        <w:rPr>
          <w:rFonts w:cs="Arial"/>
          <w:szCs w:val="24"/>
        </w:rPr>
        <w:t>others, but</w:t>
      </w:r>
      <w:proofErr w:type="gramEnd"/>
      <w:r>
        <w:rPr>
          <w:rFonts w:cs="Arial"/>
          <w:szCs w:val="24"/>
        </w:rPr>
        <w:t xml:space="preserve"> contended that that </w:t>
      </w:r>
      <w:proofErr w:type="spellStart"/>
      <w:r>
        <w:rPr>
          <w:rFonts w:cs="Arial"/>
          <w:szCs w:val="24"/>
        </w:rPr>
        <w:t>authorisation</w:t>
      </w:r>
      <w:proofErr w:type="spellEnd"/>
      <w:r>
        <w:rPr>
          <w:rFonts w:cs="Arial"/>
          <w:szCs w:val="24"/>
        </w:rPr>
        <w:t xml:space="preserve"> extended only for the life of a marketing campaign, until the relevant property had been leased or sold, </w:t>
      </w:r>
      <w:r w:rsidR="0014133A">
        <w:rPr>
          <w:rFonts w:cs="Arial"/>
          <w:szCs w:val="24"/>
        </w:rPr>
        <w:br/>
      </w:r>
      <w:r>
        <w:rPr>
          <w:rFonts w:cs="Arial"/>
          <w:szCs w:val="24"/>
        </w:rPr>
        <w:t>and not in accordance with REA’s Terms &amp; Conditions.</w:t>
      </w:r>
    </w:p>
    <w:p w14:paraId="196D0EA8" w14:textId="77777777" w:rsidR="00D67A19" w:rsidRDefault="00D67A19" w:rsidP="00723BD1">
      <w:pPr>
        <w:shd w:val="clear" w:color="auto" w:fill="FFFFFF"/>
        <w:jc w:val="both"/>
        <w:rPr>
          <w:rFonts w:cs="Arial"/>
          <w:szCs w:val="24"/>
        </w:rPr>
      </w:pPr>
    </w:p>
    <w:p w14:paraId="07D7FCBB" w14:textId="0E1D0B43" w:rsidR="00D67A19" w:rsidRDefault="00D67A19" w:rsidP="00723BD1">
      <w:pPr>
        <w:shd w:val="clear" w:color="auto" w:fill="FFFFFF"/>
        <w:jc w:val="both"/>
        <w:rPr>
          <w:rFonts w:cs="Arial"/>
          <w:szCs w:val="24"/>
        </w:rPr>
      </w:pPr>
      <w:r>
        <w:rPr>
          <w:rFonts w:cs="Arial"/>
          <w:szCs w:val="24"/>
        </w:rPr>
        <w:t xml:space="preserve">On 17 December 2019, </w:t>
      </w:r>
      <w:proofErr w:type="spellStart"/>
      <w:r>
        <w:rPr>
          <w:rFonts w:cs="Arial"/>
          <w:szCs w:val="24"/>
        </w:rPr>
        <w:t>Thawley</w:t>
      </w:r>
      <w:proofErr w:type="spellEnd"/>
      <w:r>
        <w:rPr>
          <w:rFonts w:cs="Arial"/>
          <w:szCs w:val="24"/>
        </w:rPr>
        <w:t xml:space="preserve"> J dismissed the claim of </w:t>
      </w:r>
      <w:proofErr w:type="spellStart"/>
      <w:r>
        <w:rPr>
          <w:rFonts w:cs="Arial"/>
          <w:szCs w:val="24"/>
        </w:rPr>
        <w:t>Mr</w:t>
      </w:r>
      <w:proofErr w:type="spellEnd"/>
      <w:r>
        <w:rPr>
          <w:rFonts w:cs="Arial"/>
          <w:szCs w:val="24"/>
        </w:rPr>
        <w:t xml:space="preserve"> Hardingham and REMA.  His </w:t>
      </w:r>
      <w:proofErr w:type="spellStart"/>
      <w:r>
        <w:rPr>
          <w:rFonts w:cs="Arial"/>
          <w:szCs w:val="24"/>
        </w:rPr>
        <w:t>Honour</w:t>
      </w:r>
      <w:proofErr w:type="spellEnd"/>
      <w:r>
        <w:rPr>
          <w:rFonts w:cs="Arial"/>
          <w:szCs w:val="24"/>
        </w:rPr>
        <w:t xml:space="preserve"> found that </w:t>
      </w:r>
      <w:proofErr w:type="spellStart"/>
      <w:r>
        <w:rPr>
          <w:rFonts w:cs="Arial"/>
          <w:szCs w:val="24"/>
        </w:rPr>
        <w:t>Mr</w:t>
      </w:r>
      <w:proofErr w:type="spellEnd"/>
      <w:r>
        <w:rPr>
          <w:rFonts w:cs="Arial"/>
          <w:szCs w:val="24"/>
        </w:rPr>
        <w:t xml:space="preserve"> Hardingham and REMA knew or assumed that their works became available on RP Data’s website a few days after appearing on REA’s platform, and that they knew that their works remained on REA’s platform after the completion of the sales and leasing campaigns for which they had been provided.  </w:t>
      </w:r>
      <w:proofErr w:type="spellStart"/>
      <w:r>
        <w:rPr>
          <w:rFonts w:cs="Arial"/>
          <w:szCs w:val="24"/>
        </w:rPr>
        <w:t>Thawley</w:t>
      </w:r>
      <w:proofErr w:type="spellEnd"/>
      <w:r>
        <w:rPr>
          <w:rFonts w:cs="Arial"/>
          <w:szCs w:val="24"/>
        </w:rPr>
        <w:t xml:space="preserve"> J held that the </w:t>
      </w:r>
      <w:proofErr w:type="spellStart"/>
      <w:r>
        <w:rPr>
          <w:rFonts w:cs="Arial"/>
          <w:szCs w:val="24"/>
        </w:rPr>
        <w:t>licence</w:t>
      </w:r>
      <w:proofErr w:type="spellEnd"/>
      <w:r>
        <w:rPr>
          <w:rFonts w:cs="Arial"/>
          <w:szCs w:val="24"/>
        </w:rPr>
        <w:t xml:space="preserve"> granted by REMA to the agencies permitted the agencies to sub-license the copyright works in the form required by REA and contained in REA’s Terms &amp; Conditions.  Such was the case on either of two bases: 1) it was to be inferred from the dealings of </w:t>
      </w:r>
      <w:proofErr w:type="spellStart"/>
      <w:r>
        <w:rPr>
          <w:rFonts w:cs="Arial"/>
          <w:szCs w:val="24"/>
        </w:rPr>
        <w:t>Mr</w:t>
      </w:r>
      <w:proofErr w:type="spellEnd"/>
      <w:r>
        <w:rPr>
          <w:rFonts w:cs="Arial"/>
          <w:szCs w:val="24"/>
        </w:rPr>
        <w:t xml:space="preserve"> Hardingham, REMA and </w:t>
      </w:r>
      <w:r>
        <w:rPr>
          <w:rFonts w:cs="Arial"/>
          <w:szCs w:val="24"/>
        </w:rPr>
        <w:lastRenderedPageBreak/>
        <w:t xml:space="preserve">the agencies; or 2) it should be implied </w:t>
      </w:r>
      <w:proofErr w:type="gramStart"/>
      <w:r>
        <w:rPr>
          <w:rFonts w:cs="Arial"/>
          <w:szCs w:val="24"/>
        </w:rPr>
        <w:t>in order to</w:t>
      </w:r>
      <w:proofErr w:type="gramEnd"/>
      <w:r>
        <w:rPr>
          <w:rFonts w:cs="Arial"/>
          <w:szCs w:val="24"/>
        </w:rPr>
        <w:t xml:space="preserve"> give business efficacy to the agreements of those parties.</w:t>
      </w:r>
    </w:p>
    <w:p w14:paraId="0407402B" w14:textId="77777777" w:rsidR="00D67A19" w:rsidRDefault="00D67A19" w:rsidP="00723BD1">
      <w:pPr>
        <w:shd w:val="clear" w:color="auto" w:fill="FFFFFF"/>
        <w:jc w:val="both"/>
        <w:rPr>
          <w:rFonts w:cs="Arial"/>
          <w:szCs w:val="24"/>
        </w:rPr>
      </w:pPr>
    </w:p>
    <w:p w14:paraId="253567DF" w14:textId="77777777" w:rsidR="00D67A19" w:rsidRDefault="00D67A19" w:rsidP="00723BD1">
      <w:pPr>
        <w:shd w:val="clear" w:color="auto" w:fill="FFFFFF"/>
        <w:jc w:val="both"/>
        <w:rPr>
          <w:rFonts w:cs="Arial"/>
          <w:szCs w:val="24"/>
        </w:rPr>
      </w:pPr>
      <w:r>
        <w:rPr>
          <w:rFonts w:cs="Arial"/>
          <w:szCs w:val="24"/>
        </w:rPr>
        <w:t xml:space="preserve">An appeal by </w:t>
      </w:r>
      <w:proofErr w:type="spellStart"/>
      <w:r>
        <w:rPr>
          <w:rFonts w:cs="Arial"/>
          <w:szCs w:val="24"/>
        </w:rPr>
        <w:t>Mr</w:t>
      </w:r>
      <w:proofErr w:type="spellEnd"/>
      <w:r>
        <w:rPr>
          <w:rFonts w:cs="Arial"/>
          <w:szCs w:val="24"/>
        </w:rPr>
        <w:t xml:space="preserve"> Hardingham and REMA was allowed by the Full Court of the Federal Court (Greenwood and </w:t>
      </w:r>
      <w:proofErr w:type="spellStart"/>
      <w:r>
        <w:rPr>
          <w:rFonts w:cs="Arial"/>
          <w:szCs w:val="24"/>
        </w:rPr>
        <w:t>Rares</w:t>
      </w:r>
      <w:proofErr w:type="spellEnd"/>
      <w:r>
        <w:rPr>
          <w:rFonts w:cs="Arial"/>
          <w:szCs w:val="24"/>
        </w:rPr>
        <w:t xml:space="preserve"> JJ; Jackson J dissenting).  The majority found that an objective awareness by </w:t>
      </w:r>
      <w:proofErr w:type="spellStart"/>
      <w:r>
        <w:rPr>
          <w:rFonts w:cs="Arial"/>
          <w:szCs w:val="24"/>
        </w:rPr>
        <w:t>Mr</w:t>
      </w:r>
      <w:proofErr w:type="spellEnd"/>
      <w:r>
        <w:rPr>
          <w:rFonts w:cs="Arial"/>
          <w:szCs w:val="24"/>
        </w:rPr>
        <w:t xml:space="preserve"> Hardingham and REMA of a likely need for terms of sub-licensing by agencies to REA was insufficient for inferring a term that </w:t>
      </w:r>
      <w:proofErr w:type="spellStart"/>
      <w:r>
        <w:rPr>
          <w:rFonts w:cs="Arial"/>
          <w:szCs w:val="24"/>
        </w:rPr>
        <w:t>Mr</w:t>
      </w:r>
      <w:proofErr w:type="spellEnd"/>
      <w:r>
        <w:rPr>
          <w:rFonts w:cs="Arial"/>
          <w:szCs w:val="24"/>
        </w:rPr>
        <w:t xml:space="preserve"> Hardingham and REMA agreed to sub-licensing on any terms that may be prescribed and be changed unilaterally by REA.  Greenwood and </w:t>
      </w:r>
      <w:proofErr w:type="spellStart"/>
      <w:r>
        <w:rPr>
          <w:rFonts w:cs="Arial"/>
          <w:szCs w:val="24"/>
        </w:rPr>
        <w:t>Rares</w:t>
      </w:r>
      <w:proofErr w:type="spellEnd"/>
      <w:r>
        <w:rPr>
          <w:rFonts w:cs="Arial"/>
          <w:szCs w:val="24"/>
        </w:rPr>
        <w:t xml:space="preserve"> JJ also found that the broad scope of the sub-licensing authority for which RP Data and REA contended was significantly against the interests of </w:t>
      </w:r>
      <w:proofErr w:type="spellStart"/>
      <w:r>
        <w:rPr>
          <w:rFonts w:cs="Arial"/>
          <w:szCs w:val="24"/>
        </w:rPr>
        <w:t>Mr</w:t>
      </w:r>
      <w:proofErr w:type="spellEnd"/>
      <w:r>
        <w:rPr>
          <w:rFonts w:cs="Arial"/>
          <w:szCs w:val="24"/>
        </w:rPr>
        <w:t xml:space="preserve"> Hardingham and </w:t>
      </w:r>
      <w:proofErr w:type="gramStart"/>
      <w:r>
        <w:rPr>
          <w:rFonts w:cs="Arial"/>
          <w:szCs w:val="24"/>
        </w:rPr>
        <w:t>REMA, and</w:t>
      </w:r>
      <w:proofErr w:type="gramEnd"/>
      <w:r>
        <w:rPr>
          <w:rFonts w:cs="Arial"/>
          <w:szCs w:val="24"/>
        </w:rPr>
        <w:t xml:space="preserve"> could not be implied for business efficacy.</w:t>
      </w:r>
    </w:p>
    <w:p w14:paraId="0CDE9CF9" w14:textId="77777777" w:rsidR="00D67A19" w:rsidRDefault="00D67A19" w:rsidP="00723BD1">
      <w:pPr>
        <w:shd w:val="clear" w:color="auto" w:fill="FFFFFF"/>
        <w:jc w:val="both"/>
        <w:rPr>
          <w:rFonts w:cs="Arial"/>
          <w:szCs w:val="24"/>
        </w:rPr>
      </w:pPr>
    </w:p>
    <w:p w14:paraId="5338B075" w14:textId="6D56270D" w:rsidR="00D67A19" w:rsidRDefault="00D67A19" w:rsidP="00723BD1">
      <w:pPr>
        <w:shd w:val="clear" w:color="auto" w:fill="FFFFFF"/>
        <w:jc w:val="both"/>
        <w:rPr>
          <w:rFonts w:cs="Arial"/>
          <w:szCs w:val="24"/>
        </w:rPr>
      </w:pPr>
      <w:r>
        <w:rPr>
          <w:rFonts w:cs="Arial"/>
          <w:szCs w:val="24"/>
        </w:rPr>
        <w:t xml:space="preserve">Jackson J however would have dismissed the appeal, finding that the only way the agencies could benefit in the way that they, </w:t>
      </w:r>
      <w:proofErr w:type="spellStart"/>
      <w:r>
        <w:rPr>
          <w:rFonts w:cs="Arial"/>
          <w:szCs w:val="24"/>
        </w:rPr>
        <w:t>Mr</w:t>
      </w:r>
      <w:proofErr w:type="spellEnd"/>
      <w:r>
        <w:rPr>
          <w:rFonts w:cs="Arial"/>
          <w:szCs w:val="24"/>
        </w:rPr>
        <w:t xml:space="preserve"> Hardingham and REMA must have intended, was if the agencies could upload the works to REA’s platform.  </w:t>
      </w:r>
      <w:r w:rsidR="00102105">
        <w:rPr>
          <w:rFonts w:cs="Arial"/>
          <w:szCs w:val="24"/>
        </w:rPr>
        <w:br/>
      </w:r>
      <w:r>
        <w:rPr>
          <w:rFonts w:cs="Arial"/>
          <w:szCs w:val="24"/>
        </w:rPr>
        <w:t xml:space="preserve">That sufficed to infer that </w:t>
      </w:r>
      <w:proofErr w:type="spellStart"/>
      <w:r>
        <w:rPr>
          <w:rFonts w:cs="Arial"/>
          <w:szCs w:val="24"/>
        </w:rPr>
        <w:t>Mr</w:t>
      </w:r>
      <w:proofErr w:type="spellEnd"/>
      <w:r>
        <w:rPr>
          <w:rFonts w:cs="Arial"/>
          <w:szCs w:val="24"/>
        </w:rPr>
        <w:t xml:space="preserve"> </w:t>
      </w:r>
      <w:proofErr w:type="gramStart"/>
      <w:r>
        <w:rPr>
          <w:rFonts w:cs="Arial"/>
          <w:szCs w:val="24"/>
        </w:rPr>
        <w:t>Hardingham</w:t>
      </w:r>
      <w:proofErr w:type="gramEnd"/>
      <w:r>
        <w:rPr>
          <w:rFonts w:cs="Arial"/>
          <w:szCs w:val="24"/>
        </w:rPr>
        <w:t xml:space="preserve"> and REMA objectively intended that the agencies upload the works in accordance with REA’s standard terms and conditions.  </w:t>
      </w:r>
    </w:p>
    <w:p w14:paraId="40D65497" w14:textId="77777777" w:rsidR="00D67A19" w:rsidRDefault="00D67A19" w:rsidP="00723BD1">
      <w:pPr>
        <w:shd w:val="clear" w:color="auto" w:fill="FFFFFF"/>
        <w:jc w:val="both"/>
        <w:rPr>
          <w:rFonts w:cs="Arial"/>
          <w:szCs w:val="24"/>
        </w:rPr>
      </w:pPr>
    </w:p>
    <w:p w14:paraId="797807C2" w14:textId="77777777" w:rsidR="00D67A19" w:rsidRDefault="00D67A19" w:rsidP="00723BD1">
      <w:pPr>
        <w:shd w:val="clear" w:color="auto" w:fill="FFFFFF"/>
        <w:spacing w:after="180"/>
        <w:jc w:val="both"/>
        <w:rPr>
          <w:rFonts w:cs="Arial"/>
          <w:szCs w:val="24"/>
        </w:rPr>
      </w:pPr>
      <w:r>
        <w:rPr>
          <w:rFonts w:cs="Arial"/>
          <w:szCs w:val="24"/>
        </w:rPr>
        <w:t>REA’s</w:t>
      </w:r>
      <w:r w:rsidRPr="00B754DB">
        <w:rPr>
          <w:rFonts w:cs="Arial"/>
          <w:szCs w:val="24"/>
        </w:rPr>
        <w:t xml:space="preserve"> grounds of appeal include:</w:t>
      </w:r>
    </w:p>
    <w:p w14:paraId="0CCE94B1" w14:textId="77777777" w:rsidR="00D67A19" w:rsidRPr="00161414" w:rsidRDefault="00D67A19" w:rsidP="00723BD1">
      <w:pPr>
        <w:numPr>
          <w:ilvl w:val="0"/>
          <w:numId w:val="10"/>
        </w:numPr>
        <w:autoSpaceDE w:val="0"/>
        <w:autoSpaceDN w:val="0"/>
        <w:adjustRightInd w:val="0"/>
        <w:spacing w:after="180"/>
        <w:ind w:left="425" w:hanging="425"/>
        <w:jc w:val="both"/>
        <w:rPr>
          <w:rFonts w:cs="Arial"/>
          <w:szCs w:val="24"/>
        </w:rPr>
      </w:pPr>
      <w:r w:rsidRPr="00161414">
        <w:rPr>
          <w:rFonts w:cs="Arial"/>
          <w:szCs w:val="24"/>
        </w:rPr>
        <w:t xml:space="preserve">The Full Court erred in finding that RP Data had infringed </w:t>
      </w:r>
      <w:proofErr w:type="spellStart"/>
      <w:r w:rsidRPr="00161414">
        <w:rPr>
          <w:rFonts w:cs="Arial"/>
          <w:szCs w:val="24"/>
        </w:rPr>
        <w:t>Mr</w:t>
      </w:r>
      <w:proofErr w:type="spellEnd"/>
      <w:r w:rsidRPr="00161414">
        <w:rPr>
          <w:rFonts w:cs="Arial"/>
          <w:szCs w:val="24"/>
        </w:rPr>
        <w:t xml:space="preserve"> Hardingham’s copyright in the photographs and floor plans provided by REMA pursuant to the 20 transactions the subject of the separate question for determination.</w:t>
      </w:r>
    </w:p>
    <w:p w14:paraId="6C2AFD79" w14:textId="77777777" w:rsidR="00D67A19" w:rsidRPr="00161414" w:rsidRDefault="00D67A19" w:rsidP="00723BD1">
      <w:pPr>
        <w:numPr>
          <w:ilvl w:val="0"/>
          <w:numId w:val="10"/>
        </w:numPr>
        <w:autoSpaceDE w:val="0"/>
        <w:autoSpaceDN w:val="0"/>
        <w:adjustRightInd w:val="0"/>
        <w:ind w:left="426" w:hanging="426"/>
        <w:jc w:val="both"/>
        <w:rPr>
          <w:rFonts w:cs="Arial"/>
          <w:szCs w:val="24"/>
        </w:rPr>
      </w:pPr>
      <w:r w:rsidRPr="00161414">
        <w:rPr>
          <w:rFonts w:cs="Arial"/>
          <w:szCs w:val="24"/>
        </w:rPr>
        <w:t xml:space="preserve">The Full Court erred in failing to find that there was a term implied in fact or inferred, in the informal contracts between </w:t>
      </w:r>
      <w:proofErr w:type="spellStart"/>
      <w:r>
        <w:rPr>
          <w:rFonts w:cs="Arial"/>
          <w:szCs w:val="24"/>
        </w:rPr>
        <w:t>Mr</w:t>
      </w:r>
      <w:proofErr w:type="spellEnd"/>
      <w:r>
        <w:rPr>
          <w:rFonts w:cs="Arial"/>
          <w:szCs w:val="24"/>
        </w:rPr>
        <w:t xml:space="preserve"> Hardingham and REMA</w:t>
      </w:r>
      <w:r w:rsidRPr="00161414">
        <w:rPr>
          <w:rFonts w:cs="Arial"/>
          <w:szCs w:val="24"/>
        </w:rPr>
        <w:t xml:space="preserve"> and the commissioning real estate agencies by which those agencies were </w:t>
      </w:r>
      <w:proofErr w:type="spellStart"/>
      <w:r w:rsidRPr="00161414">
        <w:rPr>
          <w:rFonts w:cs="Arial"/>
          <w:szCs w:val="24"/>
        </w:rPr>
        <w:t>authorised</w:t>
      </w:r>
      <w:proofErr w:type="spellEnd"/>
      <w:r w:rsidRPr="00161414">
        <w:rPr>
          <w:rFonts w:cs="Arial"/>
          <w:szCs w:val="24"/>
        </w:rPr>
        <w:t xml:space="preserve"> by way of </w:t>
      </w:r>
      <w:proofErr w:type="spellStart"/>
      <w:r w:rsidRPr="00161414">
        <w:rPr>
          <w:rFonts w:cs="Arial"/>
          <w:szCs w:val="24"/>
        </w:rPr>
        <w:t>licence</w:t>
      </w:r>
      <w:proofErr w:type="spellEnd"/>
      <w:r w:rsidRPr="00161414">
        <w:rPr>
          <w:rFonts w:cs="Arial"/>
          <w:szCs w:val="24"/>
        </w:rPr>
        <w:t xml:space="preserve"> “</w:t>
      </w:r>
      <w:r w:rsidRPr="00161414">
        <w:rPr>
          <w:rFonts w:cs="Arial"/>
          <w:i/>
          <w:szCs w:val="24"/>
        </w:rPr>
        <w:t xml:space="preserve">to upload the photographs and floor plans to the realestate.com.au platform and grant to REA a </w:t>
      </w:r>
      <w:proofErr w:type="spellStart"/>
      <w:r w:rsidRPr="00161414">
        <w:rPr>
          <w:rFonts w:cs="Arial"/>
          <w:i/>
          <w:szCs w:val="24"/>
        </w:rPr>
        <w:t>licence</w:t>
      </w:r>
      <w:proofErr w:type="spellEnd"/>
      <w:r w:rsidRPr="00161414">
        <w:rPr>
          <w:rFonts w:cs="Arial"/>
          <w:i/>
          <w:szCs w:val="24"/>
        </w:rPr>
        <w:t xml:space="preserve"> in the form required by REA and contained in REA’s usual terms and conditions</w:t>
      </w:r>
      <w:r w:rsidRPr="00161414">
        <w:rPr>
          <w:rFonts w:cs="Arial"/>
          <w:szCs w:val="24"/>
        </w:rPr>
        <w:t>”.</w:t>
      </w:r>
    </w:p>
    <w:p w14:paraId="484B0D7B" w14:textId="77777777" w:rsidR="00D67A19" w:rsidRPr="00161414" w:rsidRDefault="00D67A19" w:rsidP="00723BD1">
      <w:pPr>
        <w:autoSpaceDE w:val="0"/>
        <w:autoSpaceDN w:val="0"/>
        <w:adjustRightInd w:val="0"/>
        <w:jc w:val="both"/>
        <w:rPr>
          <w:rFonts w:cs="Arial"/>
          <w:szCs w:val="24"/>
        </w:rPr>
      </w:pPr>
    </w:p>
    <w:p w14:paraId="025111B6" w14:textId="77777777" w:rsidR="00D67A19" w:rsidRPr="00161414" w:rsidRDefault="00D67A19" w:rsidP="00723BD1">
      <w:pPr>
        <w:shd w:val="clear" w:color="auto" w:fill="FFFFFF"/>
        <w:spacing w:after="180"/>
        <w:jc w:val="both"/>
        <w:rPr>
          <w:rFonts w:cs="Arial"/>
          <w:szCs w:val="24"/>
        </w:rPr>
      </w:pPr>
      <w:r w:rsidRPr="00161414">
        <w:rPr>
          <w:rFonts w:cs="Arial"/>
          <w:szCs w:val="24"/>
        </w:rPr>
        <w:t>RP Data’s grounds of appeal include:</w:t>
      </w:r>
    </w:p>
    <w:p w14:paraId="7B21276A" w14:textId="77777777" w:rsidR="00D67A19" w:rsidRPr="00161414" w:rsidRDefault="00D67A19" w:rsidP="00723BD1">
      <w:pPr>
        <w:numPr>
          <w:ilvl w:val="0"/>
          <w:numId w:val="10"/>
        </w:numPr>
        <w:autoSpaceDE w:val="0"/>
        <w:autoSpaceDN w:val="0"/>
        <w:adjustRightInd w:val="0"/>
        <w:spacing w:after="180"/>
        <w:ind w:left="425" w:hanging="425"/>
        <w:jc w:val="both"/>
        <w:rPr>
          <w:rFonts w:cs="Arial"/>
          <w:szCs w:val="24"/>
        </w:rPr>
      </w:pPr>
      <w:r w:rsidRPr="00161414">
        <w:rPr>
          <w:rFonts w:cs="Arial"/>
          <w:szCs w:val="24"/>
        </w:rPr>
        <w:t xml:space="preserve">The majority erred in </w:t>
      </w:r>
      <w:proofErr w:type="spellStart"/>
      <w:r w:rsidRPr="00161414">
        <w:rPr>
          <w:rFonts w:cs="Arial"/>
          <w:szCs w:val="24"/>
        </w:rPr>
        <w:t>characterising</w:t>
      </w:r>
      <w:proofErr w:type="spellEnd"/>
      <w:r w:rsidRPr="00161414">
        <w:rPr>
          <w:rFonts w:cs="Arial"/>
          <w:szCs w:val="24"/>
        </w:rPr>
        <w:t xml:space="preserve"> the issue as whether the agreement made between </w:t>
      </w:r>
      <w:proofErr w:type="spellStart"/>
      <w:r w:rsidRPr="00161414">
        <w:rPr>
          <w:rFonts w:cs="Arial"/>
          <w:szCs w:val="24"/>
        </w:rPr>
        <w:t>Mr</w:t>
      </w:r>
      <w:proofErr w:type="spellEnd"/>
      <w:r w:rsidRPr="00161414">
        <w:rPr>
          <w:rFonts w:cs="Arial"/>
          <w:szCs w:val="24"/>
        </w:rPr>
        <w:t xml:space="preserve"> Hardingham and REMA and real estate agencies is subject to an “agreed” term rather than a right to sub-license in the form required by REA and contained in REA’s usual terms and conditions.</w:t>
      </w:r>
    </w:p>
    <w:p w14:paraId="41F20578" w14:textId="35AF0B13" w:rsidR="00D67A19" w:rsidRDefault="00D67A19" w:rsidP="00A5537C">
      <w:pPr>
        <w:numPr>
          <w:ilvl w:val="0"/>
          <w:numId w:val="10"/>
        </w:numPr>
        <w:autoSpaceDE w:val="0"/>
        <w:autoSpaceDN w:val="0"/>
        <w:adjustRightInd w:val="0"/>
        <w:ind w:left="426" w:right="283" w:hanging="426"/>
        <w:jc w:val="both"/>
        <w:rPr>
          <w:rFonts w:cs="Arial"/>
          <w:szCs w:val="24"/>
        </w:rPr>
      </w:pPr>
      <w:r w:rsidRPr="00B754DB">
        <w:rPr>
          <w:rFonts w:cs="Arial"/>
          <w:szCs w:val="24"/>
        </w:rPr>
        <w:t>The majority erred in</w:t>
      </w:r>
      <w:r>
        <w:rPr>
          <w:rFonts w:cs="Arial"/>
          <w:szCs w:val="24"/>
        </w:rPr>
        <w:t xml:space="preserve"> failing to consider whether the permission, </w:t>
      </w:r>
      <w:proofErr w:type="spellStart"/>
      <w:proofErr w:type="gramStart"/>
      <w:r>
        <w:rPr>
          <w:rFonts w:cs="Arial"/>
          <w:szCs w:val="24"/>
        </w:rPr>
        <w:t>licence</w:t>
      </w:r>
      <w:proofErr w:type="spellEnd"/>
      <w:proofErr w:type="gramEnd"/>
      <w:r>
        <w:rPr>
          <w:rFonts w:cs="Arial"/>
          <w:szCs w:val="24"/>
        </w:rPr>
        <w:t xml:space="preserve"> or consent </w:t>
      </w:r>
      <w:proofErr w:type="spellStart"/>
      <w:r>
        <w:rPr>
          <w:rFonts w:cs="Arial"/>
          <w:szCs w:val="24"/>
        </w:rPr>
        <w:t>Mr</w:t>
      </w:r>
      <w:proofErr w:type="spellEnd"/>
      <w:r>
        <w:rPr>
          <w:rFonts w:cs="Arial"/>
          <w:szCs w:val="24"/>
        </w:rPr>
        <w:t xml:space="preserve"> Hardingham and REMA conceded they granted to real estate agencies concerning the use of the works ended when the property was no longer marketed for sale or lease.</w:t>
      </w:r>
    </w:p>
    <w:p w14:paraId="174898B8" w14:textId="571782E4" w:rsidR="002E5398" w:rsidRDefault="002E5398" w:rsidP="002E5398">
      <w:pPr>
        <w:autoSpaceDE w:val="0"/>
        <w:autoSpaceDN w:val="0"/>
        <w:adjustRightInd w:val="0"/>
        <w:ind w:right="283"/>
        <w:jc w:val="both"/>
        <w:rPr>
          <w:rFonts w:cs="Arial"/>
          <w:szCs w:val="24"/>
        </w:rPr>
      </w:pPr>
    </w:p>
    <w:p w14:paraId="5CB0F25F" w14:textId="77777777" w:rsidR="002F3034" w:rsidRPr="00541CDF" w:rsidRDefault="002E5398" w:rsidP="002F3034">
      <w:pPr>
        <w:rPr>
          <w:b/>
          <w:bCs/>
          <w:sz w:val="28"/>
          <w:szCs w:val="28"/>
          <w:u w:val="single"/>
        </w:rPr>
      </w:pPr>
      <w:r>
        <w:rPr>
          <w:rFonts w:cs="Arial"/>
          <w:szCs w:val="24"/>
        </w:rPr>
        <w:br w:type="page"/>
      </w:r>
      <w:r w:rsidR="002F3034" w:rsidRPr="00541CDF">
        <w:rPr>
          <w:b/>
          <w:bCs/>
          <w:sz w:val="28"/>
          <w:szCs w:val="28"/>
          <w:u w:val="single"/>
        </w:rPr>
        <w:lastRenderedPageBreak/>
        <w:t>METAL MANUFACTURERS PTY LIMITED v GAVIN MORTON AS LIQUIDATOR OF MJ WOODMAN ELECTRICAL CONTRACTORS PTY LTD (IN LIQUIDATION) &amp; ANOR</w:t>
      </w:r>
      <w:r w:rsidR="002F3034" w:rsidRPr="00541CDF">
        <w:rPr>
          <w:b/>
          <w:bCs/>
          <w:sz w:val="28"/>
          <w:szCs w:val="28"/>
        </w:rPr>
        <w:t xml:space="preserve"> (B19/2022)</w:t>
      </w:r>
    </w:p>
    <w:p w14:paraId="0B4EFD95" w14:textId="77777777" w:rsidR="002F3034" w:rsidRPr="009E760C" w:rsidRDefault="002F3034" w:rsidP="002F3034"/>
    <w:p w14:paraId="7062F326" w14:textId="77777777" w:rsidR="002F3034" w:rsidRPr="00861F6A" w:rsidRDefault="002F3034" w:rsidP="002F3034">
      <w:pPr>
        <w:ind w:left="2694" w:hanging="2694"/>
        <w:rPr>
          <w:rFonts w:cs="Arial"/>
          <w:szCs w:val="24"/>
        </w:rPr>
      </w:pPr>
      <w:r w:rsidRPr="00861F6A">
        <w:rPr>
          <w:rFonts w:cs="Arial"/>
          <w:szCs w:val="24"/>
          <w:u w:val="single"/>
        </w:rPr>
        <w:t>Court appealed from</w:t>
      </w:r>
      <w:r w:rsidRPr="00861F6A">
        <w:rPr>
          <w:rFonts w:cs="Arial"/>
          <w:szCs w:val="24"/>
        </w:rPr>
        <w:t>:</w:t>
      </w:r>
      <w:r w:rsidRPr="00861F6A">
        <w:rPr>
          <w:rFonts w:cs="Arial"/>
          <w:szCs w:val="24"/>
        </w:rPr>
        <w:tab/>
        <w:t xml:space="preserve">Full </w:t>
      </w:r>
      <w:r>
        <w:rPr>
          <w:rFonts w:cs="Arial"/>
          <w:szCs w:val="24"/>
        </w:rPr>
        <w:t xml:space="preserve">Court of the </w:t>
      </w:r>
      <w:r w:rsidRPr="00861F6A">
        <w:rPr>
          <w:rFonts w:cs="Arial"/>
          <w:szCs w:val="24"/>
        </w:rPr>
        <w:t>Federal Court of Australia</w:t>
      </w:r>
    </w:p>
    <w:p w14:paraId="1F16F796" w14:textId="77777777" w:rsidR="002F3034" w:rsidRPr="00861F6A" w:rsidRDefault="002F3034" w:rsidP="002F3034">
      <w:pPr>
        <w:ind w:left="2694"/>
        <w:rPr>
          <w:rFonts w:cs="Arial"/>
          <w:szCs w:val="24"/>
        </w:rPr>
      </w:pPr>
      <w:r w:rsidRPr="00861F6A">
        <w:rPr>
          <w:rFonts w:cs="Arial"/>
          <w:szCs w:val="24"/>
        </w:rPr>
        <w:t>[2021] FCAFC 228</w:t>
      </w:r>
    </w:p>
    <w:p w14:paraId="4F24F5DB" w14:textId="77777777" w:rsidR="002F3034" w:rsidRPr="00861F6A" w:rsidRDefault="002F3034" w:rsidP="002F3034">
      <w:pPr>
        <w:ind w:left="2694" w:hanging="2694"/>
        <w:rPr>
          <w:rFonts w:cs="Arial"/>
          <w:szCs w:val="24"/>
        </w:rPr>
      </w:pPr>
    </w:p>
    <w:p w14:paraId="57F8AD85" w14:textId="77777777" w:rsidR="002F3034" w:rsidRPr="00861F6A" w:rsidRDefault="002F3034" w:rsidP="002F3034">
      <w:pPr>
        <w:ind w:left="2694" w:hanging="2694"/>
        <w:rPr>
          <w:rFonts w:cs="Arial"/>
          <w:szCs w:val="24"/>
        </w:rPr>
      </w:pPr>
      <w:r w:rsidRPr="00861F6A">
        <w:rPr>
          <w:rFonts w:cs="Arial"/>
          <w:szCs w:val="24"/>
          <w:u w:val="single"/>
        </w:rPr>
        <w:t>Date of judgment</w:t>
      </w:r>
      <w:r w:rsidRPr="00861F6A">
        <w:rPr>
          <w:rFonts w:cs="Arial"/>
          <w:szCs w:val="24"/>
        </w:rPr>
        <w:t>:</w:t>
      </w:r>
      <w:r w:rsidRPr="00861F6A">
        <w:rPr>
          <w:rFonts w:cs="Arial"/>
          <w:szCs w:val="24"/>
        </w:rPr>
        <w:tab/>
        <w:t>16 December 2021</w:t>
      </w:r>
    </w:p>
    <w:p w14:paraId="7A25B4C9" w14:textId="77777777" w:rsidR="002F3034" w:rsidRPr="00861F6A" w:rsidRDefault="002F3034" w:rsidP="002F3034">
      <w:pPr>
        <w:ind w:left="2694" w:hanging="2694"/>
        <w:rPr>
          <w:rFonts w:cs="Arial"/>
          <w:szCs w:val="24"/>
        </w:rPr>
      </w:pPr>
    </w:p>
    <w:p w14:paraId="13956B53" w14:textId="77777777" w:rsidR="002F3034" w:rsidRPr="00861F6A" w:rsidRDefault="002F3034" w:rsidP="002F3034">
      <w:pPr>
        <w:ind w:left="2694" w:hanging="2694"/>
        <w:rPr>
          <w:rFonts w:cs="Arial"/>
          <w:szCs w:val="24"/>
        </w:rPr>
      </w:pPr>
      <w:r w:rsidRPr="00861F6A">
        <w:rPr>
          <w:rFonts w:cs="Arial"/>
          <w:szCs w:val="24"/>
          <w:u w:val="single"/>
        </w:rPr>
        <w:t>Special leave granted</w:t>
      </w:r>
      <w:r w:rsidRPr="00861F6A">
        <w:rPr>
          <w:rFonts w:cs="Arial"/>
          <w:szCs w:val="24"/>
        </w:rPr>
        <w:t>:</w:t>
      </w:r>
      <w:r w:rsidRPr="00861F6A">
        <w:rPr>
          <w:rFonts w:cs="Arial"/>
          <w:szCs w:val="24"/>
        </w:rPr>
        <w:tab/>
        <w:t>12 May 2022</w:t>
      </w:r>
    </w:p>
    <w:p w14:paraId="6642FCA2" w14:textId="77777777" w:rsidR="002F3034" w:rsidRPr="00861F6A" w:rsidRDefault="002F3034" w:rsidP="002F3034">
      <w:pPr>
        <w:rPr>
          <w:rFonts w:cs="Arial"/>
          <w:szCs w:val="24"/>
        </w:rPr>
      </w:pPr>
    </w:p>
    <w:p w14:paraId="32E2B682" w14:textId="5356CC37" w:rsidR="002F3034" w:rsidRPr="00861F6A" w:rsidRDefault="002F3034" w:rsidP="002F3034">
      <w:pPr>
        <w:autoSpaceDE w:val="0"/>
        <w:autoSpaceDN w:val="0"/>
        <w:adjustRightInd w:val="0"/>
        <w:jc w:val="both"/>
        <w:rPr>
          <w:rFonts w:cs="Arial"/>
          <w:szCs w:val="24"/>
          <w:lang w:val="en-AU"/>
        </w:rPr>
      </w:pPr>
      <w:r w:rsidRPr="00861F6A">
        <w:rPr>
          <w:rFonts w:cs="Arial"/>
          <w:szCs w:val="24"/>
          <w:lang w:val="en-AU"/>
        </w:rPr>
        <w:t xml:space="preserve">The Respondents, comprising the liquidator of the company and the company in liquidation, commenced proceedings in the Federal Court against the Appellant, </w:t>
      </w:r>
      <w:r w:rsidR="000267DA">
        <w:rPr>
          <w:rFonts w:cs="Arial"/>
          <w:szCs w:val="24"/>
          <w:lang w:val="en-AU"/>
        </w:rPr>
        <w:br/>
      </w:r>
      <w:r w:rsidRPr="00861F6A">
        <w:rPr>
          <w:rFonts w:cs="Arial"/>
          <w:szCs w:val="24"/>
          <w:lang w:val="en-AU"/>
        </w:rPr>
        <w:t xml:space="preserve">as defendant and creditor, to recover an unfair preference pursuant to s 588FA of the </w:t>
      </w:r>
      <w:r w:rsidRPr="00861F6A">
        <w:rPr>
          <w:rFonts w:cs="Arial"/>
          <w:i/>
          <w:iCs/>
          <w:szCs w:val="24"/>
          <w:lang w:val="en-AU"/>
        </w:rPr>
        <w:t>Corporations Act 2001</w:t>
      </w:r>
      <w:r w:rsidRPr="00861F6A">
        <w:rPr>
          <w:rFonts w:cs="Arial"/>
          <w:szCs w:val="24"/>
          <w:lang w:val="en-AU"/>
        </w:rPr>
        <w:t xml:space="preserve"> (</w:t>
      </w:r>
      <w:proofErr w:type="spellStart"/>
      <w:r w:rsidRPr="00861F6A">
        <w:rPr>
          <w:rFonts w:cs="Arial"/>
          <w:szCs w:val="24"/>
          <w:lang w:val="en-AU"/>
        </w:rPr>
        <w:t>Cth</w:t>
      </w:r>
      <w:proofErr w:type="spellEnd"/>
      <w:r w:rsidRPr="00861F6A">
        <w:rPr>
          <w:rFonts w:cs="Arial"/>
          <w:szCs w:val="24"/>
          <w:lang w:val="en-AU"/>
        </w:rPr>
        <w:t>) (“the Act”)</w:t>
      </w:r>
      <w:r>
        <w:rPr>
          <w:rFonts w:cs="Arial"/>
          <w:szCs w:val="24"/>
          <w:lang w:val="en-AU"/>
        </w:rPr>
        <w:t>,</w:t>
      </w:r>
      <w:r w:rsidRPr="00861F6A">
        <w:rPr>
          <w:rFonts w:cs="Arial"/>
          <w:szCs w:val="24"/>
          <w:lang w:val="en-AU"/>
        </w:rPr>
        <w:t xml:space="preserve"> and for orders for payment of the sums claimed pursuant to s 588FF of the Act.  </w:t>
      </w:r>
    </w:p>
    <w:p w14:paraId="3E806308" w14:textId="77777777" w:rsidR="002F3034" w:rsidRPr="00861F6A" w:rsidRDefault="002F3034" w:rsidP="002F3034">
      <w:pPr>
        <w:autoSpaceDE w:val="0"/>
        <w:autoSpaceDN w:val="0"/>
        <w:adjustRightInd w:val="0"/>
        <w:jc w:val="both"/>
        <w:rPr>
          <w:rFonts w:cs="Arial"/>
          <w:szCs w:val="24"/>
          <w:lang w:val="en-AU"/>
        </w:rPr>
      </w:pPr>
    </w:p>
    <w:p w14:paraId="5E640086" w14:textId="57EDE28E" w:rsidR="002F3034" w:rsidRDefault="002F3034" w:rsidP="002F3034">
      <w:pPr>
        <w:autoSpaceDE w:val="0"/>
        <w:autoSpaceDN w:val="0"/>
        <w:adjustRightInd w:val="0"/>
        <w:jc w:val="both"/>
        <w:rPr>
          <w:rFonts w:cs="Arial"/>
          <w:szCs w:val="24"/>
          <w:lang w:val="en-AU"/>
        </w:rPr>
      </w:pPr>
      <w:r w:rsidRPr="00861F6A">
        <w:rPr>
          <w:rFonts w:cs="Arial"/>
          <w:szCs w:val="24"/>
          <w:lang w:val="en-AU"/>
        </w:rPr>
        <w:t xml:space="preserve">Justice </w:t>
      </w:r>
      <w:proofErr w:type="spellStart"/>
      <w:r w:rsidRPr="00861F6A">
        <w:rPr>
          <w:rFonts w:cs="Arial"/>
          <w:szCs w:val="24"/>
          <w:lang w:val="en-AU"/>
        </w:rPr>
        <w:t>Derrington</w:t>
      </w:r>
      <w:proofErr w:type="spellEnd"/>
      <w:r w:rsidRPr="00861F6A">
        <w:rPr>
          <w:rFonts w:cs="Arial"/>
          <w:szCs w:val="24"/>
          <w:lang w:val="en-AU"/>
        </w:rPr>
        <w:t xml:space="preserve"> reserved the following question for the</w:t>
      </w:r>
      <w:r w:rsidRPr="00861F6A">
        <w:rPr>
          <w:rFonts w:cs="Arial"/>
          <w:szCs w:val="24"/>
        </w:rPr>
        <w:t xml:space="preserve"> </w:t>
      </w:r>
      <w:r w:rsidRPr="00861F6A">
        <w:rPr>
          <w:rFonts w:cs="Arial"/>
          <w:szCs w:val="24"/>
          <w:lang w:val="en-AU"/>
        </w:rPr>
        <w:t xml:space="preserve">consideration of the </w:t>
      </w:r>
      <w:r w:rsidR="00E7462C">
        <w:rPr>
          <w:rFonts w:cs="Arial"/>
          <w:szCs w:val="24"/>
          <w:lang w:val="en-AU"/>
        </w:rPr>
        <w:br/>
      </w:r>
      <w:r w:rsidRPr="00861F6A">
        <w:rPr>
          <w:rFonts w:cs="Arial"/>
          <w:szCs w:val="24"/>
          <w:lang w:val="en-AU"/>
        </w:rPr>
        <w:t>Full Court:</w:t>
      </w:r>
      <w:r>
        <w:rPr>
          <w:rFonts w:cs="Arial"/>
          <w:szCs w:val="24"/>
          <w:lang w:val="en-AU"/>
        </w:rPr>
        <w:t xml:space="preserve"> </w:t>
      </w:r>
    </w:p>
    <w:p w14:paraId="3D74ED9F" w14:textId="77777777" w:rsidR="002F3034" w:rsidRDefault="002F3034" w:rsidP="002F3034">
      <w:pPr>
        <w:autoSpaceDE w:val="0"/>
        <w:autoSpaceDN w:val="0"/>
        <w:adjustRightInd w:val="0"/>
        <w:jc w:val="both"/>
        <w:rPr>
          <w:rFonts w:cs="Arial"/>
          <w:szCs w:val="24"/>
          <w:lang w:val="en-AU"/>
        </w:rPr>
      </w:pPr>
    </w:p>
    <w:p w14:paraId="49CCB78A" w14:textId="77777777" w:rsidR="002F3034" w:rsidRPr="002F15B9" w:rsidRDefault="002F3034" w:rsidP="00714ADC">
      <w:pPr>
        <w:autoSpaceDE w:val="0"/>
        <w:autoSpaceDN w:val="0"/>
        <w:adjustRightInd w:val="0"/>
        <w:ind w:left="426"/>
        <w:jc w:val="both"/>
        <w:rPr>
          <w:rFonts w:cs="Arial"/>
          <w:szCs w:val="24"/>
          <w:lang w:val="en-AU"/>
        </w:rPr>
      </w:pPr>
      <w:r w:rsidRPr="00861F6A">
        <w:rPr>
          <w:i/>
          <w:iCs/>
        </w:rPr>
        <w:t>Is statutory set-off, under s 533</w:t>
      </w:r>
      <w:proofErr w:type="gramStart"/>
      <w:r w:rsidRPr="00861F6A">
        <w:rPr>
          <w:i/>
          <w:iCs/>
        </w:rPr>
        <w:t>C(</w:t>
      </w:r>
      <w:proofErr w:type="gramEnd"/>
      <w:r w:rsidRPr="00861F6A">
        <w:rPr>
          <w:i/>
          <w:iCs/>
        </w:rPr>
        <w:t>1) of the Corporations Act 2001</w:t>
      </w:r>
      <w:r>
        <w:rPr>
          <w:i/>
          <w:iCs/>
        </w:rPr>
        <w:t xml:space="preserve"> </w:t>
      </w:r>
      <w:r w:rsidRPr="00861F6A">
        <w:rPr>
          <w:i/>
          <w:iCs/>
        </w:rPr>
        <w:t>(</w:t>
      </w:r>
      <w:proofErr w:type="spellStart"/>
      <w:r>
        <w:rPr>
          <w:i/>
          <w:iCs/>
        </w:rPr>
        <w:t>Cth</w:t>
      </w:r>
      <w:proofErr w:type="spellEnd"/>
      <w:r w:rsidRPr="00861F6A">
        <w:rPr>
          <w:i/>
          <w:iCs/>
        </w:rPr>
        <w:t>), available to the defendant in this proceeding against the plaintiff's claim as a liquidator for the recovery of an unfair preference under s 588FA of the Act</w:t>
      </w:r>
      <w:r w:rsidRPr="00861F6A">
        <w:t xml:space="preserve">? </w:t>
      </w:r>
    </w:p>
    <w:p w14:paraId="4DAA0D9C" w14:textId="77777777" w:rsidR="002F3034" w:rsidRPr="00861F6A" w:rsidRDefault="002F3034" w:rsidP="002F3034">
      <w:pPr>
        <w:jc w:val="both"/>
        <w:rPr>
          <w:rFonts w:cs="Arial"/>
          <w:szCs w:val="24"/>
          <w:shd w:val="clear" w:color="auto" w:fill="FFFFFF"/>
        </w:rPr>
      </w:pPr>
    </w:p>
    <w:p w14:paraId="0FD909C5" w14:textId="0CF7879A" w:rsidR="002F3034" w:rsidRDefault="002F3034" w:rsidP="002F3034">
      <w:pPr>
        <w:jc w:val="both"/>
        <w:rPr>
          <w:rFonts w:cs="Arial"/>
          <w:szCs w:val="24"/>
          <w:shd w:val="clear" w:color="auto" w:fill="FFFFFF"/>
        </w:rPr>
      </w:pPr>
      <w:r w:rsidRPr="00861F6A">
        <w:rPr>
          <w:rFonts w:cs="Arial"/>
          <w:szCs w:val="24"/>
          <w:shd w:val="clear" w:color="auto" w:fill="FFFFFF"/>
        </w:rPr>
        <w:t>The question concerns the right of a creditor who had received an unfair preference under </w:t>
      </w:r>
      <w:r w:rsidRPr="002F3034">
        <w:rPr>
          <w:rFonts w:cs="Arial"/>
          <w:szCs w:val="24"/>
          <w:shd w:val="clear" w:color="auto" w:fill="FFFFFF"/>
        </w:rPr>
        <w:t>s 588FA</w:t>
      </w:r>
      <w:r w:rsidRPr="00861F6A">
        <w:rPr>
          <w:rFonts w:cs="Arial"/>
          <w:szCs w:val="24"/>
          <w:shd w:val="clear" w:color="auto" w:fill="FFFFFF"/>
        </w:rPr>
        <w:t> of the</w:t>
      </w:r>
      <w:r>
        <w:rPr>
          <w:rFonts w:cs="Arial"/>
          <w:szCs w:val="24"/>
          <w:shd w:val="clear" w:color="auto" w:fill="FFFFFF"/>
        </w:rPr>
        <w:t xml:space="preserve"> </w:t>
      </w:r>
      <w:proofErr w:type="gramStart"/>
      <w:r>
        <w:rPr>
          <w:rFonts w:cs="Arial"/>
          <w:szCs w:val="24"/>
          <w:shd w:val="clear" w:color="auto" w:fill="FFFFFF"/>
        </w:rPr>
        <w:t>Act,</w:t>
      </w:r>
      <w:r w:rsidRPr="00861F6A">
        <w:rPr>
          <w:rFonts w:cs="Arial"/>
          <w:szCs w:val="24"/>
          <w:shd w:val="clear" w:color="auto" w:fill="FFFFFF"/>
        </w:rPr>
        <w:t>  to</w:t>
      </w:r>
      <w:proofErr w:type="gramEnd"/>
      <w:r w:rsidRPr="00861F6A">
        <w:rPr>
          <w:rFonts w:cs="Arial"/>
          <w:szCs w:val="24"/>
          <w:shd w:val="clear" w:color="auto" w:fill="FFFFFF"/>
        </w:rPr>
        <w:t xml:space="preserve"> avail itself of the statutory set-off in s 553C of the Act.  The creditor claims to be entitled to set off its obligation under s 588FF of the Act to repay the preference received not against the underlying debt, but against another debt owed by the company in liquidation to it.  </w:t>
      </w:r>
    </w:p>
    <w:p w14:paraId="145873DB" w14:textId="77777777" w:rsidR="002F3034" w:rsidRDefault="002F3034" w:rsidP="002F3034">
      <w:pPr>
        <w:jc w:val="both"/>
        <w:rPr>
          <w:rFonts w:cs="Arial"/>
          <w:szCs w:val="24"/>
          <w:shd w:val="clear" w:color="auto" w:fill="FFFFFF"/>
        </w:rPr>
      </w:pPr>
    </w:p>
    <w:p w14:paraId="20614F42" w14:textId="62AE680E" w:rsidR="002F3034" w:rsidRPr="00861F6A" w:rsidRDefault="002F3034" w:rsidP="002F3034">
      <w:pPr>
        <w:jc w:val="both"/>
        <w:rPr>
          <w:rFonts w:cs="Arial"/>
          <w:szCs w:val="24"/>
          <w:shd w:val="clear" w:color="auto" w:fill="FFFFFF"/>
        </w:rPr>
      </w:pPr>
      <w:r w:rsidRPr="00861F6A">
        <w:rPr>
          <w:rFonts w:cs="Arial"/>
          <w:szCs w:val="24"/>
          <w:lang w:val="en-AU"/>
        </w:rPr>
        <w:t xml:space="preserve">The special case was supported by agreed facts, including that the Appellant received payments during the relation back period totalling $190,000.  </w:t>
      </w:r>
      <w:r>
        <w:rPr>
          <w:rFonts w:cs="Arial"/>
          <w:szCs w:val="24"/>
          <w:lang w:val="en-AU"/>
        </w:rPr>
        <w:br/>
      </w:r>
      <w:r w:rsidRPr="00861F6A">
        <w:rPr>
          <w:rFonts w:cs="Arial"/>
          <w:szCs w:val="24"/>
          <w:lang w:val="en-AU"/>
        </w:rPr>
        <w:t xml:space="preserve">The quantum of the Appellant’s alleged set-off was admitted </w:t>
      </w:r>
      <w:proofErr w:type="gramStart"/>
      <w:r w:rsidRPr="00861F6A">
        <w:rPr>
          <w:rFonts w:cs="Arial"/>
          <w:szCs w:val="24"/>
          <w:lang w:val="en-AU"/>
        </w:rPr>
        <w:t>to be</w:t>
      </w:r>
      <w:proofErr w:type="gramEnd"/>
      <w:r w:rsidRPr="00861F6A">
        <w:rPr>
          <w:rFonts w:cs="Arial"/>
          <w:szCs w:val="24"/>
          <w:lang w:val="en-AU"/>
        </w:rPr>
        <w:t xml:space="preserve"> $194,727.23, arising otherwise than from the underlying debts owed by the company and the subject of the payments during the relation-back period said to be preferences.  </w:t>
      </w:r>
      <w:r w:rsidR="00C041F0">
        <w:rPr>
          <w:rFonts w:cs="Arial"/>
          <w:szCs w:val="24"/>
          <w:lang w:val="en-AU"/>
        </w:rPr>
        <w:br/>
      </w:r>
      <w:r w:rsidRPr="00861F6A">
        <w:rPr>
          <w:rFonts w:cs="Arial"/>
          <w:szCs w:val="24"/>
          <w:lang w:val="en-AU"/>
        </w:rPr>
        <w:t>The liquidator conceded that if set-off was available</w:t>
      </w:r>
      <w:r>
        <w:rPr>
          <w:rFonts w:cs="Arial"/>
          <w:szCs w:val="24"/>
          <w:lang w:val="en-AU"/>
        </w:rPr>
        <w:t>,</w:t>
      </w:r>
      <w:r w:rsidRPr="00861F6A">
        <w:rPr>
          <w:rFonts w:cs="Arial"/>
          <w:szCs w:val="24"/>
          <w:lang w:val="en-AU"/>
        </w:rPr>
        <w:t xml:space="preserve"> the proceeding instituted to recover the preferential payments must be dismissed.</w:t>
      </w:r>
    </w:p>
    <w:p w14:paraId="502A6161" w14:textId="77777777" w:rsidR="002F3034" w:rsidRPr="00861F6A" w:rsidRDefault="002F3034" w:rsidP="002F3034">
      <w:pPr>
        <w:jc w:val="both"/>
        <w:rPr>
          <w:rFonts w:cs="Arial"/>
          <w:szCs w:val="24"/>
        </w:rPr>
      </w:pPr>
    </w:p>
    <w:p w14:paraId="04E6AE3E" w14:textId="77777777" w:rsidR="002F3034" w:rsidRDefault="002F3034" w:rsidP="002F3034">
      <w:pPr>
        <w:jc w:val="both"/>
        <w:rPr>
          <w:rFonts w:cs="Arial"/>
          <w:szCs w:val="24"/>
          <w:lang w:val="en-AU"/>
        </w:rPr>
      </w:pPr>
      <w:r w:rsidRPr="00861F6A">
        <w:rPr>
          <w:rFonts w:cs="Arial"/>
          <w:szCs w:val="24"/>
        </w:rPr>
        <w:t>The Full Court answered the question reserved as “No”</w:t>
      </w:r>
      <w:r>
        <w:rPr>
          <w:rFonts w:cs="Arial"/>
          <w:szCs w:val="24"/>
        </w:rPr>
        <w:t>,</w:t>
      </w:r>
      <w:r w:rsidRPr="00861F6A">
        <w:rPr>
          <w:rFonts w:cs="Arial"/>
          <w:szCs w:val="24"/>
        </w:rPr>
        <w:t xml:space="preserve"> </w:t>
      </w:r>
      <w:r w:rsidRPr="00861F6A">
        <w:rPr>
          <w:rFonts w:cs="Arial"/>
          <w:szCs w:val="24"/>
          <w:lang w:val="en-AU"/>
        </w:rPr>
        <w:t xml:space="preserve">for three main reasons: </w:t>
      </w:r>
    </w:p>
    <w:p w14:paraId="20B7387F" w14:textId="77777777" w:rsidR="002F3034" w:rsidRDefault="002F3034" w:rsidP="002F3034">
      <w:pPr>
        <w:jc w:val="both"/>
        <w:rPr>
          <w:rFonts w:cs="Arial"/>
          <w:szCs w:val="24"/>
          <w:lang w:val="en-AU"/>
        </w:rPr>
      </w:pPr>
    </w:p>
    <w:p w14:paraId="3C440BC4" w14:textId="3B5DE0F9" w:rsidR="002F3034" w:rsidRDefault="002F3034" w:rsidP="002F3034">
      <w:pPr>
        <w:jc w:val="both"/>
        <w:rPr>
          <w:rFonts w:cs="Arial"/>
          <w:szCs w:val="24"/>
          <w:shd w:val="clear" w:color="auto" w:fill="FFFFFF"/>
        </w:rPr>
      </w:pPr>
      <w:r>
        <w:rPr>
          <w:rFonts w:cs="Arial"/>
          <w:szCs w:val="24"/>
          <w:lang w:val="en-AU"/>
        </w:rPr>
        <w:t>F</w:t>
      </w:r>
      <w:r w:rsidRPr="00861F6A">
        <w:rPr>
          <w:rFonts w:cs="Arial"/>
          <w:szCs w:val="24"/>
          <w:lang w:val="en-AU"/>
        </w:rPr>
        <w:t>irstly, a conclusion that there was a lack of mutuality between the liability of the creditor (pursuant to court order) to pay the company and the indebtedness of the company to the creditor</w:t>
      </w:r>
      <w:r>
        <w:rPr>
          <w:rFonts w:cs="Arial"/>
          <w:szCs w:val="24"/>
          <w:lang w:val="en-AU"/>
        </w:rPr>
        <w:t>;</w:t>
      </w:r>
      <w:r w:rsidRPr="00861F6A">
        <w:rPr>
          <w:rFonts w:cs="Arial"/>
          <w:szCs w:val="24"/>
          <w:lang w:val="en-AU"/>
        </w:rPr>
        <w:t xml:space="preserve"> </w:t>
      </w:r>
      <w:r w:rsidRPr="00861F6A">
        <w:rPr>
          <w:rFonts w:cs="Arial"/>
          <w:szCs w:val="24"/>
          <w:shd w:val="clear" w:color="auto" w:fill="FFFFFF"/>
        </w:rPr>
        <w:t>that is, the different interest in which the company owes money to the creditor</w:t>
      </w:r>
      <w:r>
        <w:rPr>
          <w:rFonts w:cs="Arial"/>
          <w:szCs w:val="24"/>
          <w:shd w:val="clear" w:color="auto" w:fill="FFFFFF"/>
        </w:rPr>
        <w:t>,</w:t>
      </w:r>
      <w:r w:rsidRPr="00861F6A">
        <w:rPr>
          <w:rFonts w:cs="Arial"/>
          <w:szCs w:val="24"/>
          <w:shd w:val="clear" w:color="auto" w:fill="FFFFFF"/>
        </w:rPr>
        <w:t xml:space="preserve"> and in which the company receives money pursuant to the liability to repay not as a “creditor” of the preferred creditor, but as a payee pursuant to court order in an action brought by the liquidator in the execution of her or his duty to gather in the estate of the insolvent company for the benefit of all unsecured creditors and the administration of the estate;  </w:t>
      </w:r>
    </w:p>
    <w:p w14:paraId="19843CD7" w14:textId="77777777" w:rsidR="002F3034" w:rsidRPr="00861F6A" w:rsidRDefault="002F3034" w:rsidP="002F3034">
      <w:pPr>
        <w:jc w:val="both"/>
        <w:rPr>
          <w:rFonts w:cs="Arial"/>
          <w:szCs w:val="24"/>
          <w:lang w:val="en-AU"/>
        </w:rPr>
      </w:pPr>
    </w:p>
    <w:p w14:paraId="011EC765" w14:textId="77777777" w:rsidR="002F3034" w:rsidRDefault="002F3034" w:rsidP="002F3034">
      <w:pPr>
        <w:jc w:val="both"/>
        <w:rPr>
          <w:rFonts w:cs="Arial"/>
          <w:szCs w:val="24"/>
          <w:lang w:val="en-AU"/>
        </w:rPr>
      </w:pPr>
      <w:r>
        <w:rPr>
          <w:rFonts w:cs="Arial"/>
          <w:szCs w:val="24"/>
          <w:lang w:val="en-AU"/>
        </w:rPr>
        <w:t>S</w:t>
      </w:r>
      <w:r w:rsidRPr="00861F6A">
        <w:rPr>
          <w:rFonts w:cs="Arial"/>
          <w:szCs w:val="24"/>
          <w:lang w:val="en-AU"/>
        </w:rPr>
        <w:t xml:space="preserve">econdly, a conclusion that there </w:t>
      </w:r>
      <w:r w:rsidRPr="00861F6A">
        <w:rPr>
          <w:rFonts w:cs="Arial"/>
          <w:szCs w:val="24"/>
        </w:rPr>
        <w:t>was</w:t>
      </w:r>
      <w:r w:rsidRPr="00861F6A">
        <w:rPr>
          <w:rFonts w:cs="Arial"/>
          <w:szCs w:val="24"/>
          <w:lang w:val="en-AU"/>
        </w:rPr>
        <w:t xml:space="preserve"> a lack of mutuality between the creditor and the company on the basis that, as at the relevant date, there was no right or equity (vested or contingent) enjoyed by the company or duty or obligation (vested or contingent) in the creditor to recover or repay the unfair preference; </w:t>
      </w:r>
      <w:r>
        <w:rPr>
          <w:rFonts w:cs="Arial"/>
          <w:szCs w:val="24"/>
          <w:lang w:val="en-AU"/>
        </w:rPr>
        <w:t>and</w:t>
      </w:r>
    </w:p>
    <w:p w14:paraId="14D42584" w14:textId="77777777" w:rsidR="002F3034" w:rsidRPr="00861F6A" w:rsidRDefault="002F3034" w:rsidP="002F3034">
      <w:pPr>
        <w:jc w:val="both"/>
        <w:rPr>
          <w:rFonts w:cs="Arial"/>
          <w:szCs w:val="24"/>
          <w:lang w:val="en-AU"/>
        </w:rPr>
      </w:pPr>
    </w:p>
    <w:p w14:paraId="29AFF8CB" w14:textId="77777777" w:rsidR="002F3034" w:rsidRPr="00861F6A" w:rsidRDefault="002F3034" w:rsidP="002F3034">
      <w:pPr>
        <w:jc w:val="both"/>
        <w:rPr>
          <w:rFonts w:cs="Arial"/>
          <w:szCs w:val="24"/>
        </w:rPr>
      </w:pPr>
      <w:r>
        <w:rPr>
          <w:rFonts w:cs="Arial"/>
          <w:szCs w:val="24"/>
          <w:lang w:val="en-AU"/>
        </w:rPr>
        <w:lastRenderedPageBreak/>
        <w:t>T</w:t>
      </w:r>
      <w:r w:rsidRPr="00861F6A">
        <w:rPr>
          <w:rFonts w:cs="Arial"/>
          <w:szCs w:val="24"/>
          <w:lang w:val="en-AU"/>
        </w:rPr>
        <w:t>hirdly, the construction of s</w:t>
      </w:r>
      <w:r>
        <w:rPr>
          <w:rFonts w:cs="Arial"/>
          <w:szCs w:val="24"/>
          <w:lang w:val="en-AU"/>
        </w:rPr>
        <w:t xml:space="preserve"> </w:t>
      </w:r>
      <w:r w:rsidRPr="00861F6A">
        <w:rPr>
          <w:rFonts w:cs="Arial"/>
          <w:szCs w:val="24"/>
          <w:lang w:val="en-AU"/>
        </w:rPr>
        <w:t>553C that best reflects and vindicates the underlying purposes of the law of set-off in insolvency and the law of preferences, excludes its operation in the circumstances of this special case.</w:t>
      </w:r>
    </w:p>
    <w:p w14:paraId="5EE85FCB" w14:textId="77777777" w:rsidR="002F3034" w:rsidRPr="00861F6A" w:rsidRDefault="002F3034" w:rsidP="002F3034">
      <w:pPr>
        <w:jc w:val="both"/>
        <w:rPr>
          <w:rFonts w:cs="Arial"/>
          <w:szCs w:val="24"/>
        </w:rPr>
      </w:pPr>
    </w:p>
    <w:p w14:paraId="13AFE15A" w14:textId="77777777" w:rsidR="002F3034" w:rsidRDefault="002F3034" w:rsidP="002F3034">
      <w:pPr>
        <w:jc w:val="both"/>
        <w:rPr>
          <w:rFonts w:cs="Arial"/>
          <w:szCs w:val="24"/>
        </w:rPr>
      </w:pPr>
      <w:r w:rsidRPr="00861F6A">
        <w:rPr>
          <w:rFonts w:cs="Arial"/>
          <w:szCs w:val="24"/>
        </w:rPr>
        <w:t>The grounds of appeal are:</w:t>
      </w:r>
    </w:p>
    <w:p w14:paraId="5D64F962" w14:textId="77777777" w:rsidR="002F3034" w:rsidRPr="00861F6A" w:rsidRDefault="002F3034" w:rsidP="002F3034">
      <w:pPr>
        <w:jc w:val="both"/>
        <w:rPr>
          <w:rFonts w:cs="Arial"/>
          <w:szCs w:val="24"/>
        </w:rPr>
      </w:pPr>
    </w:p>
    <w:p w14:paraId="05C00D94" w14:textId="77777777" w:rsidR="002F3034" w:rsidRPr="00F77206" w:rsidRDefault="002F3034" w:rsidP="002F3034">
      <w:pPr>
        <w:pStyle w:val="ListParagraph"/>
        <w:numPr>
          <w:ilvl w:val="0"/>
          <w:numId w:val="13"/>
        </w:numPr>
        <w:autoSpaceDE w:val="0"/>
        <w:autoSpaceDN w:val="0"/>
        <w:adjustRightInd w:val="0"/>
        <w:rPr>
          <w:rFonts w:cs="Arial"/>
          <w:szCs w:val="24"/>
          <w:lang w:val="en-AU"/>
        </w:rPr>
      </w:pPr>
      <w:r w:rsidRPr="00F77206">
        <w:rPr>
          <w:rFonts w:cs="Arial"/>
          <w:szCs w:val="24"/>
          <w:lang w:val="en-AU"/>
        </w:rPr>
        <w:t>The Full Court erred in concluding that for the purpose of s553</w:t>
      </w:r>
      <w:proofErr w:type="gramStart"/>
      <w:r w:rsidRPr="00F77206">
        <w:rPr>
          <w:rFonts w:cs="Arial"/>
          <w:szCs w:val="24"/>
          <w:lang w:val="en-AU"/>
        </w:rPr>
        <w:t>C(</w:t>
      </w:r>
      <w:proofErr w:type="gramEnd"/>
      <w:r w:rsidRPr="00F77206">
        <w:rPr>
          <w:rFonts w:cs="Arial"/>
          <w:szCs w:val="24"/>
          <w:lang w:val="en-AU"/>
        </w:rPr>
        <w:t xml:space="preserve">1) of the </w:t>
      </w:r>
      <w:r w:rsidRPr="00F77206">
        <w:rPr>
          <w:rFonts w:cs="Arial"/>
          <w:i/>
          <w:iCs/>
          <w:szCs w:val="24"/>
          <w:lang w:val="en-AU"/>
        </w:rPr>
        <w:t>Corporations Act 2001</w:t>
      </w:r>
      <w:r w:rsidRPr="00F77206">
        <w:rPr>
          <w:rFonts w:cs="Arial"/>
          <w:szCs w:val="24"/>
          <w:lang w:val="en-AU"/>
        </w:rPr>
        <w:t xml:space="preserve"> (</w:t>
      </w:r>
      <w:proofErr w:type="spellStart"/>
      <w:r w:rsidRPr="00F77206">
        <w:rPr>
          <w:rFonts w:cs="Arial"/>
          <w:szCs w:val="24"/>
          <w:lang w:val="en-AU"/>
        </w:rPr>
        <w:t>Cth</w:t>
      </w:r>
      <w:proofErr w:type="spellEnd"/>
      <w:r w:rsidRPr="00F77206">
        <w:rPr>
          <w:rFonts w:cs="Arial"/>
          <w:szCs w:val="24"/>
          <w:lang w:val="en-AU"/>
        </w:rPr>
        <w:t>):</w:t>
      </w:r>
    </w:p>
    <w:p w14:paraId="33D5AC9A" w14:textId="77777777" w:rsidR="002F3034" w:rsidRPr="00861F6A" w:rsidRDefault="002F3034" w:rsidP="002F3034">
      <w:pPr>
        <w:pStyle w:val="ListParagraph"/>
        <w:autoSpaceDE w:val="0"/>
        <w:autoSpaceDN w:val="0"/>
        <w:adjustRightInd w:val="0"/>
        <w:ind w:left="780"/>
        <w:rPr>
          <w:rFonts w:cs="Arial"/>
          <w:szCs w:val="24"/>
          <w:lang w:val="en-AU"/>
        </w:rPr>
      </w:pPr>
    </w:p>
    <w:p w14:paraId="274B4E83" w14:textId="77777777" w:rsidR="002F3034" w:rsidRDefault="002F3034" w:rsidP="002F3034">
      <w:pPr>
        <w:pStyle w:val="ListParagraph"/>
        <w:numPr>
          <w:ilvl w:val="0"/>
          <w:numId w:val="11"/>
        </w:numPr>
        <w:autoSpaceDE w:val="0"/>
        <w:autoSpaceDN w:val="0"/>
        <w:adjustRightInd w:val="0"/>
        <w:rPr>
          <w:rFonts w:cs="Arial"/>
          <w:szCs w:val="24"/>
          <w:lang w:val="en-AU"/>
        </w:rPr>
      </w:pPr>
      <w:r w:rsidRPr="00861F6A">
        <w:rPr>
          <w:rFonts w:cs="Arial"/>
          <w:szCs w:val="24"/>
          <w:lang w:val="en-AU"/>
        </w:rPr>
        <w:t>the interest of a creditor in the position of the Appellant, in respect of its claim against a company in the position of the Second Respondent; and</w:t>
      </w:r>
    </w:p>
    <w:p w14:paraId="0F0FC4C5" w14:textId="77777777" w:rsidR="002F3034" w:rsidRPr="00861F6A" w:rsidRDefault="002F3034" w:rsidP="002F3034">
      <w:pPr>
        <w:pStyle w:val="ListParagraph"/>
        <w:autoSpaceDE w:val="0"/>
        <w:autoSpaceDN w:val="0"/>
        <w:adjustRightInd w:val="0"/>
        <w:ind w:left="1080"/>
        <w:rPr>
          <w:rFonts w:cs="Arial"/>
          <w:szCs w:val="24"/>
          <w:lang w:val="en-AU"/>
        </w:rPr>
      </w:pPr>
    </w:p>
    <w:p w14:paraId="6AFC707D" w14:textId="3BBA332F" w:rsidR="002F3034" w:rsidRDefault="002F3034" w:rsidP="002F3034">
      <w:pPr>
        <w:pStyle w:val="ListParagraph"/>
        <w:numPr>
          <w:ilvl w:val="0"/>
          <w:numId w:val="11"/>
        </w:numPr>
        <w:autoSpaceDE w:val="0"/>
        <w:autoSpaceDN w:val="0"/>
        <w:adjustRightInd w:val="0"/>
        <w:rPr>
          <w:rFonts w:cs="Arial"/>
          <w:szCs w:val="24"/>
          <w:lang w:val="en-AU"/>
        </w:rPr>
      </w:pPr>
      <w:r w:rsidRPr="00861F6A">
        <w:rPr>
          <w:rFonts w:cs="Arial"/>
          <w:szCs w:val="24"/>
          <w:lang w:val="en-AU"/>
        </w:rPr>
        <w:t xml:space="preserve">the interest of a company in the position of the Second Respondent, </w:t>
      </w:r>
      <w:r w:rsidR="002848EC">
        <w:rPr>
          <w:rFonts w:cs="Arial"/>
          <w:szCs w:val="24"/>
          <w:lang w:val="en-AU"/>
        </w:rPr>
        <w:br/>
      </w:r>
      <w:r w:rsidRPr="00861F6A">
        <w:rPr>
          <w:rFonts w:cs="Arial"/>
          <w:szCs w:val="24"/>
          <w:lang w:val="en-AU"/>
        </w:rPr>
        <w:t>in respect of its claim against a creditor in the position of the Appellant,</w:t>
      </w:r>
      <w:r>
        <w:rPr>
          <w:rFonts w:cs="Arial"/>
          <w:szCs w:val="24"/>
          <w:lang w:val="en-AU"/>
        </w:rPr>
        <w:t xml:space="preserve"> </w:t>
      </w:r>
    </w:p>
    <w:p w14:paraId="71744AB7" w14:textId="77777777" w:rsidR="002F3034" w:rsidRPr="00A01B0F" w:rsidRDefault="002F3034" w:rsidP="002F3034">
      <w:pPr>
        <w:pStyle w:val="ListParagraph"/>
        <w:rPr>
          <w:rFonts w:cs="Arial"/>
          <w:szCs w:val="24"/>
          <w:lang w:val="en-AU"/>
        </w:rPr>
      </w:pPr>
    </w:p>
    <w:p w14:paraId="1563507C" w14:textId="77777777" w:rsidR="002F3034" w:rsidRPr="00F53830" w:rsidRDefault="002F3034" w:rsidP="002F3034">
      <w:pPr>
        <w:pStyle w:val="ListParagraph"/>
        <w:autoSpaceDE w:val="0"/>
        <w:autoSpaceDN w:val="0"/>
        <w:adjustRightInd w:val="0"/>
        <w:rPr>
          <w:rFonts w:cs="Arial"/>
          <w:szCs w:val="24"/>
          <w:lang w:val="en-AU"/>
        </w:rPr>
      </w:pPr>
      <w:r w:rsidRPr="00F53830">
        <w:rPr>
          <w:rFonts w:cs="Arial"/>
          <w:szCs w:val="24"/>
          <w:lang w:val="en-AU"/>
        </w:rPr>
        <w:t xml:space="preserve">are of a different right, </w:t>
      </w:r>
      <w:proofErr w:type="gramStart"/>
      <w:r w:rsidRPr="00F53830">
        <w:rPr>
          <w:rFonts w:cs="Arial"/>
          <w:szCs w:val="24"/>
          <w:lang w:val="en-AU"/>
        </w:rPr>
        <w:t>nature</w:t>
      </w:r>
      <w:proofErr w:type="gramEnd"/>
      <w:r w:rsidRPr="00F53830">
        <w:rPr>
          <w:rFonts w:cs="Arial"/>
          <w:szCs w:val="24"/>
          <w:lang w:val="en-AU"/>
        </w:rPr>
        <w:t xml:space="preserve"> and interest, such that there is no mutuality existing between the creditor and company. </w:t>
      </w:r>
    </w:p>
    <w:p w14:paraId="1E135E38" w14:textId="77777777" w:rsidR="002F3034" w:rsidRPr="00042B4B" w:rsidRDefault="002F3034" w:rsidP="002F3034">
      <w:pPr>
        <w:autoSpaceDE w:val="0"/>
        <w:autoSpaceDN w:val="0"/>
        <w:adjustRightInd w:val="0"/>
        <w:jc w:val="both"/>
        <w:rPr>
          <w:rFonts w:cs="Arial"/>
          <w:szCs w:val="24"/>
          <w:lang w:val="en-AU"/>
        </w:rPr>
      </w:pPr>
    </w:p>
    <w:p w14:paraId="68125485" w14:textId="77777777" w:rsidR="002F3034" w:rsidRDefault="002F3034" w:rsidP="002F3034">
      <w:pPr>
        <w:pStyle w:val="ListParagraph"/>
        <w:numPr>
          <w:ilvl w:val="0"/>
          <w:numId w:val="12"/>
        </w:numPr>
        <w:autoSpaceDE w:val="0"/>
        <w:autoSpaceDN w:val="0"/>
        <w:adjustRightInd w:val="0"/>
        <w:ind w:left="709"/>
        <w:rPr>
          <w:rFonts w:cs="Arial"/>
          <w:szCs w:val="24"/>
          <w:lang w:val="en-AU"/>
        </w:rPr>
      </w:pPr>
      <w:r>
        <w:rPr>
          <w:rFonts w:cs="Arial"/>
          <w:szCs w:val="24"/>
          <w:lang w:val="en-AU"/>
        </w:rPr>
        <w:t xml:space="preserve">The Full Court erred in concluding that, </w:t>
      </w:r>
      <w:r w:rsidRPr="00861F6A">
        <w:rPr>
          <w:rFonts w:cs="Arial"/>
          <w:szCs w:val="24"/>
          <w:lang w:val="en-AU"/>
        </w:rPr>
        <w:t>as at the relevant date for the application of s553</w:t>
      </w:r>
      <w:proofErr w:type="gramStart"/>
      <w:r w:rsidRPr="00861F6A">
        <w:rPr>
          <w:rFonts w:cs="Arial"/>
          <w:szCs w:val="24"/>
          <w:lang w:val="en-AU"/>
        </w:rPr>
        <w:t>C(</w:t>
      </w:r>
      <w:proofErr w:type="gramEnd"/>
      <w:r w:rsidRPr="00861F6A">
        <w:rPr>
          <w:rFonts w:cs="Arial"/>
          <w:szCs w:val="24"/>
          <w:lang w:val="en-AU"/>
        </w:rPr>
        <w:t>1) of the Act, a company in the position of the Second Respondent does not have an existing right or claim (either vested or contingent) against a creditor in the position of the Appellant, for the recovery of an unfair preference pursuant to ss588FA and 588FF of the Act.</w:t>
      </w:r>
    </w:p>
    <w:p w14:paraId="22416BC7" w14:textId="77777777" w:rsidR="002F3034" w:rsidRPr="00861F6A" w:rsidRDefault="002F3034" w:rsidP="002F3034">
      <w:pPr>
        <w:pStyle w:val="ListParagraph"/>
        <w:autoSpaceDE w:val="0"/>
        <w:autoSpaceDN w:val="0"/>
        <w:adjustRightInd w:val="0"/>
        <w:ind w:left="780"/>
        <w:rPr>
          <w:rFonts w:cs="Arial"/>
          <w:szCs w:val="24"/>
          <w:lang w:val="en-AU"/>
        </w:rPr>
      </w:pPr>
    </w:p>
    <w:p w14:paraId="42D075A1" w14:textId="77777777" w:rsidR="002F3034" w:rsidRPr="00861F6A" w:rsidRDefault="002F3034" w:rsidP="002F3034">
      <w:pPr>
        <w:pStyle w:val="ListParagraph"/>
        <w:numPr>
          <w:ilvl w:val="0"/>
          <w:numId w:val="12"/>
        </w:numPr>
        <w:autoSpaceDE w:val="0"/>
        <w:autoSpaceDN w:val="0"/>
        <w:adjustRightInd w:val="0"/>
        <w:ind w:left="709"/>
        <w:rPr>
          <w:rFonts w:cs="Arial"/>
          <w:szCs w:val="24"/>
          <w:lang w:val="en-AU"/>
        </w:rPr>
      </w:pPr>
      <w:r>
        <w:rPr>
          <w:rFonts w:cs="Arial"/>
          <w:szCs w:val="24"/>
          <w:lang w:val="en-AU"/>
        </w:rPr>
        <w:t xml:space="preserve">The Full Court erred in finding </w:t>
      </w:r>
      <w:r w:rsidRPr="00861F6A">
        <w:rPr>
          <w:rFonts w:cs="Arial"/>
          <w:szCs w:val="24"/>
          <w:lang w:val="en-AU"/>
        </w:rPr>
        <w:t>that</w:t>
      </w:r>
      <w:r>
        <w:rPr>
          <w:rFonts w:cs="Arial"/>
          <w:szCs w:val="24"/>
          <w:lang w:val="en-AU"/>
        </w:rPr>
        <w:t xml:space="preserve"> the</w:t>
      </w:r>
      <w:r w:rsidRPr="00861F6A">
        <w:rPr>
          <w:rFonts w:cs="Arial"/>
          <w:szCs w:val="24"/>
          <w:lang w:val="en-AU"/>
        </w:rPr>
        <w:t xml:space="preserve"> failure of the Parliament to incorporate the recommendation of the Australia Law Reform Commission as to its proposal with respect to the form of s553C, did not evince an intention by the Parliament to permit the application of statutory set-off in circumstances involving the recovery of unfair preferences.</w:t>
      </w:r>
    </w:p>
    <w:p w14:paraId="6785BF0E" w14:textId="61B85CC2" w:rsidR="00D67A19" w:rsidRDefault="00D67A19" w:rsidP="00913869">
      <w:pPr>
        <w:rPr>
          <w:rFonts w:cs="Arial"/>
          <w:szCs w:val="24"/>
        </w:rPr>
      </w:pPr>
    </w:p>
    <w:p w14:paraId="63262447" w14:textId="77777777" w:rsidR="00B6091B" w:rsidRDefault="00602F0D" w:rsidP="00B6091B">
      <w:pPr>
        <w:pStyle w:val="NoSpacing"/>
        <w:rPr>
          <w:rFonts w:ascii="Arial" w:eastAsia="Times New Roman" w:hAnsi="Arial" w:cs="Arial"/>
          <w:b/>
          <w:color w:val="000000"/>
          <w:sz w:val="28"/>
          <w:szCs w:val="28"/>
          <w:lang w:eastAsia="en-AU"/>
        </w:rPr>
      </w:pPr>
      <w:r>
        <w:rPr>
          <w:rFonts w:cs="Arial"/>
          <w:szCs w:val="24"/>
        </w:rPr>
        <w:br w:type="page"/>
      </w:r>
      <w:bookmarkStart w:id="1" w:name="_Hlk115879848"/>
      <w:r w:rsidR="00B6091B" w:rsidRPr="00AB653F">
        <w:rPr>
          <w:rFonts w:ascii="Arial" w:eastAsia="Times New Roman" w:hAnsi="Arial" w:cs="Arial"/>
          <w:b/>
          <w:color w:val="000000"/>
          <w:sz w:val="28"/>
          <w:szCs w:val="28"/>
          <w:u w:val="single"/>
          <w:lang w:eastAsia="en-AU"/>
        </w:rPr>
        <w:lastRenderedPageBreak/>
        <w:t xml:space="preserve">SELF CARE IP HOLDINGS PTY LTD &amp; ANOR </w:t>
      </w:r>
      <w:r w:rsidR="00B6091B">
        <w:rPr>
          <w:rFonts w:ascii="Arial" w:eastAsia="Times New Roman" w:hAnsi="Arial" w:cs="Arial"/>
          <w:b/>
          <w:color w:val="000000"/>
          <w:sz w:val="28"/>
          <w:szCs w:val="28"/>
          <w:u w:val="single"/>
          <w:lang w:eastAsia="en-AU"/>
        </w:rPr>
        <w:t>v</w:t>
      </w:r>
      <w:r w:rsidR="00B6091B" w:rsidRPr="00AB653F">
        <w:rPr>
          <w:rFonts w:ascii="Arial" w:eastAsia="Times New Roman" w:hAnsi="Arial" w:cs="Arial"/>
          <w:b/>
          <w:color w:val="000000"/>
          <w:sz w:val="28"/>
          <w:szCs w:val="28"/>
          <w:u w:val="single"/>
          <w:lang w:eastAsia="en-AU"/>
        </w:rPr>
        <w:t xml:space="preserve"> ALLERGAN AUSTRALIA PTY LTD &amp; ANOR</w:t>
      </w:r>
      <w:r w:rsidR="00B6091B" w:rsidRPr="0096712A">
        <w:rPr>
          <w:rFonts w:ascii="Arial" w:eastAsia="Times New Roman" w:hAnsi="Arial" w:cs="Arial"/>
          <w:b/>
          <w:color w:val="000000"/>
          <w:sz w:val="28"/>
          <w:szCs w:val="28"/>
          <w:lang w:eastAsia="en-AU"/>
        </w:rPr>
        <w:t xml:space="preserve"> (</w:t>
      </w:r>
      <w:r w:rsidR="00B6091B">
        <w:rPr>
          <w:rFonts w:ascii="Arial" w:eastAsia="Times New Roman" w:hAnsi="Arial" w:cs="Arial"/>
          <w:b/>
          <w:color w:val="000000"/>
          <w:sz w:val="28"/>
          <w:szCs w:val="28"/>
          <w:lang w:eastAsia="en-AU"/>
        </w:rPr>
        <w:t>S79/2022 &amp; S80/2022</w:t>
      </w:r>
      <w:r w:rsidR="00B6091B" w:rsidRPr="0096712A">
        <w:rPr>
          <w:rFonts w:ascii="Arial" w:eastAsia="Times New Roman" w:hAnsi="Arial" w:cs="Arial"/>
          <w:b/>
          <w:color w:val="000000"/>
          <w:sz w:val="28"/>
          <w:szCs w:val="28"/>
          <w:lang w:eastAsia="en-AU"/>
        </w:rPr>
        <w:t>)</w:t>
      </w:r>
      <w:r w:rsidR="00B6091B">
        <w:rPr>
          <w:rFonts w:ascii="Arial" w:eastAsia="Times New Roman" w:hAnsi="Arial" w:cs="Arial"/>
          <w:b/>
          <w:color w:val="000000"/>
          <w:sz w:val="28"/>
          <w:szCs w:val="28"/>
          <w:lang w:eastAsia="en-AU"/>
        </w:rPr>
        <w:t xml:space="preserve"> </w:t>
      </w:r>
    </w:p>
    <w:p w14:paraId="494AA94F" w14:textId="77777777" w:rsidR="00B6091B" w:rsidRPr="00A920AB" w:rsidRDefault="00B6091B" w:rsidP="00B6091B">
      <w:pPr>
        <w:rPr>
          <w:rFonts w:cs="Arial"/>
          <w:szCs w:val="24"/>
        </w:rPr>
      </w:pPr>
    </w:p>
    <w:p w14:paraId="504E1CA8" w14:textId="77777777" w:rsidR="00B6091B" w:rsidRPr="006A1C3E" w:rsidRDefault="00B6091B" w:rsidP="00B6091B">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5FAE3484" w14:textId="77777777" w:rsidR="00B6091B" w:rsidRPr="006A1C3E" w:rsidRDefault="00B6091B" w:rsidP="00B6091B">
      <w:pPr>
        <w:ind w:left="2694" w:hanging="2694"/>
        <w:rPr>
          <w:rFonts w:cs="Arial"/>
          <w:szCs w:val="24"/>
        </w:rPr>
      </w:pPr>
      <w:r w:rsidRPr="006A1C3E">
        <w:rPr>
          <w:rFonts w:cs="Arial"/>
          <w:szCs w:val="24"/>
        </w:rPr>
        <w:t xml:space="preserve"> </w:t>
      </w:r>
      <w:r w:rsidRPr="006A1C3E">
        <w:rPr>
          <w:rFonts w:cs="Arial"/>
          <w:szCs w:val="24"/>
        </w:rPr>
        <w:tab/>
      </w:r>
      <w:r>
        <w:rPr>
          <w:rFonts w:cs="Arial"/>
          <w:szCs w:val="24"/>
        </w:rPr>
        <w:t xml:space="preserve">[2021] FCAFC </w:t>
      </w:r>
      <w:proofErr w:type="gramStart"/>
      <w:r>
        <w:rPr>
          <w:rFonts w:cs="Arial"/>
          <w:szCs w:val="24"/>
        </w:rPr>
        <w:t>163;</w:t>
      </w:r>
      <w:proofErr w:type="gramEnd"/>
    </w:p>
    <w:p w14:paraId="3921A3D7" w14:textId="77777777" w:rsidR="00B6091B" w:rsidRDefault="00B6091B" w:rsidP="00B6091B">
      <w:pPr>
        <w:ind w:left="2694" w:hanging="2694"/>
        <w:rPr>
          <w:rFonts w:cs="Arial"/>
          <w:szCs w:val="24"/>
        </w:rPr>
      </w:pPr>
      <w:r w:rsidRPr="006A1C3E">
        <w:rPr>
          <w:rFonts w:cs="Arial"/>
          <w:szCs w:val="24"/>
        </w:rPr>
        <w:tab/>
      </w:r>
      <w:r>
        <w:rPr>
          <w:rFonts w:cs="Arial"/>
          <w:szCs w:val="24"/>
        </w:rPr>
        <w:t>[2021] FCAFC 180</w:t>
      </w:r>
    </w:p>
    <w:p w14:paraId="5A973A8F" w14:textId="77777777" w:rsidR="00B6091B" w:rsidRPr="006A1C3E" w:rsidRDefault="00B6091B" w:rsidP="00B6091B">
      <w:pPr>
        <w:ind w:left="2694" w:hanging="2694"/>
        <w:rPr>
          <w:rFonts w:cs="Arial"/>
          <w:szCs w:val="24"/>
        </w:rPr>
      </w:pPr>
    </w:p>
    <w:p w14:paraId="76AE566A" w14:textId="77777777" w:rsidR="00B6091B" w:rsidRDefault="00B6091B" w:rsidP="00B6091B">
      <w:pPr>
        <w:ind w:left="2694" w:hanging="2694"/>
        <w:rPr>
          <w:rFonts w:cs="Arial"/>
          <w:szCs w:val="24"/>
        </w:rPr>
      </w:pPr>
      <w:r w:rsidRPr="006A1C3E">
        <w:rPr>
          <w:rFonts w:cs="Arial"/>
          <w:szCs w:val="24"/>
          <w:u w:val="single"/>
        </w:rPr>
        <w:t>Date</w:t>
      </w:r>
      <w:r>
        <w:rPr>
          <w:rFonts w:cs="Arial"/>
          <w:szCs w:val="24"/>
          <w:u w:val="single"/>
        </w:rPr>
        <w:t>s</w:t>
      </w:r>
      <w:r w:rsidRPr="006A1C3E">
        <w:rPr>
          <w:rFonts w:cs="Arial"/>
          <w:szCs w:val="24"/>
          <w:u w:val="single"/>
        </w:rPr>
        <w:t xml:space="preserve"> of judgment</w:t>
      </w:r>
      <w:r>
        <w:rPr>
          <w:rFonts w:cs="Arial"/>
          <w:szCs w:val="24"/>
          <w:u w:val="single"/>
        </w:rPr>
        <w:t>s</w:t>
      </w:r>
      <w:r w:rsidRPr="006A1C3E">
        <w:rPr>
          <w:rFonts w:cs="Arial"/>
          <w:szCs w:val="24"/>
        </w:rPr>
        <w:t>:</w:t>
      </w:r>
      <w:r w:rsidRPr="006A1C3E">
        <w:rPr>
          <w:rFonts w:cs="Arial"/>
          <w:szCs w:val="24"/>
        </w:rPr>
        <w:tab/>
      </w:r>
      <w:r>
        <w:rPr>
          <w:rFonts w:cs="Arial"/>
          <w:szCs w:val="24"/>
        </w:rPr>
        <w:t xml:space="preserve">7 September </w:t>
      </w:r>
      <w:proofErr w:type="gramStart"/>
      <w:r>
        <w:rPr>
          <w:rFonts w:cs="Arial"/>
          <w:szCs w:val="24"/>
        </w:rPr>
        <w:t>2021;</w:t>
      </w:r>
      <w:proofErr w:type="gramEnd"/>
    </w:p>
    <w:p w14:paraId="193611E1" w14:textId="77777777" w:rsidR="00B6091B" w:rsidRPr="006A1C3E" w:rsidRDefault="00B6091B" w:rsidP="00B6091B">
      <w:pPr>
        <w:ind w:left="2694" w:hanging="2694"/>
        <w:rPr>
          <w:rFonts w:cs="Arial"/>
          <w:szCs w:val="24"/>
        </w:rPr>
      </w:pPr>
      <w:r w:rsidRPr="00435D27">
        <w:rPr>
          <w:rFonts w:cs="Arial"/>
          <w:szCs w:val="24"/>
        </w:rPr>
        <w:tab/>
      </w:r>
      <w:r>
        <w:rPr>
          <w:rFonts w:cs="Arial"/>
          <w:szCs w:val="24"/>
        </w:rPr>
        <w:t>13 October 2021</w:t>
      </w:r>
    </w:p>
    <w:p w14:paraId="4A589178" w14:textId="77777777" w:rsidR="00B6091B" w:rsidRPr="006A1C3E" w:rsidRDefault="00B6091B" w:rsidP="00B6091B">
      <w:pPr>
        <w:ind w:left="2694" w:hanging="2694"/>
        <w:rPr>
          <w:rFonts w:cs="Arial"/>
          <w:szCs w:val="24"/>
        </w:rPr>
      </w:pPr>
    </w:p>
    <w:p w14:paraId="42D1934B" w14:textId="77777777" w:rsidR="00B6091B" w:rsidRDefault="00B6091B" w:rsidP="00B6091B">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13 May </w:t>
      </w:r>
      <w:r w:rsidRPr="006A1C3E">
        <w:rPr>
          <w:rFonts w:cs="Arial"/>
          <w:szCs w:val="24"/>
        </w:rPr>
        <w:t>202</w:t>
      </w:r>
      <w:r>
        <w:rPr>
          <w:rFonts w:cs="Arial"/>
          <w:szCs w:val="24"/>
        </w:rPr>
        <w:t>2</w:t>
      </w:r>
    </w:p>
    <w:p w14:paraId="7D0C70E5" w14:textId="77777777" w:rsidR="00B6091B" w:rsidRDefault="00B6091B" w:rsidP="00B6091B">
      <w:pPr>
        <w:shd w:val="clear" w:color="auto" w:fill="FFFFFF"/>
        <w:jc w:val="both"/>
        <w:rPr>
          <w:rFonts w:cs="Arial"/>
          <w:szCs w:val="24"/>
        </w:rPr>
      </w:pPr>
    </w:p>
    <w:p w14:paraId="6153FA6C" w14:textId="77777777" w:rsidR="00B6091B" w:rsidRDefault="00B6091B" w:rsidP="003410D3">
      <w:pPr>
        <w:shd w:val="clear" w:color="auto" w:fill="FFFFFF"/>
        <w:jc w:val="both"/>
        <w:rPr>
          <w:rFonts w:cs="Arial"/>
          <w:szCs w:val="24"/>
        </w:rPr>
      </w:pPr>
      <w:r>
        <w:rPr>
          <w:rFonts w:cs="Arial"/>
          <w:szCs w:val="24"/>
        </w:rPr>
        <w:t xml:space="preserve">Allergan Inc is the manufacturer of an injectable anti-wrinkle product, Botox, </w:t>
      </w:r>
      <w:r>
        <w:rPr>
          <w:rFonts w:cs="Arial"/>
          <w:szCs w:val="24"/>
        </w:rPr>
        <w:br/>
        <w:t xml:space="preserve">and is the owner of </w:t>
      </w:r>
      <w:proofErr w:type="gramStart"/>
      <w:r>
        <w:rPr>
          <w:rFonts w:cs="Arial"/>
          <w:szCs w:val="24"/>
        </w:rPr>
        <w:t>Trade Mark</w:t>
      </w:r>
      <w:proofErr w:type="gramEnd"/>
      <w:r>
        <w:rPr>
          <w:rFonts w:cs="Arial"/>
          <w:szCs w:val="24"/>
        </w:rPr>
        <w:t xml:space="preserve"> No 1578426 (“the TM”), which is for the wordmark BOTOX.  The TM covers various classes including class 3, which includes </w:t>
      </w:r>
      <w:r>
        <w:rPr>
          <w:rFonts w:cs="Arial"/>
          <w:szCs w:val="24"/>
        </w:rPr>
        <w:br/>
        <w:t>anti-wrinkle creams (which Allergan Inc does not produce).  Botox is administered by health care workers and is available only on prescription.  It reduces the appearance of wrinkles for approximately four months after application.</w:t>
      </w:r>
    </w:p>
    <w:p w14:paraId="6DBAFD8A" w14:textId="77777777" w:rsidR="00B6091B" w:rsidRDefault="00B6091B" w:rsidP="003410D3">
      <w:pPr>
        <w:shd w:val="clear" w:color="auto" w:fill="FFFFFF"/>
        <w:jc w:val="both"/>
        <w:rPr>
          <w:rFonts w:cs="Arial"/>
          <w:szCs w:val="24"/>
        </w:rPr>
      </w:pPr>
    </w:p>
    <w:p w14:paraId="399D7E16" w14:textId="19BEB3BF" w:rsidR="00B6091B" w:rsidRDefault="00B6091B" w:rsidP="003410D3">
      <w:pPr>
        <w:shd w:val="clear" w:color="auto" w:fill="FFFFFF"/>
        <w:jc w:val="both"/>
        <w:rPr>
          <w:rFonts w:cs="Arial"/>
          <w:szCs w:val="24"/>
        </w:rPr>
      </w:pPr>
      <w:r>
        <w:rPr>
          <w:rFonts w:cs="Arial"/>
          <w:szCs w:val="24"/>
        </w:rPr>
        <w:t xml:space="preserve">In 2017, Allergan Inc and its subsidiary Allergan Australia Pty Ltd (together, “Allergan”) commenced Federal Court proceedings against the appellants (together, “Self Care”), over the branding and marketing of skin creams in </w:t>
      </w:r>
      <w:r w:rsidR="005651FD">
        <w:rPr>
          <w:rFonts w:cs="Arial"/>
          <w:szCs w:val="24"/>
        </w:rPr>
        <w:br/>
      </w:r>
      <w:r>
        <w:rPr>
          <w:rFonts w:cs="Arial"/>
          <w:szCs w:val="24"/>
        </w:rPr>
        <w:t xml:space="preserve">Self Care’s Freezeframe range of products.  Those products included </w:t>
      </w:r>
      <w:proofErr w:type="spellStart"/>
      <w:r>
        <w:rPr>
          <w:rFonts w:cs="Arial"/>
          <w:szCs w:val="24"/>
        </w:rPr>
        <w:t>Protox</w:t>
      </w:r>
      <w:proofErr w:type="spellEnd"/>
      <w:r>
        <w:rPr>
          <w:rFonts w:cs="Arial"/>
          <w:szCs w:val="24"/>
        </w:rPr>
        <w:t xml:space="preserve"> and </w:t>
      </w:r>
      <w:proofErr w:type="spellStart"/>
      <w:r>
        <w:rPr>
          <w:rFonts w:cs="Arial"/>
          <w:szCs w:val="24"/>
        </w:rPr>
        <w:t>Inhibox</w:t>
      </w:r>
      <w:proofErr w:type="spellEnd"/>
      <w:r>
        <w:rPr>
          <w:rFonts w:cs="Arial"/>
          <w:szCs w:val="24"/>
        </w:rPr>
        <w:t xml:space="preserve">.  The phrase “instant Botox® alternative” appeared on the packaging of, and in marketing material for, </w:t>
      </w:r>
      <w:proofErr w:type="spellStart"/>
      <w:r>
        <w:rPr>
          <w:rFonts w:cs="Arial"/>
          <w:szCs w:val="24"/>
        </w:rPr>
        <w:t>Inhibox</w:t>
      </w:r>
      <w:proofErr w:type="spellEnd"/>
      <w:r>
        <w:rPr>
          <w:rFonts w:cs="Arial"/>
          <w:szCs w:val="24"/>
        </w:rPr>
        <w:t xml:space="preserve">, a product which had the effect of significantly reducing the appearance of wrinkles for some hours after application, and when applied daily over a 28-day period.  Allergan claimed infringement of the TM under s 120(1) of the </w:t>
      </w:r>
      <w:proofErr w:type="gramStart"/>
      <w:r w:rsidRPr="006F74BA">
        <w:rPr>
          <w:rFonts w:cs="Arial"/>
          <w:i/>
          <w:szCs w:val="24"/>
        </w:rPr>
        <w:t>Trade Marks</w:t>
      </w:r>
      <w:proofErr w:type="gramEnd"/>
      <w:r w:rsidRPr="006F74BA">
        <w:rPr>
          <w:rFonts w:cs="Arial"/>
          <w:i/>
          <w:szCs w:val="24"/>
        </w:rPr>
        <w:t xml:space="preserve"> Act 1995</w:t>
      </w:r>
      <w:r>
        <w:rPr>
          <w:rFonts w:cs="Arial"/>
          <w:szCs w:val="24"/>
        </w:rPr>
        <w:t xml:space="preserve"> (</w:t>
      </w:r>
      <w:proofErr w:type="spellStart"/>
      <w:r>
        <w:rPr>
          <w:rFonts w:cs="Arial"/>
          <w:szCs w:val="24"/>
        </w:rPr>
        <w:t>Cth</w:t>
      </w:r>
      <w:proofErr w:type="spellEnd"/>
      <w:r>
        <w:rPr>
          <w:rFonts w:cs="Arial"/>
          <w:szCs w:val="24"/>
        </w:rPr>
        <w:t xml:space="preserve">) (“the Act”), and also contended that </w:t>
      </w:r>
      <w:r w:rsidR="005651FD">
        <w:rPr>
          <w:rFonts w:cs="Arial"/>
          <w:szCs w:val="24"/>
        </w:rPr>
        <w:br/>
      </w:r>
      <w:r>
        <w:rPr>
          <w:rFonts w:cs="Arial"/>
          <w:szCs w:val="24"/>
        </w:rPr>
        <w:t xml:space="preserve">Self Care had made misleading or false representations in contravention of the </w:t>
      </w:r>
      <w:r w:rsidRPr="006F74BA">
        <w:rPr>
          <w:rFonts w:cs="Arial"/>
          <w:i/>
          <w:szCs w:val="24"/>
        </w:rPr>
        <w:t>Australian Consumer Law</w:t>
      </w:r>
      <w:r>
        <w:rPr>
          <w:rFonts w:cs="Arial"/>
          <w:szCs w:val="24"/>
        </w:rPr>
        <w:t xml:space="preserve"> (Schedule 2 to the </w:t>
      </w:r>
      <w:r w:rsidRPr="006F74BA">
        <w:rPr>
          <w:rFonts w:cs="Arial"/>
          <w:i/>
          <w:szCs w:val="24"/>
        </w:rPr>
        <w:t>Competition and Consumer Act 2010</w:t>
      </w:r>
      <w:r>
        <w:rPr>
          <w:rFonts w:cs="Arial"/>
          <w:szCs w:val="24"/>
        </w:rPr>
        <w:t xml:space="preserve"> (</w:t>
      </w:r>
      <w:proofErr w:type="spellStart"/>
      <w:r>
        <w:rPr>
          <w:rFonts w:cs="Arial"/>
          <w:szCs w:val="24"/>
        </w:rPr>
        <w:t>Cth</w:t>
      </w:r>
      <w:proofErr w:type="spellEnd"/>
      <w:r>
        <w:rPr>
          <w:rFonts w:cs="Arial"/>
          <w:szCs w:val="24"/>
        </w:rPr>
        <w:t>), “ACL”).</w:t>
      </w:r>
    </w:p>
    <w:p w14:paraId="69FADBA5" w14:textId="77777777" w:rsidR="00B6091B" w:rsidRDefault="00B6091B" w:rsidP="003410D3">
      <w:pPr>
        <w:shd w:val="clear" w:color="auto" w:fill="FFFFFF"/>
        <w:jc w:val="both"/>
        <w:rPr>
          <w:rFonts w:cs="Arial"/>
          <w:szCs w:val="24"/>
        </w:rPr>
      </w:pPr>
    </w:p>
    <w:p w14:paraId="57C937FC" w14:textId="0BD6CBF2" w:rsidR="00B6091B" w:rsidRDefault="00B6091B" w:rsidP="003410D3">
      <w:pPr>
        <w:shd w:val="clear" w:color="auto" w:fill="FFFFFF"/>
        <w:jc w:val="both"/>
        <w:rPr>
          <w:rFonts w:cs="Arial"/>
          <w:szCs w:val="24"/>
        </w:rPr>
      </w:pPr>
      <w:r>
        <w:rPr>
          <w:rFonts w:cs="Arial"/>
          <w:szCs w:val="24"/>
        </w:rPr>
        <w:t xml:space="preserve">On 7 December 2020, Stewart J dismissed Allergan’s claim.  His </w:t>
      </w:r>
      <w:proofErr w:type="spellStart"/>
      <w:r>
        <w:rPr>
          <w:rFonts w:cs="Arial"/>
          <w:szCs w:val="24"/>
        </w:rPr>
        <w:t>Honour</w:t>
      </w:r>
      <w:proofErr w:type="spellEnd"/>
      <w:r>
        <w:rPr>
          <w:rFonts w:cs="Arial"/>
          <w:szCs w:val="24"/>
        </w:rPr>
        <w:t xml:space="preserve"> found that the term PROTOX was intended to leverage off the fame of Botox and that it was used as a </w:t>
      </w:r>
      <w:proofErr w:type="gramStart"/>
      <w:r>
        <w:rPr>
          <w:rFonts w:cs="Arial"/>
          <w:szCs w:val="24"/>
        </w:rPr>
        <w:t>trade mark</w:t>
      </w:r>
      <w:proofErr w:type="gramEnd"/>
      <w:r>
        <w:rPr>
          <w:rFonts w:cs="Arial"/>
          <w:szCs w:val="24"/>
        </w:rPr>
        <w:t xml:space="preserve">, but held that it did not so nearly resemble BOTOX that it would likely deceive or cause confusion.  Stewart J held that the phrase </w:t>
      </w:r>
      <w:r w:rsidR="00C32B72">
        <w:rPr>
          <w:rFonts w:cs="Arial"/>
          <w:szCs w:val="24"/>
        </w:rPr>
        <w:br/>
      </w:r>
      <w:r>
        <w:rPr>
          <w:rFonts w:cs="Arial"/>
          <w:szCs w:val="24"/>
        </w:rPr>
        <w:t xml:space="preserve">“instant Botox® alternative” was not used as a </w:t>
      </w:r>
      <w:proofErr w:type="gramStart"/>
      <w:r>
        <w:rPr>
          <w:rFonts w:cs="Arial"/>
          <w:szCs w:val="24"/>
        </w:rPr>
        <w:t>trade mark</w:t>
      </w:r>
      <w:proofErr w:type="gramEnd"/>
      <w:r>
        <w:rPr>
          <w:rFonts w:cs="Arial"/>
          <w:szCs w:val="24"/>
        </w:rPr>
        <w:t xml:space="preserve">, and therefore could not infringe the TM under the Act.  His </w:t>
      </w:r>
      <w:proofErr w:type="spellStart"/>
      <w:r>
        <w:rPr>
          <w:rFonts w:cs="Arial"/>
          <w:szCs w:val="24"/>
        </w:rPr>
        <w:t>Honour</w:t>
      </w:r>
      <w:proofErr w:type="spellEnd"/>
      <w:r>
        <w:rPr>
          <w:rFonts w:cs="Arial"/>
          <w:szCs w:val="24"/>
        </w:rPr>
        <w:t xml:space="preserve"> also held that the phrase did not contravene the ACL by misleading consumers or by misrepresenting </w:t>
      </w:r>
      <w:proofErr w:type="spellStart"/>
      <w:r>
        <w:rPr>
          <w:rFonts w:cs="Arial"/>
          <w:szCs w:val="24"/>
        </w:rPr>
        <w:t>Inhibox’s</w:t>
      </w:r>
      <w:proofErr w:type="spellEnd"/>
      <w:r>
        <w:rPr>
          <w:rFonts w:cs="Arial"/>
          <w:szCs w:val="24"/>
        </w:rPr>
        <w:t xml:space="preserve"> performance or quality, as it said nothing about how long the product’s </w:t>
      </w:r>
      <w:r w:rsidR="00897B50">
        <w:rPr>
          <w:rFonts w:cs="Arial"/>
          <w:szCs w:val="24"/>
        </w:rPr>
        <w:br/>
      </w:r>
      <w:r>
        <w:rPr>
          <w:rFonts w:cs="Arial"/>
          <w:szCs w:val="24"/>
        </w:rPr>
        <w:t>wrinkle-reducing effect would last.</w:t>
      </w:r>
    </w:p>
    <w:p w14:paraId="5D759FBA" w14:textId="77777777" w:rsidR="00B6091B" w:rsidRDefault="00B6091B" w:rsidP="003410D3">
      <w:pPr>
        <w:shd w:val="clear" w:color="auto" w:fill="FFFFFF"/>
        <w:jc w:val="both"/>
        <w:rPr>
          <w:rFonts w:cs="Arial"/>
          <w:szCs w:val="24"/>
        </w:rPr>
      </w:pPr>
    </w:p>
    <w:p w14:paraId="047D92F7" w14:textId="35B06292" w:rsidR="00B6091B" w:rsidRDefault="00B6091B" w:rsidP="003410D3">
      <w:pPr>
        <w:shd w:val="clear" w:color="auto" w:fill="FFFFFF"/>
        <w:jc w:val="both"/>
        <w:rPr>
          <w:rFonts w:cs="Arial"/>
          <w:szCs w:val="24"/>
        </w:rPr>
      </w:pPr>
      <w:r>
        <w:rPr>
          <w:rFonts w:cs="Arial"/>
          <w:szCs w:val="24"/>
        </w:rPr>
        <w:t>An appeal by Allergan was unanimously allowed by the Full Court of the Federal Court (</w:t>
      </w:r>
      <w:proofErr w:type="spellStart"/>
      <w:r>
        <w:rPr>
          <w:rFonts w:cs="Arial"/>
          <w:szCs w:val="24"/>
        </w:rPr>
        <w:t>Jagot</w:t>
      </w:r>
      <w:proofErr w:type="spellEnd"/>
      <w:r>
        <w:rPr>
          <w:rFonts w:cs="Arial"/>
          <w:szCs w:val="24"/>
        </w:rPr>
        <w:t xml:space="preserve">, Lee and </w:t>
      </w:r>
      <w:proofErr w:type="spellStart"/>
      <w:r>
        <w:rPr>
          <w:rFonts w:cs="Arial"/>
          <w:szCs w:val="24"/>
        </w:rPr>
        <w:t>Thawley</w:t>
      </w:r>
      <w:proofErr w:type="spellEnd"/>
      <w:r>
        <w:rPr>
          <w:rFonts w:cs="Arial"/>
          <w:szCs w:val="24"/>
        </w:rPr>
        <w:t xml:space="preserve"> JJ).  Their </w:t>
      </w:r>
      <w:proofErr w:type="spellStart"/>
      <w:r>
        <w:rPr>
          <w:rFonts w:cs="Arial"/>
          <w:szCs w:val="24"/>
        </w:rPr>
        <w:t>Honours</w:t>
      </w:r>
      <w:proofErr w:type="spellEnd"/>
      <w:r>
        <w:rPr>
          <w:rFonts w:cs="Arial"/>
          <w:szCs w:val="24"/>
        </w:rPr>
        <w:t xml:space="preserve"> held that Stewart J had erred in considering deceptive similarity under s 120(1) of the Act by failing to address potential confusion in the minds of consumers as to the </w:t>
      </w:r>
      <w:r w:rsidRPr="009E6B42">
        <w:rPr>
          <w:rFonts w:cs="Arial"/>
          <w:i/>
          <w:szCs w:val="24"/>
        </w:rPr>
        <w:t>source</w:t>
      </w:r>
      <w:r>
        <w:rPr>
          <w:rFonts w:cs="Arial"/>
          <w:szCs w:val="24"/>
        </w:rPr>
        <w:t xml:space="preserve"> of the </w:t>
      </w:r>
      <w:proofErr w:type="spellStart"/>
      <w:r>
        <w:rPr>
          <w:rFonts w:cs="Arial"/>
          <w:szCs w:val="24"/>
        </w:rPr>
        <w:t>Protox</w:t>
      </w:r>
      <w:proofErr w:type="spellEnd"/>
      <w:r>
        <w:rPr>
          <w:rFonts w:cs="Arial"/>
          <w:szCs w:val="24"/>
        </w:rPr>
        <w:t xml:space="preserve"> and Botox products.  The Full Court held that s 120(1) was contravened because there was a real risk that consumers might wonder whether </w:t>
      </w:r>
      <w:proofErr w:type="spellStart"/>
      <w:r>
        <w:rPr>
          <w:rFonts w:cs="Arial"/>
          <w:szCs w:val="24"/>
        </w:rPr>
        <w:t>Protox</w:t>
      </w:r>
      <w:proofErr w:type="spellEnd"/>
      <w:r>
        <w:rPr>
          <w:rFonts w:cs="Arial"/>
          <w:szCs w:val="24"/>
        </w:rPr>
        <w:t xml:space="preserve"> was offered as an alternative product by those behind Botox, as the words’ similarity implied an association.  </w:t>
      </w:r>
    </w:p>
    <w:p w14:paraId="4AC249F0" w14:textId="77777777" w:rsidR="007B63D5" w:rsidRDefault="007B63D5" w:rsidP="003410D3">
      <w:pPr>
        <w:shd w:val="clear" w:color="auto" w:fill="FFFFFF"/>
        <w:jc w:val="both"/>
        <w:rPr>
          <w:rFonts w:cs="Arial"/>
          <w:szCs w:val="24"/>
        </w:rPr>
      </w:pPr>
    </w:p>
    <w:p w14:paraId="607BD2E3" w14:textId="16E07E10" w:rsidR="00B6091B" w:rsidRDefault="00B6091B" w:rsidP="003410D3">
      <w:pPr>
        <w:shd w:val="clear" w:color="auto" w:fill="FFFFFF"/>
        <w:jc w:val="both"/>
        <w:rPr>
          <w:rFonts w:cs="Arial"/>
          <w:szCs w:val="24"/>
        </w:rPr>
      </w:pPr>
      <w:r>
        <w:rPr>
          <w:rFonts w:cs="Arial"/>
          <w:szCs w:val="24"/>
        </w:rPr>
        <w:t xml:space="preserve">The Full Court held that the phrase “instant Botox® alternative” was used as a </w:t>
      </w:r>
      <w:proofErr w:type="gramStart"/>
      <w:r>
        <w:rPr>
          <w:rFonts w:cs="Arial"/>
          <w:szCs w:val="24"/>
        </w:rPr>
        <w:t>trade mark</w:t>
      </w:r>
      <w:proofErr w:type="gramEnd"/>
      <w:r>
        <w:rPr>
          <w:rFonts w:cs="Arial"/>
          <w:szCs w:val="24"/>
        </w:rPr>
        <w:t xml:space="preserve"> because, in view of its prominence on packaging and in website advertising, it was used to identify the </w:t>
      </w:r>
      <w:proofErr w:type="spellStart"/>
      <w:r>
        <w:rPr>
          <w:rFonts w:cs="Arial"/>
          <w:szCs w:val="24"/>
        </w:rPr>
        <w:t>Inhibox</w:t>
      </w:r>
      <w:proofErr w:type="spellEnd"/>
      <w:r>
        <w:rPr>
          <w:rFonts w:cs="Arial"/>
          <w:szCs w:val="24"/>
        </w:rPr>
        <w:t xml:space="preserve"> product and to distinguish it from the products of </w:t>
      </w:r>
      <w:r>
        <w:rPr>
          <w:rFonts w:cs="Arial"/>
          <w:szCs w:val="24"/>
        </w:rPr>
        <w:lastRenderedPageBreak/>
        <w:t xml:space="preserve">other traders.  Their </w:t>
      </w:r>
      <w:proofErr w:type="spellStart"/>
      <w:r>
        <w:rPr>
          <w:rFonts w:cs="Arial"/>
          <w:szCs w:val="24"/>
        </w:rPr>
        <w:t>Honours</w:t>
      </w:r>
      <w:proofErr w:type="spellEnd"/>
      <w:r>
        <w:rPr>
          <w:rFonts w:cs="Arial"/>
          <w:szCs w:val="24"/>
        </w:rPr>
        <w:t xml:space="preserve"> considered that although the word “alternative” implied that the two products were different, it did not necessarily imply that they were not associated or that they came from different sources.   Their </w:t>
      </w:r>
      <w:proofErr w:type="spellStart"/>
      <w:r>
        <w:rPr>
          <w:rFonts w:cs="Arial"/>
          <w:szCs w:val="24"/>
        </w:rPr>
        <w:t>Honours</w:t>
      </w:r>
      <w:proofErr w:type="spellEnd"/>
      <w:r>
        <w:rPr>
          <w:rFonts w:cs="Arial"/>
          <w:szCs w:val="24"/>
        </w:rPr>
        <w:t xml:space="preserve"> therefore held that s 120(1) was infringed because “instant Botox® alternative” so nearly resembled BOTOX that it would likely deceive or cause confusion.  </w:t>
      </w:r>
      <w:r w:rsidR="004F2117">
        <w:rPr>
          <w:rFonts w:cs="Arial"/>
          <w:szCs w:val="24"/>
        </w:rPr>
        <w:br/>
      </w:r>
      <w:r>
        <w:rPr>
          <w:rFonts w:cs="Arial"/>
          <w:szCs w:val="24"/>
        </w:rPr>
        <w:t>The Full Court held that Self Care could not avoid infringement by reliance on s 122(1)(b)(</w:t>
      </w:r>
      <w:proofErr w:type="spellStart"/>
      <w:r>
        <w:rPr>
          <w:rFonts w:cs="Arial"/>
          <w:szCs w:val="24"/>
        </w:rPr>
        <w:t>i</w:t>
      </w:r>
      <w:proofErr w:type="spellEnd"/>
      <w:r>
        <w:rPr>
          <w:rFonts w:cs="Arial"/>
          <w:szCs w:val="24"/>
        </w:rPr>
        <w:t xml:space="preserve">) of the Act, as the impugned phrase was not used in good faith to indicate </w:t>
      </w:r>
      <w:proofErr w:type="spellStart"/>
      <w:r>
        <w:rPr>
          <w:rFonts w:cs="Arial"/>
          <w:szCs w:val="24"/>
        </w:rPr>
        <w:t>Inhibox’s</w:t>
      </w:r>
      <w:proofErr w:type="spellEnd"/>
      <w:r>
        <w:rPr>
          <w:rFonts w:cs="Arial"/>
          <w:szCs w:val="24"/>
        </w:rPr>
        <w:t xml:space="preserve"> characteristics or intended purpose, nor by reliance on s 122(1)(d), as there was no distinguishing of Self Care’s product from Allergan’s in the manner of comparative advertising.</w:t>
      </w:r>
    </w:p>
    <w:p w14:paraId="09564169" w14:textId="77777777" w:rsidR="00B6091B" w:rsidRDefault="00B6091B" w:rsidP="003410D3">
      <w:pPr>
        <w:shd w:val="clear" w:color="auto" w:fill="FFFFFF"/>
        <w:jc w:val="both"/>
        <w:rPr>
          <w:rFonts w:cs="Arial"/>
          <w:szCs w:val="24"/>
        </w:rPr>
      </w:pPr>
    </w:p>
    <w:p w14:paraId="4D17FEAF" w14:textId="77777777" w:rsidR="00B6091B" w:rsidRDefault="00B6091B" w:rsidP="003410D3">
      <w:pPr>
        <w:shd w:val="clear" w:color="auto" w:fill="FFFFFF"/>
        <w:jc w:val="both"/>
        <w:rPr>
          <w:rFonts w:cs="Arial"/>
          <w:szCs w:val="24"/>
        </w:rPr>
      </w:pPr>
      <w:r>
        <w:rPr>
          <w:rFonts w:cs="Arial"/>
          <w:szCs w:val="24"/>
        </w:rPr>
        <w:t xml:space="preserve">The Full Court found that “instant Botox® alternative” also constituted a representation as to the efficacy of </w:t>
      </w:r>
      <w:proofErr w:type="spellStart"/>
      <w:r>
        <w:rPr>
          <w:rFonts w:cs="Arial"/>
          <w:szCs w:val="24"/>
        </w:rPr>
        <w:t>Inhibox</w:t>
      </w:r>
      <w:proofErr w:type="spellEnd"/>
      <w:r>
        <w:rPr>
          <w:rFonts w:cs="Arial"/>
          <w:szCs w:val="24"/>
        </w:rPr>
        <w:t xml:space="preserve">, as some reasonable consumers would consider that after ceasing the use of </w:t>
      </w:r>
      <w:proofErr w:type="spellStart"/>
      <w:r>
        <w:rPr>
          <w:rFonts w:cs="Arial"/>
          <w:szCs w:val="24"/>
        </w:rPr>
        <w:t>Inhibox</w:t>
      </w:r>
      <w:proofErr w:type="spellEnd"/>
      <w:r>
        <w:rPr>
          <w:rFonts w:cs="Arial"/>
          <w:szCs w:val="24"/>
        </w:rPr>
        <w:t xml:space="preserve"> they would obtain a </w:t>
      </w:r>
      <w:r>
        <w:rPr>
          <w:rFonts w:cs="Arial"/>
          <w:szCs w:val="24"/>
        </w:rPr>
        <w:br/>
        <w:t xml:space="preserve">long-lasting effect </w:t>
      </w:r>
      <w:proofErr w:type="gramStart"/>
      <w:r>
        <w:rPr>
          <w:rFonts w:cs="Arial"/>
          <w:szCs w:val="24"/>
        </w:rPr>
        <w:t>similar to</w:t>
      </w:r>
      <w:proofErr w:type="gramEnd"/>
      <w:r>
        <w:rPr>
          <w:rFonts w:cs="Arial"/>
          <w:szCs w:val="24"/>
        </w:rPr>
        <w:t xml:space="preserve"> that which was had from Botox.  Since no scientific material supported such a representation, their </w:t>
      </w:r>
      <w:proofErr w:type="spellStart"/>
      <w:r>
        <w:rPr>
          <w:rFonts w:cs="Arial"/>
          <w:szCs w:val="24"/>
        </w:rPr>
        <w:t>Honours</w:t>
      </w:r>
      <w:proofErr w:type="spellEnd"/>
      <w:r>
        <w:rPr>
          <w:rFonts w:cs="Arial"/>
          <w:szCs w:val="24"/>
        </w:rPr>
        <w:t xml:space="preserve"> found that it was not reasonably made and that it was misleading or deceptive.  The Full Court therefore held that Self Care had by its misrepresentation engaged in conduct that contravened s 18 of the ACL, and that it had also misrepresented the quality and performance characteristics of </w:t>
      </w:r>
      <w:proofErr w:type="spellStart"/>
      <w:r>
        <w:rPr>
          <w:rFonts w:cs="Arial"/>
          <w:szCs w:val="24"/>
        </w:rPr>
        <w:t>Inhibox</w:t>
      </w:r>
      <w:proofErr w:type="spellEnd"/>
      <w:r>
        <w:rPr>
          <w:rFonts w:cs="Arial"/>
          <w:szCs w:val="24"/>
        </w:rPr>
        <w:t xml:space="preserve"> in contravention of s 29 of the ACL.</w:t>
      </w:r>
    </w:p>
    <w:p w14:paraId="2C92597D" w14:textId="77777777" w:rsidR="00B6091B" w:rsidRDefault="00B6091B" w:rsidP="003410D3">
      <w:pPr>
        <w:shd w:val="clear" w:color="auto" w:fill="FFFFFF"/>
        <w:jc w:val="both"/>
        <w:rPr>
          <w:rFonts w:cs="Arial"/>
          <w:szCs w:val="24"/>
        </w:rPr>
      </w:pPr>
    </w:p>
    <w:p w14:paraId="057FE90E" w14:textId="77777777" w:rsidR="00B6091B" w:rsidRDefault="00B6091B" w:rsidP="003410D3">
      <w:pPr>
        <w:shd w:val="clear" w:color="auto" w:fill="FFFFFF"/>
        <w:spacing w:after="180"/>
        <w:jc w:val="both"/>
        <w:rPr>
          <w:rFonts w:cs="Arial"/>
          <w:szCs w:val="24"/>
        </w:rPr>
      </w:pPr>
      <w:r>
        <w:rPr>
          <w:rFonts w:cs="Arial"/>
          <w:szCs w:val="24"/>
        </w:rPr>
        <w:t>In both appeals, Self Care’s grounds of appeal</w:t>
      </w:r>
      <w:r w:rsidRPr="00B754DB">
        <w:rPr>
          <w:rFonts w:cs="Arial"/>
          <w:szCs w:val="24"/>
        </w:rPr>
        <w:t xml:space="preserve"> include:</w:t>
      </w:r>
    </w:p>
    <w:p w14:paraId="171C6CFE" w14:textId="6EF8EA87" w:rsidR="00B6091B" w:rsidRPr="00161414" w:rsidRDefault="00B6091B" w:rsidP="003410D3">
      <w:pPr>
        <w:numPr>
          <w:ilvl w:val="0"/>
          <w:numId w:val="10"/>
        </w:numPr>
        <w:autoSpaceDE w:val="0"/>
        <w:autoSpaceDN w:val="0"/>
        <w:adjustRightInd w:val="0"/>
        <w:spacing w:after="180"/>
        <w:ind w:left="425" w:hanging="425"/>
        <w:jc w:val="both"/>
        <w:rPr>
          <w:rFonts w:cs="Arial"/>
          <w:szCs w:val="24"/>
        </w:rPr>
      </w:pPr>
      <w:r w:rsidRPr="00161414">
        <w:rPr>
          <w:rFonts w:cs="Arial"/>
          <w:szCs w:val="24"/>
        </w:rPr>
        <w:t xml:space="preserve">The Full Court erred in </w:t>
      </w:r>
      <w:r>
        <w:rPr>
          <w:rFonts w:cs="Arial"/>
          <w:szCs w:val="24"/>
        </w:rPr>
        <w:t xml:space="preserve">holding that Self Care infringed the TM by using </w:t>
      </w:r>
      <w:r w:rsidR="00505433">
        <w:rPr>
          <w:rFonts w:cs="Arial"/>
          <w:szCs w:val="24"/>
        </w:rPr>
        <w:br/>
      </w:r>
      <w:r>
        <w:rPr>
          <w:rFonts w:cs="Arial"/>
          <w:szCs w:val="24"/>
        </w:rPr>
        <w:t>“instant Botox® alternative” or “</w:t>
      </w:r>
      <w:proofErr w:type="spellStart"/>
      <w:r>
        <w:rPr>
          <w:rFonts w:cs="Arial"/>
          <w:szCs w:val="24"/>
        </w:rPr>
        <w:t>Protox</w:t>
      </w:r>
      <w:proofErr w:type="spellEnd"/>
      <w:r>
        <w:rPr>
          <w:rFonts w:cs="Arial"/>
          <w:szCs w:val="24"/>
        </w:rPr>
        <w:t>”.</w:t>
      </w:r>
    </w:p>
    <w:p w14:paraId="388E1AE0" w14:textId="5E4A2CFC" w:rsidR="00B6091B" w:rsidRDefault="00B6091B" w:rsidP="003410D3">
      <w:pPr>
        <w:numPr>
          <w:ilvl w:val="0"/>
          <w:numId w:val="10"/>
        </w:numPr>
        <w:autoSpaceDE w:val="0"/>
        <w:autoSpaceDN w:val="0"/>
        <w:adjustRightInd w:val="0"/>
        <w:spacing w:after="180"/>
        <w:ind w:left="425" w:hanging="425"/>
        <w:jc w:val="both"/>
        <w:rPr>
          <w:rFonts w:cs="Arial"/>
          <w:szCs w:val="24"/>
        </w:rPr>
      </w:pPr>
      <w:r w:rsidRPr="0075722F">
        <w:rPr>
          <w:rFonts w:cs="Arial"/>
          <w:szCs w:val="24"/>
        </w:rPr>
        <w:t xml:space="preserve">The Full Court erred in holding that Self Care had used the phrase </w:t>
      </w:r>
      <w:r w:rsidR="00505433">
        <w:rPr>
          <w:rFonts w:cs="Arial"/>
          <w:szCs w:val="24"/>
        </w:rPr>
        <w:br/>
      </w:r>
      <w:r w:rsidRPr="0075722F">
        <w:rPr>
          <w:rFonts w:cs="Arial"/>
          <w:szCs w:val="24"/>
        </w:rPr>
        <w:t xml:space="preserve">“instant Botox® alternative” as a </w:t>
      </w:r>
      <w:proofErr w:type="gramStart"/>
      <w:r w:rsidRPr="0075722F">
        <w:rPr>
          <w:rFonts w:cs="Arial"/>
          <w:szCs w:val="24"/>
        </w:rPr>
        <w:t>trade mark</w:t>
      </w:r>
      <w:proofErr w:type="gramEnd"/>
      <w:r w:rsidRPr="0075722F">
        <w:rPr>
          <w:rFonts w:cs="Arial"/>
          <w:szCs w:val="24"/>
        </w:rPr>
        <w:t xml:space="preserve"> within the meaning of s 120(1) of the</w:t>
      </w:r>
      <w:r>
        <w:rPr>
          <w:rFonts w:cs="Arial"/>
          <w:szCs w:val="24"/>
        </w:rPr>
        <w:t xml:space="preserve"> Act.</w:t>
      </w:r>
    </w:p>
    <w:p w14:paraId="3EA9CB9B" w14:textId="77777777" w:rsidR="00B6091B" w:rsidRDefault="00B6091B" w:rsidP="003410D3">
      <w:pPr>
        <w:numPr>
          <w:ilvl w:val="0"/>
          <w:numId w:val="10"/>
        </w:numPr>
        <w:autoSpaceDE w:val="0"/>
        <w:autoSpaceDN w:val="0"/>
        <w:adjustRightInd w:val="0"/>
        <w:ind w:left="426" w:hanging="426"/>
        <w:jc w:val="both"/>
        <w:rPr>
          <w:rFonts w:cs="Arial"/>
          <w:szCs w:val="24"/>
        </w:rPr>
      </w:pPr>
      <w:r w:rsidRPr="0075722F">
        <w:rPr>
          <w:rFonts w:cs="Arial"/>
          <w:szCs w:val="24"/>
        </w:rPr>
        <w:t xml:space="preserve">The Full Court erred in holding that the phrase “instant Botox® alternative” </w:t>
      </w:r>
      <w:r>
        <w:rPr>
          <w:rFonts w:cs="Arial"/>
          <w:szCs w:val="24"/>
        </w:rPr>
        <w:t xml:space="preserve">as used by Self Care constituted misleading or deceptive conduct for the purposes of ss 18 and 29 </w:t>
      </w:r>
      <w:r w:rsidRPr="00C7366D">
        <w:rPr>
          <w:rFonts w:cs="Arial"/>
          <w:szCs w:val="24"/>
        </w:rPr>
        <w:t>of the ACL.</w:t>
      </w:r>
    </w:p>
    <w:p w14:paraId="12F4D70C" w14:textId="77777777" w:rsidR="00B6091B" w:rsidRPr="0075722F" w:rsidRDefault="00B6091B" w:rsidP="003410D3">
      <w:pPr>
        <w:autoSpaceDE w:val="0"/>
        <w:autoSpaceDN w:val="0"/>
        <w:adjustRightInd w:val="0"/>
        <w:jc w:val="both"/>
        <w:rPr>
          <w:rFonts w:cs="Arial"/>
          <w:szCs w:val="24"/>
        </w:rPr>
      </w:pPr>
    </w:p>
    <w:p w14:paraId="55EAA3C0" w14:textId="77777777" w:rsidR="00B6091B" w:rsidRPr="00161414" w:rsidRDefault="00B6091B" w:rsidP="003410D3">
      <w:pPr>
        <w:shd w:val="clear" w:color="auto" w:fill="FFFFFF"/>
        <w:spacing w:after="180"/>
        <w:jc w:val="both"/>
        <w:rPr>
          <w:rFonts w:cs="Arial"/>
          <w:szCs w:val="24"/>
        </w:rPr>
      </w:pPr>
      <w:r>
        <w:rPr>
          <w:rFonts w:cs="Arial"/>
          <w:szCs w:val="24"/>
        </w:rPr>
        <w:t>By a notice of contention in each appeal, Allergan raises the following grounds</w:t>
      </w:r>
      <w:r w:rsidRPr="00161414">
        <w:rPr>
          <w:rFonts w:cs="Arial"/>
          <w:szCs w:val="24"/>
        </w:rPr>
        <w:t>:</w:t>
      </w:r>
    </w:p>
    <w:p w14:paraId="2598E607" w14:textId="77777777" w:rsidR="00B6091B" w:rsidRPr="00161414" w:rsidRDefault="00B6091B" w:rsidP="003410D3">
      <w:pPr>
        <w:numPr>
          <w:ilvl w:val="0"/>
          <w:numId w:val="10"/>
        </w:numPr>
        <w:autoSpaceDE w:val="0"/>
        <w:autoSpaceDN w:val="0"/>
        <w:adjustRightInd w:val="0"/>
        <w:spacing w:after="180"/>
        <w:ind w:left="425" w:hanging="425"/>
        <w:jc w:val="both"/>
        <w:rPr>
          <w:rFonts w:cs="Arial"/>
          <w:szCs w:val="24"/>
        </w:rPr>
      </w:pPr>
      <w:r>
        <w:rPr>
          <w:rFonts w:cs="Arial"/>
          <w:szCs w:val="24"/>
        </w:rPr>
        <w:t xml:space="preserve">Having found that, in adopting the </w:t>
      </w:r>
      <w:proofErr w:type="gramStart"/>
      <w:r>
        <w:rPr>
          <w:rFonts w:cs="Arial"/>
          <w:szCs w:val="24"/>
        </w:rPr>
        <w:t>trade mark</w:t>
      </w:r>
      <w:proofErr w:type="gramEnd"/>
      <w:r>
        <w:rPr>
          <w:rFonts w:cs="Arial"/>
          <w:szCs w:val="24"/>
        </w:rPr>
        <w:t xml:space="preserve"> PROTOX, the intention was to leverage off the fame or reputation of BOTOX, the Full Court should also have held that the mark was fitted for that purpose and therefore likely to deceive or cause confusion, applying </w:t>
      </w:r>
      <w:r w:rsidRPr="00B9745C">
        <w:rPr>
          <w:rFonts w:cs="Arial"/>
          <w:i/>
          <w:szCs w:val="24"/>
        </w:rPr>
        <w:t xml:space="preserve">Australian </w:t>
      </w:r>
      <w:proofErr w:type="spellStart"/>
      <w:r w:rsidRPr="00B9745C">
        <w:rPr>
          <w:rFonts w:cs="Arial"/>
          <w:i/>
          <w:szCs w:val="24"/>
        </w:rPr>
        <w:t>Woollen</w:t>
      </w:r>
      <w:proofErr w:type="spellEnd"/>
      <w:r w:rsidRPr="00B9745C">
        <w:rPr>
          <w:rFonts w:cs="Arial"/>
          <w:i/>
          <w:szCs w:val="24"/>
        </w:rPr>
        <w:t xml:space="preserve"> Mills Ltd v F S Walton &amp; Co Ltd</w:t>
      </w:r>
      <w:r>
        <w:rPr>
          <w:rFonts w:cs="Arial"/>
          <w:szCs w:val="24"/>
        </w:rPr>
        <w:t xml:space="preserve"> (1937) 58 CLR 641 at 657</w:t>
      </w:r>
      <w:r w:rsidRPr="00161414">
        <w:rPr>
          <w:rFonts w:cs="Arial"/>
          <w:szCs w:val="24"/>
        </w:rPr>
        <w:t>.</w:t>
      </w:r>
    </w:p>
    <w:p w14:paraId="75BD55E2" w14:textId="4232258A" w:rsidR="00B6091B" w:rsidRDefault="00B6091B" w:rsidP="003410D3">
      <w:pPr>
        <w:numPr>
          <w:ilvl w:val="0"/>
          <w:numId w:val="10"/>
        </w:numPr>
        <w:autoSpaceDE w:val="0"/>
        <w:autoSpaceDN w:val="0"/>
        <w:adjustRightInd w:val="0"/>
        <w:spacing w:after="180"/>
        <w:ind w:left="425" w:hanging="425"/>
        <w:jc w:val="both"/>
        <w:rPr>
          <w:rFonts w:cs="Arial"/>
          <w:szCs w:val="24"/>
        </w:rPr>
      </w:pPr>
      <w:r>
        <w:rPr>
          <w:rFonts w:cs="Arial"/>
          <w:szCs w:val="24"/>
        </w:rPr>
        <w:t xml:space="preserve">Having found that, in adopting the </w:t>
      </w:r>
      <w:proofErr w:type="gramStart"/>
      <w:r>
        <w:rPr>
          <w:rFonts w:cs="Arial"/>
          <w:szCs w:val="24"/>
        </w:rPr>
        <w:t>trade mark</w:t>
      </w:r>
      <w:proofErr w:type="gramEnd"/>
      <w:r>
        <w:rPr>
          <w:rFonts w:cs="Arial"/>
          <w:szCs w:val="24"/>
        </w:rPr>
        <w:t xml:space="preserve"> “instant Botox® alternative”, </w:t>
      </w:r>
      <w:r w:rsidR="00505433">
        <w:rPr>
          <w:rFonts w:cs="Arial"/>
          <w:szCs w:val="24"/>
        </w:rPr>
        <w:br/>
      </w:r>
      <w:r>
        <w:rPr>
          <w:rFonts w:cs="Arial"/>
          <w:szCs w:val="24"/>
        </w:rPr>
        <w:t xml:space="preserve">the intention was to leverage off the fame or reputation of BOTOX, </w:t>
      </w:r>
      <w:r w:rsidR="00C50B4D">
        <w:rPr>
          <w:rFonts w:cs="Arial"/>
          <w:szCs w:val="24"/>
        </w:rPr>
        <w:br/>
      </w:r>
      <w:r>
        <w:rPr>
          <w:rFonts w:cs="Arial"/>
          <w:szCs w:val="24"/>
        </w:rPr>
        <w:t xml:space="preserve">the Full Court should also have held that the mark was fitted for that purpose and therefore likely to deceive or cause confusion, applying </w:t>
      </w:r>
      <w:r w:rsidRPr="00B9745C">
        <w:rPr>
          <w:rFonts w:cs="Arial"/>
          <w:i/>
          <w:szCs w:val="24"/>
        </w:rPr>
        <w:t xml:space="preserve">Australian </w:t>
      </w:r>
      <w:proofErr w:type="spellStart"/>
      <w:r w:rsidRPr="00B9745C">
        <w:rPr>
          <w:rFonts w:cs="Arial"/>
          <w:i/>
          <w:szCs w:val="24"/>
        </w:rPr>
        <w:t>Woollen</w:t>
      </w:r>
      <w:proofErr w:type="spellEnd"/>
      <w:r w:rsidRPr="00B9745C">
        <w:rPr>
          <w:rFonts w:cs="Arial"/>
          <w:i/>
          <w:szCs w:val="24"/>
        </w:rPr>
        <w:t xml:space="preserve"> Mills Ltd v F S Walton &amp; Co Ltd</w:t>
      </w:r>
      <w:r>
        <w:rPr>
          <w:rFonts w:cs="Arial"/>
          <w:szCs w:val="24"/>
        </w:rPr>
        <w:t xml:space="preserve"> (1937) 58 CLR 641 at 657</w:t>
      </w:r>
      <w:r w:rsidRPr="00161414">
        <w:rPr>
          <w:rFonts w:cs="Arial"/>
          <w:szCs w:val="24"/>
        </w:rPr>
        <w:t>.</w:t>
      </w:r>
      <w:bookmarkEnd w:id="1"/>
    </w:p>
    <w:p w14:paraId="18D6EC89" w14:textId="0D5619BC" w:rsidR="007927DB" w:rsidRDefault="007927DB">
      <w:pPr>
        <w:rPr>
          <w:rFonts w:cs="Arial"/>
          <w:szCs w:val="24"/>
        </w:rPr>
      </w:pPr>
      <w:r>
        <w:rPr>
          <w:rFonts w:cs="Arial"/>
          <w:szCs w:val="24"/>
        </w:rPr>
        <w:br w:type="page"/>
      </w:r>
    </w:p>
    <w:p w14:paraId="557E0772" w14:textId="77777777" w:rsidR="007927DB" w:rsidRPr="001537CF" w:rsidRDefault="007927DB" w:rsidP="007927DB">
      <w:pPr>
        <w:rPr>
          <w:b/>
          <w:bCs/>
          <w:sz w:val="28"/>
          <w:szCs w:val="28"/>
          <w:u w:val="single"/>
        </w:rPr>
      </w:pPr>
      <w:r w:rsidRPr="001537CF">
        <w:rPr>
          <w:b/>
          <w:bCs/>
          <w:sz w:val="28"/>
          <w:szCs w:val="28"/>
          <w:u w:val="single"/>
        </w:rPr>
        <w:lastRenderedPageBreak/>
        <w:t xml:space="preserve">BRYANT &amp; ORS </w:t>
      </w:r>
      <w:r>
        <w:rPr>
          <w:b/>
          <w:bCs/>
          <w:sz w:val="28"/>
          <w:szCs w:val="28"/>
          <w:u w:val="single"/>
        </w:rPr>
        <w:t xml:space="preserve">AS LIQUIDATORS OF GUNNS LIMITED AND AUSPINE LIMITED </w:t>
      </w:r>
      <w:r w:rsidRPr="001537CF">
        <w:rPr>
          <w:b/>
          <w:bCs/>
          <w:sz w:val="28"/>
          <w:szCs w:val="28"/>
          <w:u w:val="single"/>
        </w:rPr>
        <w:t xml:space="preserve">v BADENOCH INTEGRATED LOGGING </w:t>
      </w:r>
      <w:r>
        <w:rPr>
          <w:b/>
          <w:bCs/>
          <w:sz w:val="28"/>
          <w:szCs w:val="28"/>
          <w:u w:val="single"/>
        </w:rPr>
        <w:br/>
      </w:r>
      <w:r w:rsidRPr="001537CF">
        <w:rPr>
          <w:b/>
          <w:bCs/>
          <w:sz w:val="28"/>
          <w:szCs w:val="28"/>
          <w:u w:val="single"/>
        </w:rPr>
        <w:t>PTY LTD</w:t>
      </w:r>
      <w:r w:rsidRPr="001537CF">
        <w:rPr>
          <w:b/>
          <w:bCs/>
          <w:sz w:val="28"/>
          <w:szCs w:val="28"/>
        </w:rPr>
        <w:t xml:space="preserve"> (A10/2022)</w:t>
      </w:r>
    </w:p>
    <w:p w14:paraId="5EF086EA" w14:textId="77777777" w:rsidR="007927DB" w:rsidRPr="009E760C" w:rsidRDefault="007927DB" w:rsidP="007927DB"/>
    <w:p w14:paraId="4C74AB6E" w14:textId="77777777" w:rsidR="007927DB" w:rsidRDefault="007927DB" w:rsidP="007927DB">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Full Court of the Federal Court of Australia</w:t>
      </w:r>
    </w:p>
    <w:p w14:paraId="32E16E6F" w14:textId="77777777" w:rsidR="007927DB" w:rsidRPr="00811FCE" w:rsidRDefault="007927DB" w:rsidP="007927DB">
      <w:pPr>
        <w:ind w:left="2694"/>
        <w:rPr>
          <w:rFonts w:cs="Arial"/>
          <w:szCs w:val="24"/>
        </w:rPr>
      </w:pPr>
      <w:r w:rsidRPr="00811FCE">
        <w:rPr>
          <w:rFonts w:cs="Arial"/>
          <w:szCs w:val="24"/>
        </w:rPr>
        <w:t xml:space="preserve">[2021] </w:t>
      </w:r>
      <w:r>
        <w:rPr>
          <w:rFonts w:cs="Arial"/>
          <w:szCs w:val="24"/>
        </w:rPr>
        <w:t xml:space="preserve">FCAFC 64; </w:t>
      </w:r>
      <w:r>
        <w:rPr>
          <w:rFonts w:cs="Arial"/>
          <w:szCs w:val="24"/>
        </w:rPr>
        <w:br/>
      </w:r>
      <w:r w:rsidRPr="00811FCE">
        <w:rPr>
          <w:rFonts w:cs="Arial"/>
          <w:szCs w:val="24"/>
        </w:rPr>
        <w:t xml:space="preserve">[2021] </w:t>
      </w:r>
      <w:r>
        <w:rPr>
          <w:rFonts w:cs="Arial"/>
          <w:szCs w:val="24"/>
        </w:rPr>
        <w:t>FCAFC 111 (costs)</w:t>
      </w:r>
    </w:p>
    <w:p w14:paraId="0D565924" w14:textId="77777777" w:rsidR="007927DB" w:rsidRPr="000500FB" w:rsidRDefault="007927DB" w:rsidP="007927DB">
      <w:pPr>
        <w:ind w:left="2694" w:hanging="2694"/>
        <w:rPr>
          <w:rFonts w:cs="Arial"/>
          <w:szCs w:val="24"/>
        </w:rPr>
      </w:pPr>
    </w:p>
    <w:p w14:paraId="44A67220" w14:textId="77777777" w:rsidR="007927DB" w:rsidRDefault="007927DB" w:rsidP="007927DB">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 xml:space="preserve">10 May </w:t>
      </w:r>
      <w:proofErr w:type="gramStart"/>
      <w:r>
        <w:rPr>
          <w:rFonts w:cs="Arial"/>
          <w:szCs w:val="24"/>
        </w:rPr>
        <w:t>2021;</w:t>
      </w:r>
      <w:proofErr w:type="gramEnd"/>
    </w:p>
    <w:p w14:paraId="40750A5F" w14:textId="77777777" w:rsidR="007927DB" w:rsidRPr="000500FB" w:rsidRDefault="007927DB" w:rsidP="007927DB">
      <w:pPr>
        <w:ind w:left="2694"/>
        <w:rPr>
          <w:rFonts w:cs="Arial"/>
          <w:szCs w:val="24"/>
        </w:rPr>
      </w:pPr>
      <w:r>
        <w:rPr>
          <w:rFonts w:cs="Arial"/>
          <w:szCs w:val="24"/>
        </w:rPr>
        <w:t>24 June 2021 (costs)</w:t>
      </w:r>
    </w:p>
    <w:p w14:paraId="651BA2B2" w14:textId="77777777" w:rsidR="007927DB" w:rsidRPr="000500FB" w:rsidRDefault="007927DB" w:rsidP="007927DB">
      <w:pPr>
        <w:ind w:left="2694" w:hanging="2694"/>
        <w:rPr>
          <w:rFonts w:cs="Arial"/>
          <w:szCs w:val="24"/>
        </w:rPr>
      </w:pPr>
    </w:p>
    <w:p w14:paraId="703D6BBD" w14:textId="5A4E1F1B" w:rsidR="007927DB" w:rsidRPr="000A6346" w:rsidRDefault="007927DB" w:rsidP="007927DB">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18 March 2022</w:t>
      </w:r>
      <w:r w:rsidR="00005F2A">
        <w:rPr>
          <w:rFonts w:cs="Arial"/>
          <w:szCs w:val="24"/>
        </w:rPr>
        <w:br/>
      </w:r>
    </w:p>
    <w:p w14:paraId="7F5B3322" w14:textId="4612CCF8" w:rsidR="007927DB" w:rsidRPr="0096577E" w:rsidRDefault="00005F2A" w:rsidP="00005F2A">
      <w:pPr>
        <w:shd w:val="clear" w:color="auto" w:fill="FFFFFF"/>
        <w:spacing w:before="100" w:beforeAutospacing="1" w:after="240"/>
        <w:jc w:val="both"/>
        <w:rPr>
          <w:rFonts w:cs="Arial"/>
          <w:szCs w:val="24"/>
          <w:lang w:val="en-AU"/>
        </w:rPr>
      </w:pPr>
      <w:r>
        <w:rPr>
          <w:rFonts w:cs="Arial"/>
          <w:szCs w:val="24"/>
        </w:rPr>
        <w:t>T</w:t>
      </w:r>
      <w:r w:rsidR="007927DB" w:rsidRPr="0096577E">
        <w:rPr>
          <w:rFonts w:cs="Arial"/>
          <w:szCs w:val="24"/>
        </w:rPr>
        <w:t xml:space="preserve">he Respondent (“Badenoch”) is a family-owned business providing logging and transport services.  The Appellants (“the Liquidators”) are the liquidators of </w:t>
      </w:r>
      <w:proofErr w:type="spellStart"/>
      <w:r w:rsidR="007927DB" w:rsidRPr="0096577E">
        <w:rPr>
          <w:rFonts w:cs="Arial"/>
          <w:szCs w:val="24"/>
        </w:rPr>
        <w:t>Gunns</w:t>
      </w:r>
      <w:proofErr w:type="spellEnd"/>
      <w:r w:rsidR="007927DB" w:rsidRPr="0096577E">
        <w:rPr>
          <w:rFonts w:cs="Arial"/>
          <w:szCs w:val="24"/>
        </w:rPr>
        <w:t xml:space="preserve"> Limited (in liquidation) (receivers and managers appointed) and its wholly owned subsidiary </w:t>
      </w:r>
      <w:proofErr w:type="spellStart"/>
      <w:r w:rsidR="007927DB" w:rsidRPr="0096577E">
        <w:rPr>
          <w:rFonts w:cs="Arial"/>
          <w:szCs w:val="24"/>
        </w:rPr>
        <w:t>Auspine</w:t>
      </w:r>
      <w:proofErr w:type="spellEnd"/>
      <w:r w:rsidR="007927DB" w:rsidRPr="0096577E">
        <w:rPr>
          <w:rFonts w:cs="Arial"/>
          <w:szCs w:val="24"/>
        </w:rPr>
        <w:t xml:space="preserve"> Limited (in liquidation) (receivers and managers appointed); together, </w:t>
      </w:r>
      <w:proofErr w:type="spellStart"/>
      <w:r w:rsidR="007927DB" w:rsidRPr="0096577E">
        <w:rPr>
          <w:rFonts w:cs="Arial"/>
          <w:szCs w:val="24"/>
        </w:rPr>
        <w:t>Gunns</w:t>
      </w:r>
      <w:proofErr w:type="spellEnd"/>
      <w:r w:rsidR="007927DB" w:rsidRPr="0096577E">
        <w:rPr>
          <w:rFonts w:cs="Arial"/>
          <w:szCs w:val="24"/>
        </w:rPr>
        <w:t>.</w:t>
      </w:r>
      <w:r w:rsidR="007927DB" w:rsidRPr="0096577E">
        <w:rPr>
          <w:rFonts w:cs="Arial"/>
          <w:szCs w:val="24"/>
          <w:lang w:val="en-AU"/>
        </w:rPr>
        <w:t xml:space="preserve">  </w:t>
      </w:r>
      <w:r w:rsidR="007927DB" w:rsidRPr="0096577E">
        <w:rPr>
          <w:rFonts w:cs="Arial"/>
          <w:szCs w:val="24"/>
        </w:rPr>
        <w:t xml:space="preserve">The Liquidators were appointed as joint and several administrators of </w:t>
      </w:r>
      <w:proofErr w:type="spellStart"/>
      <w:r w:rsidR="007927DB" w:rsidRPr="0096577E">
        <w:rPr>
          <w:rFonts w:cs="Arial"/>
          <w:szCs w:val="24"/>
        </w:rPr>
        <w:t>Gunns</w:t>
      </w:r>
      <w:proofErr w:type="spellEnd"/>
      <w:r w:rsidR="007927DB" w:rsidRPr="0096577E">
        <w:rPr>
          <w:rFonts w:cs="Arial"/>
          <w:szCs w:val="24"/>
        </w:rPr>
        <w:t xml:space="preserve"> on 25 September 2012, being the applicable </w:t>
      </w:r>
      <w:r w:rsidR="007927DB" w:rsidRPr="0096577E">
        <w:rPr>
          <w:rFonts w:cs="Arial"/>
          <w:szCs w:val="24"/>
        </w:rPr>
        <w:br/>
        <w:t>‘relation-back day’ within the meaning of </w:t>
      </w:r>
      <w:r w:rsidR="007927DB" w:rsidRPr="007927DB">
        <w:rPr>
          <w:rFonts w:cs="Arial"/>
          <w:szCs w:val="24"/>
        </w:rPr>
        <w:t>s 91</w:t>
      </w:r>
      <w:r w:rsidR="007927DB" w:rsidRPr="0096577E">
        <w:rPr>
          <w:rFonts w:cs="Arial"/>
          <w:szCs w:val="24"/>
        </w:rPr>
        <w:t> of the </w:t>
      </w:r>
      <w:r w:rsidR="007927DB" w:rsidRPr="007927DB">
        <w:rPr>
          <w:rFonts w:cs="Arial"/>
          <w:i/>
          <w:iCs/>
          <w:szCs w:val="24"/>
        </w:rPr>
        <w:t>Corporations Act 2001</w:t>
      </w:r>
      <w:r w:rsidR="007927DB" w:rsidRPr="0096577E">
        <w:rPr>
          <w:rFonts w:cs="Arial"/>
          <w:szCs w:val="24"/>
        </w:rPr>
        <w:t> (</w:t>
      </w:r>
      <w:proofErr w:type="spellStart"/>
      <w:r w:rsidR="007927DB" w:rsidRPr="0096577E">
        <w:rPr>
          <w:rFonts w:cs="Arial"/>
          <w:szCs w:val="24"/>
        </w:rPr>
        <w:t>Cth</w:t>
      </w:r>
      <w:proofErr w:type="spellEnd"/>
      <w:r w:rsidR="007927DB" w:rsidRPr="0096577E">
        <w:rPr>
          <w:rFonts w:cs="Arial"/>
          <w:szCs w:val="24"/>
        </w:rPr>
        <w:t xml:space="preserve">) (“the Act”).  In proceedings brought in the Federal Court, the Liquidators alleged that 11 payments (“the impugned payments”) made by </w:t>
      </w:r>
      <w:proofErr w:type="spellStart"/>
      <w:r w:rsidR="007927DB" w:rsidRPr="0096577E">
        <w:rPr>
          <w:rFonts w:cs="Arial"/>
          <w:szCs w:val="24"/>
        </w:rPr>
        <w:t>Gunns</w:t>
      </w:r>
      <w:proofErr w:type="spellEnd"/>
      <w:r w:rsidR="007927DB" w:rsidRPr="0096577E">
        <w:rPr>
          <w:rFonts w:cs="Arial"/>
          <w:szCs w:val="24"/>
        </w:rPr>
        <w:t xml:space="preserve"> to Badenoch in the period from 26 March 2012 to 25 September 2012 (“relation-back period”) are insolvent transactions and voidable under s 588FE of the Act.  The impugned payments were made after the date of </w:t>
      </w:r>
      <w:proofErr w:type="spellStart"/>
      <w:r w:rsidR="007927DB" w:rsidRPr="0096577E">
        <w:rPr>
          <w:rFonts w:cs="Arial"/>
          <w:szCs w:val="24"/>
        </w:rPr>
        <w:t>Gunns</w:t>
      </w:r>
      <w:proofErr w:type="spellEnd"/>
      <w:r w:rsidR="007927DB" w:rsidRPr="0096577E">
        <w:rPr>
          <w:rFonts w:cs="Arial"/>
          <w:szCs w:val="24"/>
        </w:rPr>
        <w:t>’ insolvency on 30 March 2012 (“insolvency date”).</w:t>
      </w:r>
    </w:p>
    <w:p w14:paraId="68C59AC2" w14:textId="4893DD37" w:rsidR="007927DB" w:rsidRDefault="007927DB" w:rsidP="00005F2A">
      <w:pPr>
        <w:shd w:val="clear" w:color="auto" w:fill="FFFFFF"/>
        <w:spacing w:before="100" w:beforeAutospacing="1" w:after="240"/>
        <w:jc w:val="both"/>
        <w:rPr>
          <w:rFonts w:cs="Arial"/>
          <w:szCs w:val="24"/>
          <w:lang w:val="en-AU"/>
        </w:rPr>
      </w:pPr>
      <w:r w:rsidRPr="0096577E">
        <w:rPr>
          <w:rFonts w:cs="Arial"/>
          <w:szCs w:val="24"/>
          <w:shd w:val="clear" w:color="auto" w:fill="FFFFFF"/>
        </w:rPr>
        <w:t>The primary judge (Davies J) was asked to consider whether the impugned payments were unfair preferences within the meaning of s 588</w:t>
      </w:r>
      <w:proofErr w:type="gramStart"/>
      <w:r w:rsidRPr="0096577E">
        <w:rPr>
          <w:rFonts w:cs="Arial"/>
          <w:szCs w:val="24"/>
          <w:shd w:val="clear" w:color="auto" w:fill="FFFFFF"/>
        </w:rPr>
        <w:t>FA(</w:t>
      </w:r>
      <w:proofErr w:type="gramEnd"/>
      <w:r w:rsidRPr="0096577E">
        <w:rPr>
          <w:rFonts w:cs="Arial"/>
          <w:szCs w:val="24"/>
          <w:shd w:val="clear" w:color="auto" w:fill="FFFFFF"/>
        </w:rPr>
        <w:t xml:space="preserve">1) and voidable transactions within the meaning of s 588FE(2) of the Act.  It was not disputed that the payments were made in the relation-back period and at a time when </w:t>
      </w:r>
      <w:proofErr w:type="spellStart"/>
      <w:r w:rsidRPr="0096577E">
        <w:rPr>
          <w:rFonts w:cs="Arial"/>
          <w:szCs w:val="24"/>
          <w:shd w:val="clear" w:color="auto" w:fill="FFFFFF"/>
        </w:rPr>
        <w:t>Gunns</w:t>
      </w:r>
      <w:proofErr w:type="spellEnd"/>
      <w:r w:rsidRPr="0096577E">
        <w:rPr>
          <w:rFonts w:cs="Arial"/>
          <w:szCs w:val="24"/>
          <w:shd w:val="clear" w:color="auto" w:fill="FFFFFF"/>
        </w:rPr>
        <w:t xml:space="preserve"> was insolvent.  Davies J determined that only two of the impugned payments </w:t>
      </w:r>
      <w:r w:rsidR="00A2771D">
        <w:rPr>
          <w:rFonts w:cs="Arial"/>
          <w:szCs w:val="24"/>
          <w:shd w:val="clear" w:color="auto" w:fill="FFFFFF"/>
        </w:rPr>
        <w:br/>
      </w:r>
      <w:r w:rsidRPr="0096577E">
        <w:rPr>
          <w:rFonts w:cs="Arial"/>
          <w:szCs w:val="24"/>
          <w:shd w:val="clear" w:color="auto" w:fill="FFFFFF"/>
        </w:rPr>
        <w:t xml:space="preserve">(payments 3 &amp; 4) were an integral part of a continuing business relationship between </w:t>
      </w:r>
      <w:proofErr w:type="spellStart"/>
      <w:r w:rsidRPr="0096577E">
        <w:rPr>
          <w:rFonts w:cs="Arial"/>
          <w:szCs w:val="24"/>
          <w:shd w:val="clear" w:color="auto" w:fill="FFFFFF"/>
        </w:rPr>
        <w:t>Gunns</w:t>
      </w:r>
      <w:proofErr w:type="spellEnd"/>
      <w:r w:rsidRPr="0096577E">
        <w:rPr>
          <w:rFonts w:cs="Arial"/>
          <w:szCs w:val="24"/>
          <w:shd w:val="clear" w:color="auto" w:fill="FFFFFF"/>
        </w:rPr>
        <w:t xml:space="preserve"> and Badenoch for the purpose of s588</w:t>
      </w:r>
      <w:proofErr w:type="gramStart"/>
      <w:r w:rsidRPr="0096577E">
        <w:rPr>
          <w:rFonts w:cs="Arial"/>
          <w:szCs w:val="24"/>
          <w:shd w:val="clear" w:color="auto" w:fill="FFFFFF"/>
        </w:rPr>
        <w:t>FA(</w:t>
      </w:r>
      <w:proofErr w:type="gramEnd"/>
      <w:r w:rsidRPr="0096577E">
        <w:rPr>
          <w:rFonts w:cs="Arial"/>
          <w:szCs w:val="24"/>
          <w:shd w:val="clear" w:color="auto" w:fill="FFFFFF"/>
        </w:rPr>
        <w:t>3) of the Act.</w:t>
      </w:r>
      <w:r w:rsidRPr="0096577E">
        <w:rPr>
          <w:rFonts w:cs="Arial"/>
          <w:szCs w:val="24"/>
        </w:rPr>
        <w:t xml:space="preserve">  </w:t>
      </w:r>
      <w:r w:rsidR="00A2771D">
        <w:rPr>
          <w:rFonts w:cs="Arial"/>
          <w:szCs w:val="24"/>
        </w:rPr>
        <w:br/>
      </w:r>
      <w:r w:rsidRPr="0096577E">
        <w:rPr>
          <w:rFonts w:cs="Arial"/>
          <w:szCs w:val="24"/>
          <w:lang w:val="en-AU"/>
        </w:rPr>
        <w:t xml:space="preserve">After determining that there was a continuing business relationship between </w:t>
      </w:r>
      <w:proofErr w:type="spellStart"/>
      <w:r w:rsidRPr="0096577E">
        <w:rPr>
          <w:rFonts w:cs="Arial"/>
          <w:szCs w:val="24"/>
          <w:lang w:val="en-AU"/>
        </w:rPr>
        <w:t>Gunns</w:t>
      </w:r>
      <w:proofErr w:type="spellEnd"/>
      <w:r w:rsidRPr="0096577E">
        <w:rPr>
          <w:rFonts w:cs="Arial"/>
          <w:szCs w:val="24"/>
          <w:lang w:val="en-AU"/>
        </w:rPr>
        <w:t xml:space="preserve"> and Badenoch for part of the relation-back period</w:t>
      </w:r>
      <w:r>
        <w:rPr>
          <w:rFonts w:cs="Arial"/>
          <w:szCs w:val="24"/>
          <w:lang w:val="en-AU"/>
        </w:rPr>
        <w:t>,</w:t>
      </w:r>
      <w:r w:rsidRPr="0096577E">
        <w:rPr>
          <w:rFonts w:cs="Arial"/>
          <w:szCs w:val="24"/>
          <w:lang w:val="en-AU"/>
        </w:rPr>
        <w:t xml:space="preserve"> and thus that the procedure in </w:t>
      </w:r>
      <w:r w:rsidR="00A2771D">
        <w:rPr>
          <w:rFonts w:cs="Arial"/>
          <w:szCs w:val="24"/>
          <w:lang w:val="en-AU"/>
        </w:rPr>
        <w:br/>
      </w:r>
      <w:r w:rsidRPr="0096577E">
        <w:rPr>
          <w:rFonts w:cs="Arial"/>
          <w:szCs w:val="24"/>
          <w:lang w:val="en-AU"/>
        </w:rPr>
        <w:t>s 588FA(3)(c)</w:t>
      </w:r>
      <w:r>
        <w:rPr>
          <w:rFonts w:cs="Arial"/>
          <w:szCs w:val="24"/>
          <w:lang w:val="en-AU"/>
        </w:rPr>
        <w:t xml:space="preserve"> </w:t>
      </w:r>
      <w:r w:rsidRPr="0096577E">
        <w:rPr>
          <w:rFonts w:cs="Arial"/>
          <w:szCs w:val="24"/>
          <w:lang w:val="en-AU"/>
        </w:rPr>
        <w:t>-</w:t>
      </w:r>
      <w:r>
        <w:rPr>
          <w:rFonts w:cs="Arial"/>
          <w:szCs w:val="24"/>
          <w:lang w:val="en-AU"/>
        </w:rPr>
        <w:t xml:space="preserve"> </w:t>
      </w:r>
      <w:r w:rsidRPr="0096577E">
        <w:rPr>
          <w:rFonts w:cs="Arial"/>
          <w:szCs w:val="24"/>
          <w:lang w:val="en-AU"/>
        </w:rPr>
        <w:t xml:space="preserve">(d) of the Act was engaged in respect of the dealings between </w:t>
      </w:r>
      <w:proofErr w:type="spellStart"/>
      <w:r w:rsidRPr="0096577E">
        <w:rPr>
          <w:rFonts w:cs="Arial"/>
          <w:szCs w:val="24"/>
          <w:lang w:val="en-AU"/>
        </w:rPr>
        <w:t>Gunns</w:t>
      </w:r>
      <w:proofErr w:type="spellEnd"/>
      <w:r w:rsidRPr="0096577E">
        <w:rPr>
          <w:rFonts w:cs="Arial"/>
          <w:szCs w:val="24"/>
          <w:lang w:val="en-AU"/>
        </w:rPr>
        <w:t xml:space="preserve"> and Badenoch from 17 April 2012 to 30 June 2012</w:t>
      </w:r>
      <w:r>
        <w:rPr>
          <w:rFonts w:cs="Arial"/>
          <w:szCs w:val="24"/>
          <w:lang w:val="en-AU"/>
        </w:rPr>
        <w:t xml:space="preserve">, </w:t>
      </w:r>
      <w:r w:rsidRPr="0096577E">
        <w:rPr>
          <w:rFonts w:cs="Arial"/>
          <w:szCs w:val="24"/>
          <w:lang w:val="en-AU"/>
        </w:rPr>
        <w:t xml:space="preserve">her Honour next found the Liquidators were entitled to apply the peak indebtedness rule to claim that the single transaction was an unfair preference.  Her conclusion meant that the Liquidators were entitled to nominate any point in the continuing business relationship within the relation-back period as the beginning of the </w:t>
      </w:r>
      <w:r w:rsidR="00A2771D">
        <w:rPr>
          <w:rFonts w:cs="Arial"/>
          <w:szCs w:val="24"/>
          <w:lang w:val="en-AU"/>
        </w:rPr>
        <w:br/>
      </w:r>
      <w:r w:rsidRPr="0096577E">
        <w:rPr>
          <w:rFonts w:cs="Arial"/>
          <w:szCs w:val="24"/>
          <w:lang w:val="en-AU"/>
        </w:rPr>
        <w:t xml:space="preserve">“single transaction” for the purpose of s 588FA of the Act.  </w:t>
      </w:r>
      <w:r w:rsidRPr="0096577E">
        <w:rPr>
          <w:rFonts w:cs="Arial"/>
          <w:szCs w:val="24"/>
          <w:shd w:val="clear" w:color="auto" w:fill="FFFFFF"/>
        </w:rPr>
        <w:t>The primary judge found that payments 1, 2 and 5 to 11 did not form part of a continuing business relationship for the purpose of s 588</w:t>
      </w:r>
      <w:proofErr w:type="gramStart"/>
      <w:r w:rsidRPr="0096577E">
        <w:rPr>
          <w:rFonts w:cs="Arial"/>
          <w:szCs w:val="24"/>
          <w:shd w:val="clear" w:color="auto" w:fill="FFFFFF"/>
        </w:rPr>
        <w:t>FA(</w:t>
      </w:r>
      <w:proofErr w:type="gramEnd"/>
      <w:r w:rsidRPr="0096577E">
        <w:rPr>
          <w:rFonts w:cs="Arial"/>
          <w:szCs w:val="24"/>
          <w:shd w:val="clear" w:color="auto" w:fill="FFFFFF"/>
        </w:rPr>
        <w:t xml:space="preserve">3) of the Act, as these payments were made in circumstances where </w:t>
      </w:r>
      <w:proofErr w:type="spellStart"/>
      <w:r w:rsidRPr="0096577E">
        <w:rPr>
          <w:rFonts w:cs="Arial"/>
          <w:szCs w:val="24"/>
          <w:shd w:val="clear" w:color="auto" w:fill="FFFFFF"/>
        </w:rPr>
        <w:t>Gunns</w:t>
      </w:r>
      <w:proofErr w:type="spellEnd"/>
      <w:r w:rsidRPr="0096577E">
        <w:rPr>
          <w:rFonts w:cs="Arial"/>
          <w:szCs w:val="24"/>
          <w:shd w:val="clear" w:color="auto" w:fill="FFFFFF"/>
        </w:rPr>
        <w:t xml:space="preserve"> and Badenoch were “looking backwards rather than forwards; looking to the partial payment of the old debt rather than the provision of continuing services”.</w:t>
      </w:r>
      <w:r w:rsidRPr="0096577E">
        <w:rPr>
          <w:rFonts w:cs="Arial"/>
          <w:szCs w:val="24"/>
        </w:rPr>
        <w:t xml:space="preserve">  </w:t>
      </w:r>
      <w:r w:rsidRPr="0096577E">
        <w:rPr>
          <w:rFonts w:cs="Arial"/>
          <w:szCs w:val="24"/>
          <w:lang w:val="en-AU"/>
        </w:rPr>
        <w:t xml:space="preserve">Davies J found on the facts that a reasonable person in Badenoch’s circumstances would have had grounds for suspecting insolvency from March 2012 at the </w:t>
      </w:r>
      <w:proofErr w:type="gramStart"/>
      <w:r w:rsidRPr="0096577E">
        <w:rPr>
          <w:rFonts w:cs="Arial"/>
          <w:szCs w:val="24"/>
          <w:lang w:val="en-AU"/>
        </w:rPr>
        <w:t>latest</w:t>
      </w:r>
      <w:r>
        <w:rPr>
          <w:rFonts w:cs="Arial"/>
          <w:szCs w:val="24"/>
          <w:lang w:val="en-AU"/>
        </w:rPr>
        <w:t>, and</w:t>
      </w:r>
      <w:proofErr w:type="gramEnd"/>
      <w:r w:rsidRPr="0096577E">
        <w:rPr>
          <w:rFonts w:cs="Arial"/>
          <w:szCs w:val="24"/>
          <w:lang w:val="en-AU"/>
        </w:rPr>
        <w:t xml:space="preserve"> concluded that the good faith defence was not made out.  Her Honour also concluded on the facts that Badenoch was not entitled to claim the benefit of a set-off under s 553C of the Act.</w:t>
      </w:r>
    </w:p>
    <w:p w14:paraId="7FCEE49B" w14:textId="20C0C398" w:rsidR="007927DB" w:rsidRPr="0096577E" w:rsidRDefault="007927DB" w:rsidP="007927DB">
      <w:pPr>
        <w:shd w:val="clear" w:color="auto" w:fill="FFFFFF"/>
        <w:jc w:val="both"/>
        <w:rPr>
          <w:rFonts w:cs="Arial"/>
          <w:szCs w:val="24"/>
          <w:lang w:val="en-AU"/>
        </w:rPr>
      </w:pPr>
      <w:r w:rsidRPr="0096577E">
        <w:rPr>
          <w:rFonts w:cs="Arial"/>
          <w:szCs w:val="24"/>
          <w:lang w:val="en-AU"/>
        </w:rPr>
        <w:lastRenderedPageBreak/>
        <w:t>Badenoch appealed and the Liquidator</w:t>
      </w:r>
      <w:r>
        <w:rPr>
          <w:rFonts w:cs="Arial"/>
          <w:szCs w:val="24"/>
          <w:lang w:val="en-AU"/>
        </w:rPr>
        <w:t>s</w:t>
      </w:r>
      <w:r w:rsidRPr="0096577E">
        <w:rPr>
          <w:rFonts w:cs="Arial"/>
          <w:szCs w:val="24"/>
          <w:lang w:val="en-AU"/>
        </w:rPr>
        <w:t xml:space="preserve"> </w:t>
      </w:r>
      <w:proofErr w:type="gramStart"/>
      <w:r w:rsidRPr="0096577E">
        <w:rPr>
          <w:rFonts w:cs="Arial"/>
          <w:szCs w:val="24"/>
          <w:lang w:val="en-AU"/>
        </w:rPr>
        <w:t>cross-appealed</w:t>
      </w:r>
      <w:proofErr w:type="gramEnd"/>
      <w:r w:rsidRPr="0096577E">
        <w:rPr>
          <w:rFonts w:cs="Arial"/>
          <w:szCs w:val="24"/>
          <w:lang w:val="en-AU"/>
        </w:rPr>
        <w:t xml:space="preserve">.  </w:t>
      </w:r>
      <w:r w:rsidRPr="0096577E">
        <w:rPr>
          <w:rFonts w:cs="Arial"/>
          <w:szCs w:val="24"/>
        </w:rPr>
        <w:t xml:space="preserve">The Full Court disagreed with the primary judge’s conclusion that payments 1 and 2 did not form part of a continuing business relationship.  </w:t>
      </w:r>
      <w:r w:rsidRPr="0096577E">
        <w:t>The Full Court held that the continuing business relationship ended on 10 July 2012</w:t>
      </w:r>
      <w:r>
        <w:t>,</w:t>
      </w:r>
      <w:r w:rsidRPr="0096577E">
        <w:t xml:space="preserve"> and that payments 1 to 4 and all debits between 26 March 2012 and 31 July 2012 were a single transaction within the meaning of </w:t>
      </w:r>
      <w:r w:rsidR="000B5B2A">
        <w:br/>
      </w:r>
      <w:r w:rsidRPr="0096577E">
        <w:t>s 588FA(3)(c)</w:t>
      </w:r>
      <w:r>
        <w:t>,</w:t>
      </w:r>
      <w:r w:rsidRPr="0096577E">
        <w:t xml:space="preserve"> which did not constitute an unfair preference.  In reaching that decision, the Full Court held that the primary judge erred in finding that the peak indebtedness rule in </w:t>
      </w:r>
      <w:r w:rsidRPr="0096577E">
        <w:rPr>
          <w:i/>
          <w:iCs/>
        </w:rPr>
        <w:t>Rees v Bank of New South Wales</w:t>
      </w:r>
      <w:r w:rsidRPr="0096577E">
        <w:t xml:space="preserve"> (1964) 111 CLR 210 applied in Australia to claims made under s</w:t>
      </w:r>
      <w:r>
        <w:t xml:space="preserve"> </w:t>
      </w:r>
      <w:r w:rsidRPr="0096577E">
        <w:t xml:space="preserve">588FA of the Act.  The Full Court found that the change in the business relationship between Badenoch and </w:t>
      </w:r>
      <w:proofErr w:type="spellStart"/>
      <w:r w:rsidRPr="0096577E">
        <w:t>Gunns</w:t>
      </w:r>
      <w:proofErr w:type="spellEnd"/>
      <w:r w:rsidRPr="0096577E">
        <w:t xml:space="preserve"> in July 2012 terminated the continuing business relationship between them, with the result that payments 5-11 were not made as part of that relationship for the purposes of </w:t>
      </w:r>
      <w:r w:rsidR="000B5B2A">
        <w:br/>
      </w:r>
      <w:r>
        <w:t>s</w:t>
      </w:r>
      <w:r w:rsidRPr="0096577E">
        <w:t xml:space="preserve"> 588</w:t>
      </w:r>
      <w:proofErr w:type="gramStart"/>
      <w:r w:rsidRPr="0096577E">
        <w:t>FA(</w:t>
      </w:r>
      <w:proofErr w:type="gramEnd"/>
      <w:r w:rsidRPr="0096577E">
        <w:t xml:space="preserve">3).  The Full Court concluded that the ‘continuing business relationship’ </w:t>
      </w:r>
      <w:proofErr w:type="spellStart"/>
      <w:r w:rsidRPr="0096577E">
        <w:t>defence</w:t>
      </w:r>
      <w:proofErr w:type="spellEnd"/>
      <w:r w:rsidRPr="0096577E">
        <w:t xml:space="preserve"> was not available when the purpose of inducing further supply was subordinated to a predominant purpose of recovering past indebtedness.</w:t>
      </w:r>
    </w:p>
    <w:p w14:paraId="3F25103C" w14:textId="77777777" w:rsidR="007927DB" w:rsidRPr="0096577E" w:rsidRDefault="007927DB" w:rsidP="007927DB">
      <w:pPr>
        <w:jc w:val="both"/>
        <w:rPr>
          <w:rFonts w:cs="Arial"/>
          <w:szCs w:val="24"/>
        </w:rPr>
      </w:pPr>
    </w:p>
    <w:p w14:paraId="0BECA671" w14:textId="77777777" w:rsidR="007927DB" w:rsidRPr="0096577E" w:rsidRDefault="007927DB" w:rsidP="007927DB">
      <w:pPr>
        <w:jc w:val="both"/>
        <w:rPr>
          <w:rFonts w:cs="Arial"/>
          <w:szCs w:val="24"/>
        </w:rPr>
      </w:pPr>
      <w:r w:rsidRPr="0096577E">
        <w:rPr>
          <w:rFonts w:cs="Arial"/>
          <w:szCs w:val="24"/>
        </w:rPr>
        <w:t>The grounds of appeal are:</w:t>
      </w:r>
    </w:p>
    <w:p w14:paraId="10B9EBF6" w14:textId="77777777" w:rsidR="007927DB" w:rsidRPr="0096577E" w:rsidRDefault="007927DB" w:rsidP="007927DB">
      <w:pPr>
        <w:jc w:val="both"/>
        <w:rPr>
          <w:rFonts w:cs="Arial"/>
          <w:szCs w:val="24"/>
        </w:rPr>
      </w:pPr>
    </w:p>
    <w:p w14:paraId="479DE49B" w14:textId="77777777" w:rsidR="007927DB" w:rsidRPr="0096577E" w:rsidRDefault="007927DB" w:rsidP="007927DB">
      <w:pPr>
        <w:autoSpaceDE w:val="0"/>
        <w:autoSpaceDN w:val="0"/>
        <w:adjustRightInd w:val="0"/>
        <w:jc w:val="both"/>
        <w:rPr>
          <w:rFonts w:cs="Arial"/>
          <w:szCs w:val="24"/>
          <w:lang w:val="en-AU"/>
        </w:rPr>
      </w:pPr>
      <w:r w:rsidRPr="0096577E">
        <w:rPr>
          <w:rFonts w:cs="Arial"/>
          <w:szCs w:val="24"/>
          <w:lang w:val="en-AU"/>
        </w:rPr>
        <w:t>The Full Court erred in setting aside the primary judge’s finding that:</w:t>
      </w:r>
    </w:p>
    <w:p w14:paraId="0F57D68B" w14:textId="77777777" w:rsidR="007927DB" w:rsidRDefault="007927DB" w:rsidP="007927DB">
      <w:pPr>
        <w:autoSpaceDE w:val="0"/>
        <w:autoSpaceDN w:val="0"/>
        <w:adjustRightInd w:val="0"/>
        <w:jc w:val="both"/>
        <w:rPr>
          <w:rFonts w:cs="Arial"/>
          <w:szCs w:val="24"/>
          <w:lang w:val="en-AU"/>
        </w:rPr>
      </w:pPr>
    </w:p>
    <w:p w14:paraId="37CE49DE" w14:textId="722043CE" w:rsidR="007927DB" w:rsidRDefault="007927DB" w:rsidP="007927DB">
      <w:pPr>
        <w:pStyle w:val="ListParagraph"/>
        <w:numPr>
          <w:ilvl w:val="0"/>
          <w:numId w:val="14"/>
        </w:numPr>
        <w:autoSpaceDE w:val="0"/>
        <w:autoSpaceDN w:val="0"/>
        <w:adjustRightInd w:val="0"/>
        <w:rPr>
          <w:rFonts w:cs="Arial"/>
          <w:szCs w:val="24"/>
          <w:lang w:val="en-AU"/>
        </w:rPr>
      </w:pPr>
      <w:r>
        <w:rPr>
          <w:rFonts w:cs="Arial"/>
          <w:szCs w:val="24"/>
          <w:lang w:val="en-AU"/>
        </w:rPr>
        <w:t>T</w:t>
      </w:r>
      <w:r w:rsidRPr="00EC7003">
        <w:rPr>
          <w:rFonts w:cs="Arial"/>
          <w:szCs w:val="24"/>
          <w:lang w:val="en-AU"/>
        </w:rPr>
        <w:t>he appellants were entitled to choose the point of peak indebtedness during the statutory period in their endeavour to show that from that point there was a preferential payment under s</w:t>
      </w:r>
      <w:r>
        <w:rPr>
          <w:rFonts w:cs="Arial"/>
          <w:szCs w:val="24"/>
          <w:lang w:val="en-AU"/>
        </w:rPr>
        <w:t xml:space="preserve"> </w:t>
      </w:r>
      <w:r w:rsidRPr="00EC7003">
        <w:rPr>
          <w:rFonts w:cs="Arial"/>
          <w:szCs w:val="24"/>
          <w:lang w:val="en-AU"/>
        </w:rPr>
        <w:t xml:space="preserve">588FA(1) of the </w:t>
      </w:r>
      <w:r w:rsidRPr="00EC7003">
        <w:rPr>
          <w:rFonts w:cs="Arial"/>
          <w:i/>
          <w:iCs/>
          <w:szCs w:val="24"/>
          <w:lang w:val="en-AU"/>
        </w:rPr>
        <w:t xml:space="preserve">Corporations Act 2001 </w:t>
      </w:r>
      <w:r w:rsidRPr="00EC7003">
        <w:rPr>
          <w:rFonts w:cs="Arial"/>
          <w:szCs w:val="24"/>
          <w:lang w:val="en-AU"/>
        </w:rPr>
        <w:t>(</w:t>
      </w:r>
      <w:proofErr w:type="spellStart"/>
      <w:r w:rsidRPr="00EC7003">
        <w:rPr>
          <w:rFonts w:cs="Arial"/>
          <w:szCs w:val="24"/>
          <w:lang w:val="en-AU"/>
        </w:rPr>
        <w:t>Cth</w:t>
      </w:r>
      <w:proofErr w:type="spellEnd"/>
      <w:r w:rsidRPr="00EC7003">
        <w:rPr>
          <w:rFonts w:cs="Arial"/>
          <w:szCs w:val="24"/>
          <w:lang w:val="en-AU"/>
        </w:rPr>
        <w:t xml:space="preserve">) </w:t>
      </w:r>
      <w:r w:rsidRPr="00682652">
        <w:rPr>
          <w:rFonts w:cs="Arial"/>
          <w:szCs w:val="24"/>
          <w:lang w:val="en-AU"/>
        </w:rPr>
        <w:t>(peak indebtedness rule</w:t>
      </w:r>
      <w:r w:rsidRPr="00EC7003">
        <w:rPr>
          <w:rFonts w:cs="Arial"/>
          <w:szCs w:val="24"/>
          <w:lang w:val="en-AU"/>
        </w:rPr>
        <w:t>) on the basis that, by enacting s</w:t>
      </w:r>
      <w:r>
        <w:rPr>
          <w:rFonts w:cs="Arial"/>
          <w:szCs w:val="24"/>
          <w:lang w:val="en-AU"/>
        </w:rPr>
        <w:t xml:space="preserve"> </w:t>
      </w:r>
      <w:r w:rsidRPr="00EC7003">
        <w:rPr>
          <w:rFonts w:cs="Arial"/>
          <w:szCs w:val="24"/>
          <w:lang w:val="en-AU"/>
        </w:rPr>
        <w:t>588FA(3)(c) of the Act, Parliament intended to abolish the peak indebtedness rule and to allow creditors to have the benefit of earlier dealings within a continuing business relationship when determining whether there has been an unfair preference.</w:t>
      </w:r>
    </w:p>
    <w:p w14:paraId="7FF4AC66" w14:textId="77777777" w:rsidR="007927DB" w:rsidRPr="009F6731" w:rsidRDefault="007927DB" w:rsidP="007927DB">
      <w:pPr>
        <w:pStyle w:val="ListParagraph"/>
        <w:autoSpaceDE w:val="0"/>
        <w:autoSpaceDN w:val="0"/>
        <w:adjustRightInd w:val="0"/>
        <w:rPr>
          <w:rFonts w:cs="Arial"/>
          <w:szCs w:val="24"/>
          <w:lang w:val="en-AU"/>
        </w:rPr>
      </w:pPr>
    </w:p>
    <w:p w14:paraId="6886D4B1" w14:textId="1E7ECD1F" w:rsidR="007927DB" w:rsidRDefault="007927DB" w:rsidP="007927DB">
      <w:pPr>
        <w:pStyle w:val="ListParagraph"/>
        <w:numPr>
          <w:ilvl w:val="0"/>
          <w:numId w:val="14"/>
        </w:numPr>
        <w:autoSpaceDE w:val="0"/>
        <w:autoSpaceDN w:val="0"/>
        <w:adjustRightInd w:val="0"/>
        <w:rPr>
          <w:rFonts w:cs="Arial"/>
          <w:szCs w:val="24"/>
          <w:lang w:val="en-AU"/>
        </w:rPr>
      </w:pPr>
      <w:r>
        <w:rPr>
          <w:rFonts w:cs="Arial"/>
          <w:szCs w:val="24"/>
          <w:lang w:val="en-AU"/>
        </w:rPr>
        <w:t>P</w:t>
      </w:r>
      <w:r w:rsidRPr="00EC7003">
        <w:rPr>
          <w:rFonts w:cs="Arial"/>
          <w:szCs w:val="24"/>
          <w:lang w:val="en-AU"/>
        </w:rPr>
        <w:t>ayments made in March and April 2012 (payments 1 and 2) were not part of a continuing business relationship for the purposes of s</w:t>
      </w:r>
      <w:r>
        <w:rPr>
          <w:rFonts w:cs="Arial"/>
          <w:szCs w:val="24"/>
          <w:lang w:val="en-AU"/>
        </w:rPr>
        <w:t xml:space="preserve"> </w:t>
      </w:r>
      <w:r w:rsidRPr="00EC7003">
        <w:rPr>
          <w:rFonts w:cs="Arial"/>
          <w:szCs w:val="24"/>
          <w:lang w:val="en-AU"/>
        </w:rPr>
        <w:t xml:space="preserve">588FA(3) of the Act and that the continuing business relationship ended on </w:t>
      </w:r>
      <w:r>
        <w:rPr>
          <w:rFonts w:cs="Arial"/>
          <w:szCs w:val="24"/>
          <w:lang w:val="en-AU"/>
        </w:rPr>
        <w:br/>
      </w:r>
      <w:r w:rsidRPr="00EC7003">
        <w:rPr>
          <w:rFonts w:cs="Arial"/>
          <w:szCs w:val="24"/>
          <w:lang w:val="en-AU"/>
        </w:rPr>
        <w:t xml:space="preserve">30 June 2012 on the basis that the principle </w:t>
      </w:r>
      <w:r w:rsidRPr="00EC7003">
        <w:rPr>
          <w:rFonts w:cs="Arial"/>
          <w:i/>
          <w:iCs/>
          <w:szCs w:val="24"/>
          <w:lang w:val="en-AU"/>
        </w:rPr>
        <w:t xml:space="preserve">Sutherland v </w:t>
      </w:r>
      <w:proofErr w:type="spellStart"/>
      <w:r w:rsidRPr="00EC7003">
        <w:rPr>
          <w:rFonts w:cs="Arial"/>
          <w:i/>
          <w:iCs/>
          <w:szCs w:val="24"/>
          <w:lang w:val="en-AU"/>
        </w:rPr>
        <w:t>Eurolinx</w:t>
      </w:r>
      <w:proofErr w:type="spellEnd"/>
      <w:r w:rsidRPr="00EC7003">
        <w:rPr>
          <w:rFonts w:cs="Arial"/>
          <w:i/>
          <w:iCs/>
          <w:szCs w:val="24"/>
          <w:lang w:val="en-AU"/>
        </w:rPr>
        <w:t xml:space="preserve"> Pty Ltd </w:t>
      </w:r>
      <w:r w:rsidRPr="00EC7003">
        <w:rPr>
          <w:rFonts w:cs="Arial"/>
          <w:szCs w:val="24"/>
          <w:lang w:val="en-AU"/>
        </w:rPr>
        <w:t>(2001) 37 ACSR 477, 504 [148], namely, that there will be no mutual assumption of continuing business relationship where the purpose of inducing further supply is  “subordinated to a predominant purpose of recovering past indebtedness”, was to be treated with caution and by applying its own, alternative, sole purpose, test.</w:t>
      </w:r>
    </w:p>
    <w:p w14:paraId="077659EE" w14:textId="77777777" w:rsidR="00A756FB" w:rsidRPr="00A756FB" w:rsidRDefault="00A756FB" w:rsidP="00A756FB">
      <w:pPr>
        <w:pStyle w:val="ListParagraph"/>
        <w:rPr>
          <w:rFonts w:cs="Arial"/>
          <w:szCs w:val="24"/>
          <w:lang w:val="en-AU"/>
        </w:rPr>
      </w:pPr>
    </w:p>
    <w:p w14:paraId="018FDF4E" w14:textId="3B080AB8" w:rsidR="00A756FB" w:rsidRDefault="00A756FB">
      <w:pPr>
        <w:rPr>
          <w:rFonts w:cs="Arial"/>
          <w:szCs w:val="24"/>
          <w:lang w:val="en-AU"/>
        </w:rPr>
      </w:pPr>
      <w:r>
        <w:rPr>
          <w:rFonts w:cs="Arial"/>
          <w:szCs w:val="24"/>
          <w:lang w:val="en-AU"/>
        </w:rPr>
        <w:br w:type="page"/>
      </w:r>
    </w:p>
    <w:p w14:paraId="7A56093E" w14:textId="77777777" w:rsidR="006C4B27" w:rsidRPr="001452DE" w:rsidRDefault="006C4B27" w:rsidP="006C4B27">
      <w:pPr>
        <w:rPr>
          <w:b/>
          <w:bCs/>
          <w:sz w:val="28"/>
          <w:szCs w:val="28"/>
          <w:u w:val="single"/>
        </w:rPr>
      </w:pPr>
      <w:r w:rsidRPr="001452DE">
        <w:rPr>
          <w:b/>
          <w:bCs/>
          <w:sz w:val="28"/>
          <w:szCs w:val="28"/>
          <w:u w:val="single"/>
        </w:rPr>
        <w:lastRenderedPageBreak/>
        <w:t>DAVIS v MINISTER FOR IMMIGRATION, CITIZENSHIP, MIGRANT SERVICES AND MULTICULTURAL AFFAIRS &amp; ORS</w:t>
      </w:r>
      <w:r w:rsidRPr="001452DE">
        <w:rPr>
          <w:b/>
          <w:bCs/>
          <w:sz w:val="28"/>
          <w:szCs w:val="28"/>
        </w:rPr>
        <w:t xml:space="preserve"> (M32/2022</w:t>
      </w:r>
      <w:proofErr w:type="gramStart"/>
      <w:r w:rsidRPr="001452DE">
        <w:rPr>
          <w:b/>
          <w:bCs/>
          <w:sz w:val="28"/>
          <w:szCs w:val="28"/>
        </w:rPr>
        <w:t>);</w:t>
      </w:r>
      <w:proofErr w:type="gramEnd"/>
    </w:p>
    <w:p w14:paraId="51AD82EA" w14:textId="77777777" w:rsidR="006C4B27" w:rsidRPr="001452DE" w:rsidRDefault="006C4B27" w:rsidP="006C4B27">
      <w:pPr>
        <w:rPr>
          <w:b/>
          <w:bCs/>
          <w:sz w:val="28"/>
          <w:szCs w:val="28"/>
          <w:u w:val="single"/>
        </w:rPr>
      </w:pPr>
      <w:r w:rsidRPr="001452DE">
        <w:rPr>
          <w:b/>
          <w:bCs/>
          <w:sz w:val="28"/>
          <w:szCs w:val="28"/>
          <w:u w:val="single"/>
        </w:rPr>
        <w:t>DCM20 v SECRETARY OF DEPARTMENT OF HOME AFFAIRS &amp; ANOR</w:t>
      </w:r>
      <w:r w:rsidRPr="00100FBD">
        <w:rPr>
          <w:b/>
          <w:bCs/>
          <w:sz w:val="28"/>
          <w:szCs w:val="28"/>
        </w:rPr>
        <w:t xml:space="preserve"> </w:t>
      </w:r>
      <w:r w:rsidRPr="001452DE">
        <w:rPr>
          <w:b/>
          <w:bCs/>
          <w:sz w:val="28"/>
          <w:szCs w:val="28"/>
        </w:rPr>
        <w:t>(S81/2022)</w:t>
      </w:r>
    </w:p>
    <w:p w14:paraId="08841A5C" w14:textId="77777777" w:rsidR="006C4B27" w:rsidRPr="009E760C" w:rsidRDefault="006C4B27" w:rsidP="006C4B27"/>
    <w:p w14:paraId="4EF3FC9C" w14:textId="77777777" w:rsidR="006C4B27" w:rsidRDefault="006C4B27" w:rsidP="006C4B27">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Full Court of the Federal Court of Australia</w:t>
      </w:r>
    </w:p>
    <w:p w14:paraId="012EC790" w14:textId="77777777" w:rsidR="006C4B27" w:rsidRPr="00811FCE" w:rsidRDefault="006C4B27" w:rsidP="006C4B27">
      <w:pPr>
        <w:ind w:left="2694"/>
        <w:rPr>
          <w:rFonts w:cs="Arial"/>
          <w:szCs w:val="24"/>
        </w:rPr>
      </w:pPr>
      <w:r w:rsidRPr="00811FCE">
        <w:rPr>
          <w:rFonts w:cs="Arial"/>
          <w:szCs w:val="24"/>
        </w:rPr>
        <w:t xml:space="preserve">[2021] </w:t>
      </w:r>
      <w:r>
        <w:rPr>
          <w:rFonts w:cs="Arial"/>
          <w:szCs w:val="24"/>
        </w:rPr>
        <w:t xml:space="preserve">FCAFC 213 </w:t>
      </w:r>
    </w:p>
    <w:p w14:paraId="7AAA9F73" w14:textId="77777777" w:rsidR="006C4B27" w:rsidRPr="000500FB" w:rsidRDefault="006C4B27" w:rsidP="006C4B27">
      <w:pPr>
        <w:ind w:left="2694" w:hanging="2694"/>
        <w:rPr>
          <w:rFonts w:cs="Arial"/>
          <w:szCs w:val="24"/>
        </w:rPr>
      </w:pPr>
    </w:p>
    <w:p w14:paraId="7EB3EB32" w14:textId="77777777" w:rsidR="006C4B27" w:rsidRPr="000500FB" w:rsidRDefault="006C4B27" w:rsidP="006C4B27">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23 November 2021</w:t>
      </w:r>
    </w:p>
    <w:p w14:paraId="5752E29C" w14:textId="77777777" w:rsidR="006C4B27" w:rsidRPr="000500FB" w:rsidRDefault="006C4B27" w:rsidP="006C4B27">
      <w:pPr>
        <w:ind w:left="2694" w:hanging="2694"/>
        <w:rPr>
          <w:rFonts w:cs="Arial"/>
          <w:szCs w:val="24"/>
        </w:rPr>
      </w:pPr>
    </w:p>
    <w:p w14:paraId="21CC67D8" w14:textId="77777777" w:rsidR="006C4B27" w:rsidRDefault="006C4B27" w:rsidP="006C4B27">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12 May 2022</w:t>
      </w:r>
    </w:p>
    <w:p w14:paraId="39B895E5" w14:textId="77777777" w:rsidR="006C4B27" w:rsidRPr="000A6346" w:rsidRDefault="006C4B27" w:rsidP="006C4B27">
      <w:pPr>
        <w:ind w:left="2694" w:hanging="2694"/>
        <w:rPr>
          <w:rFonts w:cs="Arial"/>
          <w:szCs w:val="24"/>
        </w:rPr>
      </w:pPr>
    </w:p>
    <w:p w14:paraId="795B5684" w14:textId="14B7BF51" w:rsidR="006C4B27" w:rsidRPr="00B60574" w:rsidRDefault="006C4B27" w:rsidP="006C4B27">
      <w:pPr>
        <w:pStyle w:val="NormalWeb"/>
        <w:shd w:val="clear" w:color="auto" w:fill="FFFFFF"/>
        <w:spacing w:before="0" w:beforeAutospacing="0" w:after="180" w:afterAutospacing="0"/>
        <w:jc w:val="both"/>
        <w:rPr>
          <w:rFonts w:ascii="Arial" w:hAnsi="Arial" w:cs="Arial"/>
        </w:rPr>
      </w:pPr>
      <w:r>
        <w:rPr>
          <w:rFonts w:ascii="Arial" w:hAnsi="Arial" w:cs="Arial"/>
        </w:rPr>
        <w:t xml:space="preserve">Each of the </w:t>
      </w:r>
      <w:r w:rsidRPr="00B60574">
        <w:rPr>
          <w:rFonts w:ascii="Arial" w:hAnsi="Arial" w:cs="Arial"/>
        </w:rPr>
        <w:t>appellants, Mr Davis and DCM20</w:t>
      </w:r>
      <w:r w:rsidRPr="00B60574">
        <w:rPr>
          <w:rFonts w:ascii="Arial" w:hAnsi="Arial" w:cs="Arial"/>
          <w:b/>
          <w:bCs/>
        </w:rPr>
        <w:t xml:space="preserve">, </w:t>
      </w:r>
      <w:r>
        <w:rPr>
          <w:rFonts w:ascii="Arial" w:hAnsi="Arial" w:cs="Arial"/>
        </w:rPr>
        <w:t xml:space="preserve">is a </w:t>
      </w:r>
      <w:r w:rsidRPr="00B60574">
        <w:rPr>
          <w:rFonts w:ascii="Arial" w:hAnsi="Arial" w:cs="Arial"/>
        </w:rPr>
        <w:t xml:space="preserve">non-citizen. </w:t>
      </w:r>
      <w:r>
        <w:rPr>
          <w:rFonts w:ascii="Arial" w:hAnsi="Arial" w:cs="Arial"/>
        </w:rPr>
        <w:t xml:space="preserve"> </w:t>
      </w:r>
      <w:r w:rsidRPr="00B60574">
        <w:rPr>
          <w:rFonts w:ascii="Arial" w:hAnsi="Arial" w:cs="Arial"/>
        </w:rPr>
        <w:t>They each made an application for a visa under the </w:t>
      </w:r>
      <w:r w:rsidRPr="00B60574">
        <w:rPr>
          <w:rFonts w:ascii="Arial" w:hAnsi="Arial" w:cs="Arial"/>
          <w:i/>
          <w:iCs/>
        </w:rPr>
        <w:t>Migration </w:t>
      </w:r>
      <w:r w:rsidRPr="00ED1BE6">
        <w:rPr>
          <w:rFonts w:ascii="Arial" w:hAnsi="Arial" w:cs="Arial"/>
          <w:i/>
          <w:iCs/>
        </w:rPr>
        <w:t>Act </w:t>
      </w:r>
      <w:r w:rsidRPr="00B60574">
        <w:rPr>
          <w:rFonts w:ascii="Arial" w:hAnsi="Arial" w:cs="Arial"/>
          <w:i/>
          <w:iCs/>
        </w:rPr>
        <w:t>1958</w:t>
      </w:r>
      <w:r w:rsidRPr="00B60574">
        <w:rPr>
          <w:rFonts w:ascii="Arial" w:hAnsi="Arial" w:cs="Arial"/>
        </w:rPr>
        <w:t> (</w:t>
      </w:r>
      <w:proofErr w:type="spellStart"/>
      <w:r w:rsidRPr="00B60574">
        <w:rPr>
          <w:rFonts w:ascii="Arial" w:hAnsi="Arial" w:cs="Arial"/>
        </w:rPr>
        <w:t>Cth</w:t>
      </w:r>
      <w:proofErr w:type="spellEnd"/>
      <w:r w:rsidRPr="00B60574">
        <w:rPr>
          <w:rFonts w:ascii="Arial" w:hAnsi="Arial" w:cs="Arial"/>
        </w:rPr>
        <w:t>)</w:t>
      </w:r>
      <w:r>
        <w:rPr>
          <w:rFonts w:ascii="Arial" w:hAnsi="Arial" w:cs="Arial"/>
        </w:rPr>
        <w:t xml:space="preserve"> (“the Act”),</w:t>
      </w:r>
      <w:r w:rsidRPr="00B60574">
        <w:rPr>
          <w:rFonts w:ascii="Arial" w:hAnsi="Arial" w:cs="Arial"/>
        </w:rPr>
        <w:t xml:space="preserve"> and in each case the application was refused by a delegate exercising powers of the Minister then responsible for administering the Act. </w:t>
      </w:r>
      <w:r>
        <w:rPr>
          <w:rFonts w:ascii="Arial" w:hAnsi="Arial" w:cs="Arial"/>
        </w:rPr>
        <w:t xml:space="preserve"> </w:t>
      </w:r>
      <w:r w:rsidRPr="00B60574">
        <w:rPr>
          <w:rFonts w:ascii="Arial" w:hAnsi="Arial" w:cs="Arial"/>
        </w:rPr>
        <w:t>Those decisions were affirmed on review by the Administrative Appeals Tribunal (</w:t>
      </w:r>
      <w:r>
        <w:rPr>
          <w:rFonts w:ascii="Arial" w:hAnsi="Arial" w:cs="Arial"/>
        </w:rPr>
        <w:t>“</w:t>
      </w:r>
      <w:r w:rsidRPr="00B60574">
        <w:rPr>
          <w:rFonts w:ascii="Arial" w:hAnsi="Arial" w:cs="Arial"/>
        </w:rPr>
        <w:t>AAT</w:t>
      </w:r>
      <w:r>
        <w:rPr>
          <w:rFonts w:ascii="Arial" w:hAnsi="Arial" w:cs="Arial"/>
        </w:rPr>
        <w:t>”</w:t>
      </w:r>
      <w:r w:rsidRPr="00B60574">
        <w:rPr>
          <w:rFonts w:ascii="Arial" w:hAnsi="Arial" w:cs="Arial"/>
        </w:rPr>
        <w:t xml:space="preserve">) and the </w:t>
      </w:r>
      <w:r>
        <w:rPr>
          <w:rFonts w:ascii="Arial" w:hAnsi="Arial" w:cs="Arial"/>
        </w:rPr>
        <w:t xml:space="preserve">then </w:t>
      </w:r>
      <w:r w:rsidRPr="00B60574">
        <w:rPr>
          <w:rFonts w:ascii="Arial" w:hAnsi="Arial" w:cs="Arial"/>
        </w:rPr>
        <w:t>Migration Review Tribunal (</w:t>
      </w:r>
      <w:r>
        <w:rPr>
          <w:rFonts w:ascii="Arial" w:hAnsi="Arial" w:cs="Arial"/>
        </w:rPr>
        <w:t>“</w:t>
      </w:r>
      <w:r w:rsidRPr="00B60574">
        <w:rPr>
          <w:rFonts w:ascii="Arial" w:hAnsi="Arial" w:cs="Arial"/>
        </w:rPr>
        <w:t>MRT</w:t>
      </w:r>
      <w:r>
        <w:rPr>
          <w:rFonts w:ascii="Arial" w:hAnsi="Arial" w:cs="Arial"/>
        </w:rPr>
        <w:t>”</w:t>
      </w:r>
      <w:r w:rsidRPr="00B60574">
        <w:rPr>
          <w:rFonts w:ascii="Arial" w:hAnsi="Arial" w:cs="Arial"/>
        </w:rPr>
        <w:t>) respectivel</w:t>
      </w:r>
      <w:r>
        <w:rPr>
          <w:rFonts w:ascii="Arial" w:hAnsi="Arial" w:cs="Arial"/>
        </w:rPr>
        <w:t>y</w:t>
      </w:r>
      <w:r w:rsidRPr="00B60574">
        <w:rPr>
          <w:rFonts w:ascii="Arial" w:hAnsi="Arial" w:cs="Arial"/>
        </w:rPr>
        <w:t>.  At relevant times s351(1) of the Act provided that the Minister may substitute a more favourable decision for that made by the MRT (in the case of Mr Davis) or the AAT (in the case of DCM20)</w:t>
      </w:r>
      <w:r>
        <w:rPr>
          <w:rFonts w:ascii="Arial" w:hAnsi="Arial" w:cs="Arial"/>
        </w:rPr>
        <w:t>,</w:t>
      </w:r>
      <w:r w:rsidRPr="00B60574">
        <w:rPr>
          <w:rFonts w:ascii="Arial" w:hAnsi="Arial" w:cs="Arial"/>
        </w:rPr>
        <w:t xml:space="preserve"> if the Minister thinks it is in the public interest to do so. </w:t>
      </w:r>
      <w:r>
        <w:rPr>
          <w:rFonts w:ascii="Arial" w:hAnsi="Arial" w:cs="Arial"/>
        </w:rPr>
        <w:t xml:space="preserve"> </w:t>
      </w:r>
      <w:r w:rsidRPr="00B60574">
        <w:rPr>
          <w:rFonts w:ascii="Arial" w:hAnsi="Arial" w:cs="Arial"/>
        </w:rPr>
        <w:t>The power to intervene under s351 may only be exercised by the Minister personally</w:t>
      </w:r>
      <w:r>
        <w:rPr>
          <w:rFonts w:ascii="Arial" w:hAnsi="Arial" w:cs="Arial"/>
        </w:rPr>
        <w:t xml:space="preserve"> (</w:t>
      </w:r>
      <w:r w:rsidRPr="00B60574">
        <w:rPr>
          <w:rFonts w:ascii="Arial" w:hAnsi="Arial" w:cs="Arial"/>
        </w:rPr>
        <w:t>s351(2)</w:t>
      </w:r>
      <w:r>
        <w:rPr>
          <w:rFonts w:ascii="Arial" w:hAnsi="Arial" w:cs="Arial"/>
        </w:rPr>
        <w:t>)</w:t>
      </w:r>
      <w:r w:rsidRPr="00B60574">
        <w:rPr>
          <w:rFonts w:ascii="Arial" w:hAnsi="Arial" w:cs="Arial"/>
        </w:rPr>
        <w:t xml:space="preserve">. </w:t>
      </w:r>
      <w:r>
        <w:rPr>
          <w:rFonts w:ascii="Arial" w:hAnsi="Arial" w:cs="Arial"/>
        </w:rPr>
        <w:t xml:space="preserve"> </w:t>
      </w:r>
      <w:r w:rsidRPr="00B60574">
        <w:rPr>
          <w:rFonts w:ascii="Arial" w:hAnsi="Arial" w:cs="Arial"/>
        </w:rPr>
        <w:t xml:space="preserve">The Minister does not have a duty to consider whether to exercise the power in respect of any decision, whether he or she is requested to do so or in any other circumstances </w:t>
      </w:r>
      <w:r>
        <w:rPr>
          <w:rFonts w:ascii="Arial" w:hAnsi="Arial" w:cs="Arial"/>
        </w:rPr>
        <w:t>(</w:t>
      </w:r>
      <w:r w:rsidRPr="00B60574">
        <w:rPr>
          <w:rFonts w:ascii="Arial" w:hAnsi="Arial" w:cs="Arial"/>
        </w:rPr>
        <w:t>s351(7)</w:t>
      </w:r>
      <w:r>
        <w:rPr>
          <w:rFonts w:ascii="Arial" w:hAnsi="Arial" w:cs="Arial"/>
        </w:rPr>
        <w:t>)</w:t>
      </w:r>
      <w:r w:rsidRPr="00B60574">
        <w:rPr>
          <w:rFonts w:ascii="Arial" w:hAnsi="Arial" w:cs="Arial"/>
        </w:rPr>
        <w:t>.</w:t>
      </w:r>
      <w:r>
        <w:rPr>
          <w:rFonts w:ascii="Arial" w:hAnsi="Arial" w:cs="Arial"/>
        </w:rPr>
        <w:t xml:space="preserve"> </w:t>
      </w:r>
    </w:p>
    <w:p w14:paraId="40130E79" w14:textId="52D0D9B3" w:rsidR="006C4B27" w:rsidRPr="00B60574" w:rsidRDefault="006C4B27" w:rsidP="006C4B27">
      <w:pPr>
        <w:pStyle w:val="NormalWeb"/>
        <w:shd w:val="clear" w:color="auto" w:fill="FFFFFF"/>
        <w:spacing w:before="0" w:beforeAutospacing="0" w:after="180" w:afterAutospacing="0"/>
        <w:jc w:val="both"/>
        <w:rPr>
          <w:rFonts w:ascii="Arial" w:hAnsi="Arial" w:cs="Arial"/>
        </w:rPr>
      </w:pPr>
      <w:r w:rsidRPr="00B60574">
        <w:rPr>
          <w:rFonts w:ascii="Arial" w:hAnsi="Arial" w:cs="Arial"/>
        </w:rPr>
        <w:t xml:space="preserve">In March 2016, the Minister issued Guidelines in relation to </w:t>
      </w:r>
      <w:proofErr w:type="gramStart"/>
      <w:r w:rsidRPr="00B60574">
        <w:rPr>
          <w:rFonts w:ascii="Arial" w:hAnsi="Arial" w:cs="Arial"/>
        </w:rPr>
        <w:t>a number of</w:t>
      </w:r>
      <w:proofErr w:type="gramEnd"/>
      <w:r w:rsidRPr="00B60574">
        <w:rPr>
          <w:rFonts w:ascii="Arial" w:hAnsi="Arial" w:cs="Arial"/>
        </w:rPr>
        <w:t xml:space="preserve"> intervention powers, including that conferred by s351. </w:t>
      </w:r>
      <w:r>
        <w:rPr>
          <w:rFonts w:ascii="Arial" w:hAnsi="Arial" w:cs="Arial"/>
        </w:rPr>
        <w:t xml:space="preserve"> </w:t>
      </w:r>
      <w:r w:rsidRPr="00B60574">
        <w:rPr>
          <w:rFonts w:ascii="Arial" w:hAnsi="Arial" w:cs="Arial"/>
        </w:rPr>
        <w:t xml:space="preserve">The Guidelines are directed to officers employed within the Department. </w:t>
      </w:r>
      <w:r>
        <w:rPr>
          <w:rFonts w:ascii="Arial" w:hAnsi="Arial" w:cs="Arial"/>
        </w:rPr>
        <w:t xml:space="preserve"> </w:t>
      </w:r>
      <w:r w:rsidRPr="00B60574">
        <w:rPr>
          <w:rFonts w:ascii="Arial" w:hAnsi="Arial" w:cs="Arial"/>
        </w:rPr>
        <w:t xml:space="preserve">They define the circumstances in which requests for intervention under s351 are to be referred to the Minister for </w:t>
      </w:r>
      <w:r w:rsidR="00316F81">
        <w:rPr>
          <w:rFonts w:ascii="Arial" w:hAnsi="Arial" w:cs="Arial"/>
        </w:rPr>
        <w:br/>
      </w:r>
      <w:r w:rsidRPr="00B60574">
        <w:rPr>
          <w:rFonts w:ascii="Arial" w:hAnsi="Arial" w:cs="Arial"/>
        </w:rPr>
        <w:t xml:space="preserve">“possible consideration”. </w:t>
      </w:r>
      <w:r>
        <w:rPr>
          <w:rFonts w:ascii="Arial" w:hAnsi="Arial" w:cs="Arial"/>
        </w:rPr>
        <w:t xml:space="preserve"> </w:t>
      </w:r>
      <w:r w:rsidRPr="00B60574">
        <w:rPr>
          <w:rFonts w:ascii="Arial" w:hAnsi="Arial" w:cs="Arial"/>
        </w:rPr>
        <w:t>The appellants each made repeated requests for intervention under s351 (</w:t>
      </w:r>
      <w:r>
        <w:rPr>
          <w:rFonts w:ascii="Arial" w:hAnsi="Arial" w:cs="Arial"/>
        </w:rPr>
        <w:t>“</w:t>
      </w:r>
      <w:r w:rsidRPr="00B60574">
        <w:rPr>
          <w:rFonts w:ascii="Arial" w:hAnsi="Arial" w:cs="Arial"/>
        </w:rPr>
        <w:t>intervention requests</w:t>
      </w:r>
      <w:r>
        <w:rPr>
          <w:rFonts w:ascii="Arial" w:hAnsi="Arial" w:cs="Arial"/>
        </w:rPr>
        <w:t>”</w:t>
      </w:r>
      <w:r w:rsidRPr="00B60574">
        <w:rPr>
          <w:rFonts w:ascii="Arial" w:hAnsi="Arial" w:cs="Arial"/>
        </w:rPr>
        <w:t xml:space="preserve">). </w:t>
      </w:r>
      <w:r>
        <w:rPr>
          <w:rFonts w:ascii="Arial" w:hAnsi="Arial" w:cs="Arial"/>
        </w:rPr>
        <w:t xml:space="preserve"> </w:t>
      </w:r>
      <w:r w:rsidRPr="00B60574">
        <w:rPr>
          <w:rFonts w:ascii="Arial" w:hAnsi="Arial" w:cs="Arial"/>
        </w:rPr>
        <w:t xml:space="preserve">The identity of the persons who assessed the </w:t>
      </w:r>
      <w:r>
        <w:rPr>
          <w:rFonts w:ascii="Arial" w:hAnsi="Arial" w:cs="Arial"/>
        </w:rPr>
        <w:t xml:space="preserve">intervention </w:t>
      </w:r>
      <w:r w:rsidRPr="00B60574">
        <w:rPr>
          <w:rFonts w:ascii="Arial" w:hAnsi="Arial" w:cs="Arial"/>
        </w:rPr>
        <w:t>requests differs in each case (</w:t>
      </w:r>
      <w:r>
        <w:rPr>
          <w:rFonts w:ascii="Arial" w:hAnsi="Arial" w:cs="Arial"/>
        </w:rPr>
        <w:t>“</w:t>
      </w:r>
      <w:r w:rsidRPr="00B60574">
        <w:rPr>
          <w:rFonts w:ascii="Arial" w:hAnsi="Arial" w:cs="Arial"/>
        </w:rPr>
        <w:t>Departmental officers</w:t>
      </w:r>
      <w:r>
        <w:rPr>
          <w:rFonts w:ascii="Arial" w:hAnsi="Arial" w:cs="Arial"/>
        </w:rPr>
        <w:t>”</w:t>
      </w:r>
      <w:r w:rsidRPr="00B60574">
        <w:rPr>
          <w:rFonts w:ascii="Arial" w:hAnsi="Arial" w:cs="Arial"/>
        </w:rPr>
        <w:t xml:space="preserve">). </w:t>
      </w:r>
      <w:r>
        <w:rPr>
          <w:rFonts w:ascii="Arial" w:hAnsi="Arial" w:cs="Arial"/>
        </w:rPr>
        <w:t xml:space="preserve"> </w:t>
      </w:r>
      <w:r w:rsidR="007B1AF2">
        <w:rPr>
          <w:rFonts w:ascii="Arial" w:hAnsi="Arial" w:cs="Arial"/>
        </w:rPr>
        <w:br/>
      </w:r>
      <w:r w:rsidRPr="00B60574">
        <w:rPr>
          <w:rFonts w:ascii="Arial" w:hAnsi="Arial" w:cs="Arial"/>
        </w:rPr>
        <w:t>The Departmental officers did not refer the intervention requests to the Minister because, in their respective assessments, the requests did not fulfil the conditions for referral as set out in the Guidelines</w:t>
      </w:r>
      <w:r>
        <w:rPr>
          <w:rFonts w:ascii="Arial" w:hAnsi="Arial" w:cs="Arial"/>
        </w:rPr>
        <w:t xml:space="preserve"> (“the Decision”)</w:t>
      </w:r>
      <w:r w:rsidRPr="00B60574">
        <w:rPr>
          <w:rFonts w:ascii="Arial" w:hAnsi="Arial" w:cs="Arial"/>
        </w:rPr>
        <w:t>.</w:t>
      </w:r>
      <w:r w:rsidR="00000772">
        <w:rPr>
          <w:rFonts w:ascii="Arial" w:hAnsi="Arial" w:cs="Arial"/>
        </w:rPr>
        <w:t xml:space="preserve"> </w:t>
      </w:r>
    </w:p>
    <w:p w14:paraId="60B593E2" w14:textId="3F2159F6" w:rsidR="006C4B27" w:rsidRDefault="006C4B27" w:rsidP="006C4B27">
      <w:pPr>
        <w:pStyle w:val="NormalWeb"/>
        <w:shd w:val="clear" w:color="auto" w:fill="FFFFFF"/>
        <w:spacing w:before="0" w:beforeAutospacing="0" w:after="180" w:afterAutospacing="0"/>
        <w:jc w:val="both"/>
        <w:rPr>
          <w:rFonts w:ascii="Arial" w:hAnsi="Arial" w:cs="Arial"/>
        </w:rPr>
      </w:pPr>
      <w:r w:rsidRPr="00B60574">
        <w:rPr>
          <w:rFonts w:ascii="Arial" w:hAnsi="Arial" w:cs="Arial"/>
        </w:rPr>
        <w:t>The appellants each applied to the Federal Court for relief under </w:t>
      </w:r>
      <w:r w:rsidRPr="006C4B27">
        <w:rPr>
          <w:rFonts w:ascii="Arial" w:hAnsi="Arial" w:cs="Arial"/>
        </w:rPr>
        <w:t>s 39</w:t>
      </w:r>
      <w:proofErr w:type="gramStart"/>
      <w:r w:rsidRPr="006C4B27">
        <w:rPr>
          <w:rFonts w:ascii="Arial" w:hAnsi="Arial" w:cs="Arial"/>
        </w:rPr>
        <w:t>B(</w:t>
      </w:r>
      <w:proofErr w:type="gramEnd"/>
      <w:r w:rsidRPr="006C4B27">
        <w:rPr>
          <w:rFonts w:ascii="Arial" w:hAnsi="Arial" w:cs="Arial"/>
        </w:rPr>
        <w:t>1)</w:t>
      </w:r>
      <w:r w:rsidRPr="00ED1BE6">
        <w:rPr>
          <w:rFonts w:ascii="Arial" w:hAnsi="Arial" w:cs="Arial"/>
        </w:rPr>
        <w:t xml:space="preserve"> of </w:t>
      </w:r>
      <w:r w:rsidRPr="00B60574">
        <w:rPr>
          <w:rFonts w:ascii="Arial" w:hAnsi="Arial" w:cs="Arial"/>
        </w:rPr>
        <w:t>the </w:t>
      </w:r>
      <w:r w:rsidRPr="006C4B27">
        <w:rPr>
          <w:rFonts w:ascii="Arial" w:hAnsi="Arial" w:cs="Arial"/>
          <w:i/>
          <w:iCs/>
        </w:rPr>
        <w:t>Judiciary Act 1903</w:t>
      </w:r>
      <w:r w:rsidRPr="00B60574">
        <w:rPr>
          <w:rFonts w:ascii="Arial" w:hAnsi="Arial" w:cs="Arial"/>
        </w:rPr>
        <w:t> (</w:t>
      </w:r>
      <w:proofErr w:type="spellStart"/>
      <w:r w:rsidRPr="00B60574">
        <w:rPr>
          <w:rFonts w:ascii="Arial" w:hAnsi="Arial" w:cs="Arial"/>
        </w:rPr>
        <w:t>Cth</w:t>
      </w:r>
      <w:proofErr w:type="spellEnd"/>
      <w:r w:rsidRPr="00B60574">
        <w:rPr>
          <w:rFonts w:ascii="Arial" w:hAnsi="Arial" w:cs="Arial"/>
        </w:rPr>
        <w:t xml:space="preserve">). </w:t>
      </w:r>
      <w:r>
        <w:rPr>
          <w:rFonts w:ascii="Arial" w:hAnsi="Arial" w:cs="Arial"/>
        </w:rPr>
        <w:t xml:space="preserve"> </w:t>
      </w:r>
      <w:r w:rsidRPr="00B60574">
        <w:rPr>
          <w:rFonts w:ascii="Arial" w:hAnsi="Arial" w:cs="Arial"/>
        </w:rPr>
        <w:t>Among other things, they argued that the</w:t>
      </w:r>
      <w:r w:rsidR="00753743">
        <w:rPr>
          <w:rFonts w:ascii="Arial" w:hAnsi="Arial" w:cs="Arial"/>
        </w:rPr>
        <w:t xml:space="preserve"> </w:t>
      </w:r>
      <w:r w:rsidRPr="00B60574">
        <w:rPr>
          <w:rFonts w:ascii="Arial" w:hAnsi="Arial" w:cs="Arial"/>
        </w:rPr>
        <w:t xml:space="preserve">assessments were amenable to judicial review on the ground of legal unreasonableness. </w:t>
      </w:r>
      <w:r>
        <w:rPr>
          <w:rFonts w:ascii="Arial" w:hAnsi="Arial" w:cs="Arial"/>
        </w:rPr>
        <w:t xml:space="preserve"> </w:t>
      </w:r>
      <w:r w:rsidRPr="00B60574">
        <w:rPr>
          <w:rFonts w:ascii="Arial" w:hAnsi="Arial" w:cs="Arial"/>
        </w:rPr>
        <w:t xml:space="preserve">As to the availability of judicial review on that ground, </w:t>
      </w:r>
      <w:r w:rsidR="00650677">
        <w:rPr>
          <w:rFonts w:ascii="Arial" w:hAnsi="Arial" w:cs="Arial"/>
        </w:rPr>
        <w:br/>
      </w:r>
      <w:r w:rsidRPr="00B60574">
        <w:rPr>
          <w:rFonts w:ascii="Arial" w:hAnsi="Arial" w:cs="Arial"/>
        </w:rPr>
        <w:t>the appellants relied on the judgment of Robertson J in </w:t>
      </w:r>
      <w:proofErr w:type="spellStart"/>
      <w:r w:rsidRPr="00DC25D1">
        <w:rPr>
          <w:rFonts w:ascii="Arial" w:hAnsi="Arial" w:cs="Arial"/>
          <w:i/>
          <w:iCs/>
        </w:rPr>
        <w:t>Jabbour</w:t>
      </w:r>
      <w:proofErr w:type="spellEnd"/>
      <w:r w:rsidRPr="00B60574">
        <w:rPr>
          <w:rFonts w:ascii="Arial" w:hAnsi="Arial" w:cs="Arial"/>
          <w:i/>
          <w:iCs/>
        </w:rPr>
        <w:t> v Secretary, Department of Home Affairs</w:t>
      </w:r>
      <w:r w:rsidRPr="00F64168">
        <w:rPr>
          <w:rFonts w:ascii="Arial" w:hAnsi="Arial" w:cs="Arial"/>
        </w:rPr>
        <w:t> </w:t>
      </w:r>
      <w:r w:rsidRPr="006C4B27">
        <w:rPr>
          <w:rFonts w:ascii="Arial" w:hAnsi="Arial" w:cs="Arial"/>
        </w:rPr>
        <w:t>[2019] FCA 452</w:t>
      </w:r>
      <w:r w:rsidRPr="006C4B27">
        <w:rPr>
          <w:rStyle w:val="Hyperlink"/>
          <w:rFonts w:ascii="Arial" w:hAnsi="Arial" w:cs="Arial"/>
          <w:color w:val="auto"/>
          <w:u w:val="none"/>
        </w:rPr>
        <w:t xml:space="preserve"> </w:t>
      </w:r>
      <w:r w:rsidRPr="006C4B27">
        <w:rPr>
          <w:rStyle w:val="Hyperlink"/>
          <w:rFonts w:ascii="Arial" w:hAnsi="Arial" w:cs="Arial"/>
          <w:i/>
          <w:iCs/>
          <w:color w:val="auto"/>
          <w:u w:val="none"/>
        </w:rPr>
        <w:t>(“</w:t>
      </w:r>
      <w:proofErr w:type="spellStart"/>
      <w:r w:rsidRPr="006C4B27">
        <w:rPr>
          <w:rStyle w:val="Hyperlink"/>
          <w:rFonts w:ascii="Arial" w:hAnsi="Arial" w:cs="Arial"/>
          <w:i/>
          <w:iCs/>
          <w:color w:val="auto"/>
          <w:u w:val="none"/>
        </w:rPr>
        <w:t>Jabbour</w:t>
      </w:r>
      <w:proofErr w:type="spellEnd"/>
      <w:r w:rsidRPr="006C4B27">
        <w:rPr>
          <w:rStyle w:val="Hyperlink"/>
          <w:rFonts w:ascii="Arial" w:hAnsi="Arial" w:cs="Arial"/>
          <w:i/>
          <w:iCs/>
          <w:color w:val="auto"/>
          <w:u w:val="none"/>
        </w:rPr>
        <w:t>”)</w:t>
      </w:r>
      <w:r w:rsidRPr="006C4B27">
        <w:rPr>
          <w:rFonts w:ascii="Arial" w:hAnsi="Arial" w:cs="Arial"/>
          <w:i/>
          <w:iCs/>
        </w:rPr>
        <w:t>.</w:t>
      </w:r>
      <w:r w:rsidRPr="006C4B27">
        <w:rPr>
          <w:rFonts w:ascii="Arial" w:hAnsi="Arial" w:cs="Arial"/>
        </w:rPr>
        <w:t xml:space="preserve">  </w:t>
      </w:r>
      <w:r w:rsidRPr="00B60574">
        <w:rPr>
          <w:rFonts w:ascii="Arial" w:hAnsi="Arial" w:cs="Arial"/>
        </w:rPr>
        <w:t>The respondents contended that </w:t>
      </w:r>
      <w:proofErr w:type="spellStart"/>
      <w:r w:rsidRPr="00B60574">
        <w:rPr>
          <w:rFonts w:ascii="Arial" w:hAnsi="Arial" w:cs="Arial"/>
          <w:i/>
          <w:iCs/>
        </w:rPr>
        <w:t>Jabbour</w:t>
      </w:r>
      <w:proofErr w:type="spellEnd"/>
      <w:r w:rsidRPr="00B60574">
        <w:rPr>
          <w:rFonts w:ascii="Arial" w:hAnsi="Arial" w:cs="Arial"/>
          <w:i/>
          <w:iCs/>
        </w:rPr>
        <w:t> </w:t>
      </w:r>
      <w:r w:rsidRPr="00B60574">
        <w:rPr>
          <w:rFonts w:ascii="Arial" w:hAnsi="Arial" w:cs="Arial"/>
        </w:rPr>
        <w:t xml:space="preserve">had been wrongly </w:t>
      </w:r>
      <w:proofErr w:type="gramStart"/>
      <w:r w:rsidRPr="00B60574">
        <w:rPr>
          <w:rFonts w:ascii="Arial" w:hAnsi="Arial" w:cs="Arial"/>
        </w:rPr>
        <w:t>decided, but</w:t>
      </w:r>
      <w:proofErr w:type="gramEnd"/>
      <w:r w:rsidRPr="00B60574">
        <w:rPr>
          <w:rFonts w:ascii="Arial" w:hAnsi="Arial" w:cs="Arial"/>
        </w:rPr>
        <w:t xml:space="preserve"> acknowledged that the decision should be followed by another single judge of the Court, unless shown to be plainly wrong. </w:t>
      </w:r>
      <w:r>
        <w:rPr>
          <w:rFonts w:ascii="Arial" w:hAnsi="Arial" w:cs="Arial"/>
        </w:rPr>
        <w:t xml:space="preserve"> </w:t>
      </w:r>
      <w:r w:rsidRPr="00B60574">
        <w:rPr>
          <w:rFonts w:ascii="Arial" w:hAnsi="Arial" w:cs="Arial"/>
        </w:rPr>
        <w:t xml:space="preserve">The primary judge in each case proceeded from the premise that the assessments were amenable to </w:t>
      </w:r>
      <w:proofErr w:type="gramStart"/>
      <w:r w:rsidRPr="00B60574">
        <w:rPr>
          <w:rFonts w:ascii="Arial" w:hAnsi="Arial" w:cs="Arial"/>
        </w:rPr>
        <w:t>review, but</w:t>
      </w:r>
      <w:proofErr w:type="gramEnd"/>
      <w:r w:rsidRPr="00B60574">
        <w:rPr>
          <w:rFonts w:ascii="Arial" w:hAnsi="Arial" w:cs="Arial"/>
        </w:rPr>
        <w:t xml:space="preserve"> dismissed the applications on the basis that legal unreasonableness had not been established in the particular case. </w:t>
      </w:r>
    </w:p>
    <w:p w14:paraId="30F734AC" w14:textId="06CF4BAF" w:rsidR="006C4B27" w:rsidRDefault="006C4B27" w:rsidP="006C4B27">
      <w:pPr>
        <w:pStyle w:val="NormalWeb"/>
        <w:shd w:val="clear" w:color="auto" w:fill="FFFFFF"/>
        <w:spacing w:before="0" w:beforeAutospacing="0" w:after="180" w:afterAutospacing="0"/>
        <w:jc w:val="both"/>
        <w:rPr>
          <w:rFonts w:ascii="Arial" w:hAnsi="Arial" w:cs="Arial"/>
        </w:rPr>
      </w:pPr>
      <w:r w:rsidRPr="00B60574">
        <w:rPr>
          <w:rFonts w:ascii="Arial" w:hAnsi="Arial" w:cs="Arial"/>
        </w:rPr>
        <w:t>The appellants each appealed to the Full Court, where the appeals were heard togethe</w:t>
      </w:r>
      <w:r>
        <w:rPr>
          <w:rFonts w:ascii="Arial" w:hAnsi="Arial" w:cs="Arial"/>
        </w:rPr>
        <w:t>r, as t</w:t>
      </w:r>
      <w:r w:rsidRPr="00ED1BE6">
        <w:rPr>
          <w:rFonts w:ascii="Arial" w:hAnsi="Arial" w:cs="Arial"/>
        </w:rPr>
        <w:t>he proceedings raised common issues concerning the availability and ambit of judicial review</w:t>
      </w:r>
      <w:r>
        <w:rPr>
          <w:rFonts w:ascii="Arial" w:hAnsi="Arial" w:cs="Arial"/>
        </w:rPr>
        <w:t>,</w:t>
      </w:r>
      <w:r w:rsidRPr="00ED1BE6">
        <w:rPr>
          <w:rFonts w:ascii="Arial" w:hAnsi="Arial" w:cs="Arial"/>
        </w:rPr>
        <w:t xml:space="preserve"> including the utility of the remedies sought and</w:t>
      </w:r>
      <w:r w:rsidRPr="00ED1BE6">
        <w:rPr>
          <w:rFonts w:ascii="Arial" w:hAnsi="Arial" w:cs="Arial"/>
          <w:b/>
          <w:bCs/>
        </w:rPr>
        <w:t xml:space="preserve"> </w:t>
      </w:r>
      <w:r w:rsidRPr="00ED1BE6">
        <w:rPr>
          <w:rFonts w:ascii="Arial" w:hAnsi="Arial" w:cs="Arial"/>
        </w:rPr>
        <w:t>discrete issues concerning the application of principle to the facts of each case.</w:t>
      </w:r>
    </w:p>
    <w:p w14:paraId="5997200F" w14:textId="77777777" w:rsidR="009C78A4" w:rsidRPr="00ED1BE6" w:rsidRDefault="009C78A4" w:rsidP="006C4B27">
      <w:pPr>
        <w:pStyle w:val="NormalWeb"/>
        <w:shd w:val="clear" w:color="auto" w:fill="FFFFFF"/>
        <w:spacing w:before="0" w:beforeAutospacing="0" w:after="180" w:afterAutospacing="0"/>
        <w:jc w:val="both"/>
        <w:rPr>
          <w:rFonts w:ascii="Arial" w:hAnsi="Arial" w:cs="Arial"/>
        </w:rPr>
      </w:pPr>
    </w:p>
    <w:p w14:paraId="16AC6FB9" w14:textId="77777777" w:rsidR="006C4B27" w:rsidRPr="00DC25D1" w:rsidRDefault="006C4B27" w:rsidP="006C4B27">
      <w:pPr>
        <w:autoSpaceDE w:val="0"/>
        <w:autoSpaceDN w:val="0"/>
        <w:adjustRightInd w:val="0"/>
        <w:jc w:val="both"/>
        <w:rPr>
          <w:rFonts w:cs="Arial"/>
          <w:szCs w:val="24"/>
          <w:lang w:val="en-AU"/>
        </w:rPr>
      </w:pPr>
      <w:r w:rsidRPr="00DC25D1">
        <w:rPr>
          <w:rFonts w:cs="Arial"/>
          <w:szCs w:val="24"/>
          <w:lang w:val="en-AU"/>
        </w:rPr>
        <w:t xml:space="preserve">The Full Court </w:t>
      </w:r>
      <w:r>
        <w:rPr>
          <w:rFonts w:cs="Arial"/>
          <w:szCs w:val="24"/>
          <w:lang w:val="en-AU"/>
        </w:rPr>
        <w:t xml:space="preserve">(Kenny, Besanko, Griffiths, Mortimer &amp; Charlesworth JJ) </w:t>
      </w:r>
      <w:r w:rsidRPr="00DC25D1">
        <w:rPr>
          <w:rFonts w:cs="Arial"/>
          <w:szCs w:val="24"/>
          <w:lang w:val="en-AU"/>
        </w:rPr>
        <w:t>held that, while the Decision involved an exercise of non-statutory</w:t>
      </w:r>
      <w:r>
        <w:rPr>
          <w:rFonts w:cs="Arial"/>
          <w:szCs w:val="24"/>
          <w:lang w:val="en-AU"/>
        </w:rPr>
        <w:t xml:space="preserve"> </w:t>
      </w:r>
      <w:r w:rsidRPr="00DC25D1">
        <w:rPr>
          <w:rFonts w:cs="Arial"/>
          <w:szCs w:val="24"/>
          <w:lang w:val="en-AU"/>
        </w:rPr>
        <w:t xml:space="preserve">executive power of the </w:t>
      </w:r>
      <w:r w:rsidRPr="00DC25D1">
        <w:rPr>
          <w:rFonts w:cs="Arial"/>
          <w:szCs w:val="24"/>
          <w:lang w:val="en-AU"/>
        </w:rPr>
        <w:lastRenderedPageBreak/>
        <w:t xml:space="preserve">Commonwealth under s61 of the </w:t>
      </w:r>
      <w:r w:rsidRPr="00296F88">
        <w:rPr>
          <w:rFonts w:cs="Arial"/>
          <w:i/>
          <w:iCs/>
          <w:szCs w:val="24"/>
          <w:lang w:val="en-AU"/>
        </w:rPr>
        <w:t>Constitution</w:t>
      </w:r>
      <w:r w:rsidRPr="00DC25D1">
        <w:rPr>
          <w:rFonts w:cs="Arial"/>
          <w:szCs w:val="24"/>
          <w:lang w:val="en-AU"/>
        </w:rPr>
        <w:t>, the exercise of that</w:t>
      </w:r>
      <w:r>
        <w:rPr>
          <w:rFonts w:cs="Arial"/>
          <w:szCs w:val="24"/>
          <w:lang w:val="en-AU"/>
        </w:rPr>
        <w:t xml:space="preserve"> </w:t>
      </w:r>
      <w:r w:rsidRPr="00DC25D1">
        <w:rPr>
          <w:rFonts w:cs="Arial"/>
          <w:szCs w:val="24"/>
          <w:lang w:val="en-AU"/>
        </w:rPr>
        <w:t>power was subject to justiciable limits and was amenable to judicial review on the ground of legal unreasonableness</w:t>
      </w:r>
      <w:r>
        <w:rPr>
          <w:rFonts w:cs="Arial"/>
          <w:szCs w:val="24"/>
          <w:lang w:val="en-AU"/>
        </w:rPr>
        <w:t xml:space="preserve">, affirming the correctness of the reasoning of </w:t>
      </w:r>
      <w:r>
        <w:rPr>
          <w:rFonts w:cs="Arial"/>
          <w:szCs w:val="24"/>
          <w:lang w:val="en-AU"/>
        </w:rPr>
        <w:br/>
        <w:t xml:space="preserve">Robertson J in </w:t>
      </w:r>
      <w:proofErr w:type="spellStart"/>
      <w:r w:rsidRPr="00ED1BE6">
        <w:rPr>
          <w:rFonts w:cs="Arial"/>
          <w:i/>
          <w:iCs/>
          <w:szCs w:val="24"/>
          <w:lang w:val="en-AU"/>
        </w:rPr>
        <w:t>Jabbour</w:t>
      </w:r>
      <w:proofErr w:type="spellEnd"/>
      <w:r>
        <w:rPr>
          <w:rFonts w:cs="Arial"/>
          <w:szCs w:val="24"/>
          <w:lang w:val="en-AU"/>
        </w:rPr>
        <w:t xml:space="preserve"> (although there were </w:t>
      </w:r>
      <w:r w:rsidRPr="006152FF">
        <w:rPr>
          <w:rFonts w:cs="Arial"/>
          <w:szCs w:val="24"/>
          <w:lang w:val="en-AU"/>
        </w:rPr>
        <w:t>substantial divergences in the reasoning supporting that conclusion</w:t>
      </w:r>
      <w:r>
        <w:rPr>
          <w:rFonts w:cs="Arial"/>
          <w:szCs w:val="24"/>
          <w:lang w:val="en-AU"/>
        </w:rPr>
        <w:t>)</w:t>
      </w:r>
      <w:r w:rsidRPr="006152FF">
        <w:rPr>
          <w:rFonts w:cs="Arial"/>
          <w:szCs w:val="24"/>
          <w:lang w:val="en-AU"/>
        </w:rPr>
        <w:t>.</w:t>
      </w:r>
      <w:r>
        <w:rPr>
          <w:rFonts w:cs="Arial"/>
          <w:szCs w:val="24"/>
          <w:lang w:val="en-AU"/>
        </w:rPr>
        <w:t xml:space="preserve">  </w:t>
      </w:r>
      <w:r w:rsidRPr="00DC25D1">
        <w:rPr>
          <w:rFonts w:cs="Arial"/>
          <w:szCs w:val="24"/>
          <w:lang w:val="en-AU"/>
        </w:rPr>
        <w:t xml:space="preserve">The Full Court unanimously rejected the Respondents’ argument that the </w:t>
      </w:r>
      <w:r>
        <w:rPr>
          <w:rFonts w:cs="Arial"/>
          <w:szCs w:val="24"/>
          <w:lang w:val="en-AU"/>
        </w:rPr>
        <w:t>D</w:t>
      </w:r>
      <w:r w:rsidRPr="00DC25D1">
        <w:rPr>
          <w:rFonts w:cs="Arial"/>
          <w:szCs w:val="24"/>
          <w:lang w:val="en-AU"/>
        </w:rPr>
        <w:t>ecision did not affect each appellant’s rights or interests</w:t>
      </w:r>
      <w:r>
        <w:rPr>
          <w:rFonts w:cs="Arial"/>
          <w:sz w:val="20"/>
          <w:lang w:val="en-AU"/>
        </w:rPr>
        <w:t xml:space="preserve">.  </w:t>
      </w:r>
      <w:r w:rsidRPr="00DC25D1">
        <w:rPr>
          <w:rFonts w:cs="Arial"/>
          <w:szCs w:val="24"/>
          <w:lang w:val="en-AU"/>
        </w:rPr>
        <w:t>However, the Full Court concluded that the Decision was not affected by legal</w:t>
      </w:r>
      <w:r>
        <w:rPr>
          <w:rFonts w:cs="Arial"/>
          <w:szCs w:val="24"/>
          <w:lang w:val="en-AU"/>
        </w:rPr>
        <w:t xml:space="preserve"> </w:t>
      </w:r>
      <w:r w:rsidRPr="00DC25D1">
        <w:rPr>
          <w:rFonts w:cs="Arial"/>
          <w:szCs w:val="24"/>
          <w:lang w:val="en-AU"/>
        </w:rPr>
        <w:t xml:space="preserve">unreasonableness, notwithstanding that the Assistant Director had made </w:t>
      </w:r>
      <w:proofErr w:type="gramStart"/>
      <w:r w:rsidRPr="00DC25D1">
        <w:rPr>
          <w:rFonts w:cs="Arial"/>
          <w:szCs w:val="24"/>
          <w:lang w:val="en-AU"/>
        </w:rPr>
        <w:t>a number of</w:t>
      </w:r>
      <w:proofErr w:type="gramEnd"/>
      <w:r w:rsidRPr="00DC25D1">
        <w:rPr>
          <w:rFonts w:cs="Arial"/>
          <w:szCs w:val="24"/>
          <w:lang w:val="en-AU"/>
        </w:rPr>
        <w:t xml:space="preserve"> errors</w:t>
      </w:r>
      <w:r>
        <w:rPr>
          <w:rFonts w:cs="Arial"/>
          <w:szCs w:val="24"/>
          <w:lang w:val="en-AU"/>
        </w:rPr>
        <w:t xml:space="preserve"> </w:t>
      </w:r>
      <w:r w:rsidRPr="00DC25D1">
        <w:rPr>
          <w:rFonts w:cs="Arial"/>
          <w:szCs w:val="24"/>
          <w:lang w:val="en-AU"/>
        </w:rPr>
        <w:t xml:space="preserve">in dealing with </w:t>
      </w:r>
      <w:r>
        <w:rPr>
          <w:rFonts w:cs="Arial"/>
          <w:szCs w:val="24"/>
          <w:lang w:val="en-AU"/>
        </w:rPr>
        <w:t>each</w:t>
      </w:r>
      <w:r w:rsidRPr="00DC25D1">
        <w:rPr>
          <w:rFonts w:cs="Arial"/>
          <w:szCs w:val="24"/>
          <w:lang w:val="en-AU"/>
        </w:rPr>
        <w:t xml:space="preserve"> App</w:t>
      </w:r>
      <w:r>
        <w:rPr>
          <w:rFonts w:cs="Arial"/>
          <w:szCs w:val="24"/>
          <w:lang w:val="en-AU"/>
        </w:rPr>
        <w:t>ell</w:t>
      </w:r>
      <w:r w:rsidRPr="00DC25D1">
        <w:rPr>
          <w:rFonts w:cs="Arial"/>
          <w:szCs w:val="24"/>
          <w:lang w:val="en-AU"/>
        </w:rPr>
        <w:t xml:space="preserve">ant’s </w:t>
      </w:r>
      <w:r>
        <w:rPr>
          <w:rFonts w:cs="Arial"/>
          <w:szCs w:val="24"/>
          <w:lang w:val="en-AU"/>
        </w:rPr>
        <w:t xml:space="preserve">intervention </w:t>
      </w:r>
      <w:r w:rsidRPr="00DC25D1">
        <w:rPr>
          <w:rFonts w:cs="Arial"/>
          <w:szCs w:val="24"/>
          <w:lang w:val="en-AU"/>
        </w:rPr>
        <w:t>request</w:t>
      </w:r>
      <w:r>
        <w:rPr>
          <w:rFonts w:cs="Arial"/>
          <w:szCs w:val="24"/>
          <w:lang w:val="en-AU"/>
        </w:rPr>
        <w:t xml:space="preserve">.  </w:t>
      </w:r>
      <w:r>
        <w:rPr>
          <w:rFonts w:cs="Arial"/>
          <w:szCs w:val="24"/>
          <w:lang w:val="en-AU"/>
        </w:rPr>
        <w:br/>
        <w:t xml:space="preserve">There were also </w:t>
      </w:r>
      <w:r w:rsidRPr="006152FF">
        <w:rPr>
          <w:rFonts w:cs="Arial"/>
          <w:szCs w:val="24"/>
          <w:lang w:val="en-AU"/>
        </w:rPr>
        <w:t>divergences as to what relief could and should have issued had legal unreasonableness</w:t>
      </w:r>
      <w:r>
        <w:rPr>
          <w:rFonts w:cs="Arial"/>
          <w:szCs w:val="24"/>
          <w:lang w:val="en-AU"/>
        </w:rPr>
        <w:t xml:space="preserve"> </w:t>
      </w:r>
      <w:r w:rsidRPr="006152FF">
        <w:rPr>
          <w:rFonts w:cs="Arial"/>
          <w:szCs w:val="24"/>
          <w:lang w:val="en-AU"/>
        </w:rPr>
        <w:t>been demonstrated.</w:t>
      </w:r>
    </w:p>
    <w:p w14:paraId="7046B963" w14:textId="77777777" w:rsidR="006C4B27" w:rsidRDefault="006C4B27" w:rsidP="006C4B27">
      <w:pPr>
        <w:jc w:val="both"/>
        <w:rPr>
          <w:rFonts w:cs="Arial"/>
          <w:szCs w:val="24"/>
        </w:rPr>
      </w:pPr>
    </w:p>
    <w:p w14:paraId="6442F91C" w14:textId="50957802" w:rsidR="006C4B27" w:rsidRDefault="006C4B27" w:rsidP="006C4B27">
      <w:pPr>
        <w:jc w:val="both"/>
        <w:rPr>
          <w:rFonts w:cs="Arial"/>
          <w:szCs w:val="24"/>
        </w:rPr>
      </w:pPr>
      <w:r>
        <w:rPr>
          <w:rFonts w:cs="Arial"/>
          <w:szCs w:val="24"/>
        </w:rPr>
        <w:t xml:space="preserve">The first respondent in each matter has filed a Notice of a Constitutional Matter, </w:t>
      </w:r>
      <w:r w:rsidR="00903311">
        <w:rPr>
          <w:rFonts w:cs="Arial"/>
          <w:szCs w:val="24"/>
        </w:rPr>
        <w:br/>
      </w:r>
      <w:r>
        <w:rPr>
          <w:rFonts w:cs="Arial"/>
          <w:szCs w:val="24"/>
        </w:rPr>
        <w:t xml:space="preserve">and the Attorneys-General of the Commonwealth, New South Wales, </w:t>
      </w:r>
      <w:proofErr w:type="gramStart"/>
      <w:r>
        <w:rPr>
          <w:rFonts w:cs="Arial"/>
          <w:szCs w:val="24"/>
        </w:rPr>
        <w:t>Victoria</w:t>
      </w:r>
      <w:proofErr w:type="gramEnd"/>
      <w:r>
        <w:rPr>
          <w:rFonts w:cs="Arial"/>
          <w:szCs w:val="24"/>
        </w:rPr>
        <w:t xml:space="preserve"> and South Australia have intervened.  The first respondent has filed a Notice of Contention in each matter.</w:t>
      </w:r>
    </w:p>
    <w:p w14:paraId="785B819B" w14:textId="77777777" w:rsidR="006C4B27" w:rsidRDefault="006C4B27" w:rsidP="006C4B27">
      <w:pPr>
        <w:jc w:val="both"/>
        <w:rPr>
          <w:rFonts w:cs="Arial"/>
          <w:szCs w:val="24"/>
        </w:rPr>
      </w:pPr>
    </w:p>
    <w:p w14:paraId="698820BA" w14:textId="77777777" w:rsidR="006C4B27" w:rsidRDefault="006C4B27" w:rsidP="006C4B27">
      <w:pPr>
        <w:jc w:val="both"/>
        <w:rPr>
          <w:rFonts w:cs="Arial"/>
          <w:szCs w:val="24"/>
        </w:rPr>
      </w:pPr>
      <w:r>
        <w:rPr>
          <w:rFonts w:cs="Arial"/>
          <w:szCs w:val="24"/>
        </w:rPr>
        <w:t xml:space="preserve">The grounds of appeal in </w:t>
      </w:r>
      <w:r w:rsidRPr="00B60574">
        <w:rPr>
          <w:rFonts w:cs="Arial"/>
          <w:i/>
          <w:iCs/>
          <w:szCs w:val="24"/>
        </w:rPr>
        <w:t>Davis</w:t>
      </w:r>
      <w:r>
        <w:rPr>
          <w:rFonts w:cs="Arial"/>
          <w:szCs w:val="24"/>
        </w:rPr>
        <w:t xml:space="preserve"> are:</w:t>
      </w:r>
    </w:p>
    <w:p w14:paraId="265C5E82" w14:textId="77777777" w:rsidR="006C4B27" w:rsidRDefault="006C4B27" w:rsidP="006C4B27">
      <w:pPr>
        <w:jc w:val="both"/>
        <w:rPr>
          <w:rFonts w:cs="Arial"/>
          <w:szCs w:val="24"/>
        </w:rPr>
      </w:pPr>
    </w:p>
    <w:p w14:paraId="40A25A06" w14:textId="77777777" w:rsidR="006C4B27" w:rsidRDefault="006C4B27" w:rsidP="006C4B27">
      <w:pPr>
        <w:autoSpaceDE w:val="0"/>
        <w:autoSpaceDN w:val="0"/>
        <w:adjustRightInd w:val="0"/>
        <w:jc w:val="both"/>
        <w:rPr>
          <w:rFonts w:cs="Arial"/>
          <w:szCs w:val="24"/>
          <w:lang w:val="en-AU"/>
        </w:rPr>
      </w:pPr>
      <w:r>
        <w:rPr>
          <w:rFonts w:cs="Arial"/>
          <w:szCs w:val="24"/>
          <w:lang w:val="en-AU"/>
        </w:rPr>
        <w:t>The Full Court erred:</w:t>
      </w:r>
    </w:p>
    <w:p w14:paraId="2F6465E2" w14:textId="77777777" w:rsidR="006C4B27" w:rsidRDefault="006C4B27" w:rsidP="006C4B27">
      <w:pPr>
        <w:autoSpaceDE w:val="0"/>
        <w:autoSpaceDN w:val="0"/>
        <w:adjustRightInd w:val="0"/>
        <w:jc w:val="both"/>
        <w:rPr>
          <w:rFonts w:cs="Arial"/>
          <w:szCs w:val="24"/>
          <w:lang w:val="en-AU"/>
        </w:rPr>
      </w:pPr>
    </w:p>
    <w:p w14:paraId="39A55071" w14:textId="77777777" w:rsidR="006C4B27" w:rsidRDefault="006C4B27" w:rsidP="006C4B27">
      <w:pPr>
        <w:pStyle w:val="ListParagraph"/>
        <w:numPr>
          <w:ilvl w:val="0"/>
          <w:numId w:val="15"/>
        </w:numPr>
        <w:autoSpaceDE w:val="0"/>
        <w:autoSpaceDN w:val="0"/>
        <w:adjustRightInd w:val="0"/>
        <w:rPr>
          <w:rFonts w:cs="Arial"/>
          <w:szCs w:val="24"/>
          <w:lang w:val="en-AU"/>
        </w:rPr>
      </w:pPr>
      <w:r w:rsidRPr="009D10C5">
        <w:rPr>
          <w:rFonts w:cs="Arial"/>
          <w:szCs w:val="24"/>
          <w:lang w:val="en-AU"/>
        </w:rPr>
        <w:t>in finding that the decision by the Third Respondent that the Appellant’s request for Ministerial intervention under s</w:t>
      </w:r>
      <w:r>
        <w:rPr>
          <w:rFonts w:cs="Arial"/>
          <w:szCs w:val="24"/>
          <w:lang w:val="en-AU"/>
        </w:rPr>
        <w:t xml:space="preserve"> </w:t>
      </w:r>
      <w:r w:rsidRPr="009D10C5">
        <w:rPr>
          <w:rFonts w:cs="Arial"/>
          <w:szCs w:val="24"/>
          <w:lang w:val="en-AU"/>
        </w:rPr>
        <w:t>351</w:t>
      </w:r>
      <w:r>
        <w:rPr>
          <w:rFonts w:cs="Arial"/>
          <w:szCs w:val="24"/>
          <w:lang w:val="en-AU"/>
        </w:rPr>
        <w:t xml:space="preserve"> </w:t>
      </w:r>
      <w:r w:rsidRPr="009D10C5">
        <w:rPr>
          <w:rFonts w:cs="Arial"/>
          <w:szCs w:val="24"/>
          <w:lang w:val="en-AU"/>
        </w:rPr>
        <w:t xml:space="preserve">of the </w:t>
      </w:r>
      <w:r w:rsidRPr="009D10C5">
        <w:rPr>
          <w:rFonts w:cs="Arial"/>
          <w:i/>
          <w:iCs/>
          <w:szCs w:val="24"/>
          <w:lang w:val="en-AU"/>
        </w:rPr>
        <w:t>Migration Act 1958</w:t>
      </w:r>
      <w:r w:rsidRPr="009D10C5">
        <w:rPr>
          <w:rFonts w:cs="Arial"/>
          <w:szCs w:val="24"/>
          <w:lang w:val="en-AU"/>
        </w:rPr>
        <w:t xml:space="preserve"> (</w:t>
      </w:r>
      <w:proofErr w:type="spellStart"/>
      <w:r w:rsidRPr="009D10C5">
        <w:rPr>
          <w:rFonts w:cs="Arial"/>
          <w:szCs w:val="24"/>
          <w:lang w:val="en-AU"/>
        </w:rPr>
        <w:t>Cth</w:t>
      </w:r>
      <w:proofErr w:type="spellEnd"/>
      <w:r w:rsidRPr="009D10C5">
        <w:rPr>
          <w:rFonts w:cs="Arial"/>
          <w:szCs w:val="24"/>
          <w:lang w:val="en-AU"/>
        </w:rPr>
        <w:t>) did not meet the circumstances for referral</w:t>
      </w:r>
      <w:r>
        <w:rPr>
          <w:rFonts w:cs="Arial"/>
          <w:szCs w:val="24"/>
          <w:lang w:val="en-AU"/>
        </w:rPr>
        <w:t xml:space="preserve"> </w:t>
      </w:r>
      <w:r w:rsidRPr="009D10C5">
        <w:rPr>
          <w:rFonts w:cs="Arial"/>
          <w:szCs w:val="24"/>
          <w:lang w:val="en-AU"/>
        </w:rPr>
        <w:t xml:space="preserve">pursuant to the </w:t>
      </w:r>
      <w:r>
        <w:rPr>
          <w:rFonts w:cs="Arial"/>
          <w:szCs w:val="24"/>
          <w:lang w:val="en-AU"/>
        </w:rPr>
        <w:br/>
      </w:r>
      <w:r w:rsidRPr="009D10C5">
        <w:rPr>
          <w:rFonts w:cs="Arial"/>
          <w:szCs w:val="24"/>
          <w:lang w:val="en-AU"/>
        </w:rPr>
        <w:t>“Minister’s guidelines on ministerial powers (s351, s417, s5</w:t>
      </w:r>
      <w:r>
        <w:rPr>
          <w:rFonts w:cs="Arial"/>
          <w:szCs w:val="24"/>
          <w:lang w:val="en-AU"/>
        </w:rPr>
        <w:t>0</w:t>
      </w:r>
      <w:r w:rsidRPr="009D10C5">
        <w:rPr>
          <w:rFonts w:cs="Arial"/>
          <w:szCs w:val="24"/>
          <w:lang w:val="en-AU"/>
        </w:rPr>
        <w:t>1J)"</w:t>
      </w:r>
      <w:r>
        <w:rPr>
          <w:rFonts w:cs="Arial"/>
          <w:szCs w:val="24"/>
          <w:lang w:val="en-AU"/>
        </w:rPr>
        <w:t xml:space="preserve"> </w:t>
      </w:r>
      <w:r>
        <w:rPr>
          <w:rFonts w:cs="Arial"/>
          <w:szCs w:val="24"/>
          <w:lang w:val="en-AU"/>
        </w:rPr>
        <w:br/>
      </w:r>
      <w:r w:rsidRPr="009D10C5">
        <w:rPr>
          <w:rFonts w:cs="Arial"/>
          <w:szCs w:val="24"/>
          <w:lang w:val="en-AU"/>
        </w:rPr>
        <w:t>(</w:t>
      </w:r>
      <w:r>
        <w:rPr>
          <w:rFonts w:cs="Arial"/>
          <w:szCs w:val="24"/>
          <w:lang w:val="en-AU"/>
        </w:rPr>
        <w:t>“</w:t>
      </w:r>
      <w:r w:rsidRPr="009D10C5">
        <w:rPr>
          <w:rFonts w:cs="Arial"/>
          <w:szCs w:val="24"/>
          <w:lang w:val="en-AU"/>
        </w:rPr>
        <w:t>the Guidelines</w:t>
      </w:r>
      <w:r>
        <w:rPr>
          <w:rFonts w:cs="Arial"/>
          <w:szCs w:val="24"/>
          <w:lang w:val="en-AU"/>
        </w:rPr>
        <w:t>”</w:t>
      </w:r>
      <w:r w:rsidRPr="009D10C5">
        <w:rPr>
          <w:rFonts w:cs="Arial"/>
          <w:szCs w:val="24"/>
          <w:lang w:val="en-AU"/>
        </w:rPr>
        <w:t>) issued by the First Respondent (</w:t>
      </w:r>
      <w:r>
        <w:rPr>
          <w:rFonts w:cs="Arial"/>
          <w:szCs w:val="24"/>
          <w:lang w:val="en-AU"/>
        </w:rPr>
        <w:t>“</w:t>
      </w:r>
      <w:r w:rsidRPr="009D10C5">
        <w:rPr>
          <w:rFonts w:cs="Arial"/>
          <w:szCs w:val="24"/>
          <w:lang w:val="en-AU"/>
        </w:rPr>
        <w:t>the Minister</w:t>
      </w:r>
      <w:r>
        <w:rPr>
          <w:rFonts w:cs="Arial"/>
          <w:szCs w:val="24"/>
          <w:lang w:val="en-AU"/>
        </w:rPr>
        <w:t>”</w:t>
      </w:r>
      <w:r w:rsidRPr="009D10C5">
        <w:rPr>
          <w:rFonts w:cs="Arial"/>
          <w:szCs w:val="24"/>
          <w:lang w:val="en-AU"/>
        </w:rPr>
        <w:t xml:space="preserve">), and to refuse to refer the request to the Minister for consideration or possible consideration whether to exercise the power conferred by s 351 </w:t>
      </w:r>
      <w:r>
        <w:rPr>
          <w:rFonts w:cs="Arial"/>
          <w:szCs w:val="24"/>
          <w:lang w:val="en-AU"/>
        </w:rPr>
        <w:br/>
      </w:r>
      <w:r w:rsidRPr="009D10C5">
        <w:rPr>
          <w:rFonts w:cs="Arial"/>
          <w:szCs w:val="24"/>
          <w:lang w:val="en-AU"/>
        </w:rPr>
        <w:t>(</w:t>
      </w:r>
      <w:r>
        <w:rPr>
          <w:rFonts w:cs="Arial"/>
          <w:szCs w:val="24"/>
          <w:lang w:val="en-AU"/>
        </w:rPr>
        <w:t>“</w:t>
      </w:r>
      <w:r w:rsidRPr="009D10C5">
        <w:rPr>
          <w:rFonts w:cs="Arial"/>
          <w:szCs w:val="24"/>
          <w:lang w:val="en-AU"/>
        </w:rPr>
        <w:t>the Decision</w:t>
      </w:r>
      <w:r>
        <w:rPr>
          <w:rFonts w:cs="Arial"/>
          <w:szCs w:val="24"/>
          <w:lang w:val="en-AU"/>
        </w:rPr>
        <w:t>”</w:t>
      </w:r>
      <w:r w:rsidRPr="009D10C5">
        <w:rPr>
          <w:rFonts w:cs="Arial"/>
          <w:szCs w:val="24"/>
          <w:lang w:val="en-AU"/>
        </w:rPr>
        <w:t>), was not affected by legal unreasonableness.</w:t>
      </w:r>
    </w:p>
    <w:p w14:paraId="160BC184" w14:textId="77777777" w:rsidR="006C4B27" w:rsidRPr="009D10C5" w:rsidRDefault="006C4B27" w:rsidP="006C4B27">
      <w:pPr>
        <w:pStyle w:val="ListParagraph"/>
        <w:autoSpaceDE w:val="0"/>
        <w:autoSpaceDN w:val="0"/>
        <w:adjustRightInd w:val="0"/>
        <w:rPr>
          <w:rFonts w:cs="Arial"/>
          <w:szCs w:val="24"/>
          <w:lang w:val="en-AU"/>
        </w:rPr>
      </w:pPr>
    </w:p>
    <w:p w14:paraId="5C0B9CD9" w14:textId="77777777" w:rsidR="006C4B27" w:rsidRDefault="006C4B27" w:rsidP="006C4B27">
      <w:pPr>
        <w:pStyle w:val="ListParagraph"/>
        <w:numPr>
          <w:ilvl w:val="0"/>
          <w:numId w:val="15"/>
        </w:numPr>
        <w:autoSpaceDE w:val="0"/>
        <w:autoSpaceDN w:val="0"/>
        <w:adjustRightInd w:val="0"/>
        <w:rPr>
          <w:rFonts w:cs="Arial"/>
          <w:szCs w:val="24"/>
          <w:lang w:val="en-AU"/>
        </w:rPr>
      </w:pPr>
      <w:r w:rsidRPr="009D10C5">
        <w:rPr>
          <w:rFonts w:cs="Arial"/>
          <w:szCs w:val="24"/>
          <w:lang w:val="en-AU"/>
        </w:rPr>
        <w:t>in failing to find that the Guidelines were</w:t>
      </w:r>
      <w:r>
        <w:rPr>
          <w:rFonts w:cs="Arial"/>
          <w:szCs w:val="24"/>
          <w:lang w:val="en-AU"/>
        </w:rPr>
        <w:t xml:space="preserve"> </w:t>
      </w:r>
      <w:r w:rsidRPr="009D10C5">
        <w:rPr>
          <w:rFonts w:cs="Arial"/>
          <w:szCs w:val="24"/>
          <w:lang w:val="en-AU"/>
        </w:rPr>
        <w:t xml:space="preserve">inconsistent with s 351 of the </w:t>
      </w:r>
      <w:r w:rsidRPr="009D10C5">
        <w:rPr>
          <w:rFonts w:cs="Arial"/>
          <w:i/>
          <w:iCs/>
          <w:szCs w:val="24"/>
          <w:lang w:val="en-AU"/>
        </w:rPr>
        <w:t>Migration Act 1958</w:t>
      </w:r>
      <w:r w:rsidRPr="009D10C5">
        <w:rPr>
          <w:rFonts w:cs="Arial"/>
          <w:szCs w:val="24"/>
          <w:lang w:val="en-AU"/>
        </w:rPr>
        <w:t xml:space="preserve"> (</w:t>
      </w:r>
      <w:proofErr w:type="spellStart"/>
      <w:r w:rsidRPr="009D10C5">
        <w:rPr>
          <w:rFonts w:cs="Arial"/>
          <w:szCs w:val="24"/>
          <w:lang w:val="en-AU"/>
        </w:rPr>
        <w:t>Cth</w:t>
      </w:r>
      <w:proofErr w:type="spellEnd"/>
      <w:r w:rsidRPr="009D10C5">
        <w:rPr>
          <w:rFonts w:cs="Arial"/>
          <w:szCs w:val="24"/>
          <w:lang w:val="en-AU"/>
        </w:rPr>
        <w:t>) and were unlawful,</w:t>
      </w:r>
      <w:r>
        <w:rPr>
          <w:rFonts w:cs="Arial"/>
          <w:szCs w:val="24"/>
          <w:lang w:val="en-AU"/>
        </w:rPr>
        <w:t xml:space="preserve"> </w:t>
      </w:r>
      <w:r w:rsidRPr="009D10C5">
        <w:rPr>
          <w:rFonts w:cs="Arial"/>
          <w:szCs w:val="24"/>
          <w:lang w:val="en-AU"/>
        </w:rPr>
        <w:t>in so far as they purported to authorise officers of the Department to exercise</w:t>
      </w:r>
      <w:r>
        <w:rPr>
          <w:rFonts w:cs="Arial"/>
          <w:szCs w:val="24"/>
          <w:lang w:val="en-AU"/>
        </w:rPr>
        <w:t xml:space="preserve"> </w:t>
      </w:r>
      <w:r w:rsidRPr="009D10C5">
        <w:rPr>
          <w:rFonts w:cs="Arial"/>
          <w:szCs w:val="24"/>
          <w:lang w:val="en-AU"/>
        </w:rPr>
        <w:t xml:space="preserve">personal and </w:t>
      </w:r>
      <w:r>
        <w:rPr>
          <w:rFonts w:cs="Arial"/>
          <w:szCs w:val="24"/>
          <w:lang w:val="en-AU"/>
        </w:rPr>
        <w:br/>
      </w:r>
      <w:r w:rsidRPr="009D10C5">
        <w:rPr>
          <w:rFonts w:cs="Arial"/>
          <w:szCs w:val="24"/>
          <w:lang w:val="en-AU"/>
        </w:rPr>
        <w:t>non-delegable powers conferred on the Minister, or to prevent the</w:t>
      </w:r>
      <w:r>
        <w:rPr>
          <w:rFonts w:cs="Arial"/>
          <w:szCs w:val="24"/>
          <w:lang w:val="en-AU"/>
        </w:rPr>
        <w:t xml:space="preserve"> </w:t>
      </w:r>
      <w:r w:rsidRPr="009D10C5">
        <w:rPr>
          <w:rFonts w:cs="Arial"/>
          <w:szCs w:val="24"/>
          <w:lang w:val="en-AU"/>
        </w:rPr>
        <w:t>exercise of such powers by the Minister, by “screening out” requests made to the</w:t>
      </w:r>
      <w:r>
        <w:rPr>
          <w:rFonts w:cs="Arial"/>
          <w:szCs w:val="24"/>
          <w:lang w:val="en-AU"/>
        </w:rPr>
        <w:t xml:space="preserve"> </w:t>
      </w:r>
      <w:r w:rsidRPr="009D10C5">
        <w:rPr>
          <w:rFonts w:cs="Arial"/>
          <w:szCs w:val="24"/>
          <w:lang w:val="en-AU"/>
        </w:rPr>
        <w:t>Minister for intervention under s 351 and preventing the Minister from</w:t>
      </w:r>
      <w:r>
        <w:rPr>
          <w:rFonts w:cs="Arial"/>
          <w:szCs w:val="24"/>
          <w:lang w:val="en-AU"/>
        </w:rPr>
        <w:t xml:space="preserve"> </w:t>
      </w:r>
      <w:r w:rsidRPr="009D10C5">
        <w:rPr>
          <w:rFonts w:cs="Arial"/>
          <w:szCs w:val="24"/>
          <w:lang w:val="en-AU"/>
        </w:rPr>
        <w:t>receiving or being made aware of such requests.</w:t>
      </w:r>
    </w:p>
    <w:p w14:paraId="448D1E01" w14:textId="77777777" w:rsidR="006C4B27" w:rsidRDefault="006C4B27" w:rsidP="006C4B27">
      <w:pPr>
        <w:autoSpaceDE w:val="0"/>
        <w:autoSpaceDN w:val="0"/>
        <w:adjustRightInd w:val="0"/>
        <w:jc w:val="both"/>
        <w:rPr>
          <w:rFonts w:cs="Arial"/>
          <w:szCs w:val="24"/>
          <w:lang w:val="en-AU"/>
        </w:rPr>
      </w:pPr>
    </w:p>
    <w:p w14:paraId="74C4D8CA" w14:textId="77777777" w:rsidR="006C4B27" w:rsidRDefault="006C4B27" w:rsidP="006C4B27">
      <w:pPr>
        <w:jc w:val="both"/>
        <w:rPr>
          <w:rFonts w:cs="Arial"/>
          <w:szCs w:val="24"/>
        </w:rPr>
      </w:pPr>
      <w:r>
        <w:rPr>
          <w:rFonts w:cs="Arial"/>
          <w:szCs w:val="24"/>
        </w:rPr>
        <w:t>The ground of appeal in DCM20 is:</w:t>
      </w:r>
    </w:p>
    <w:p w14:paraId="3EBDA1B6" w14:textId="77777777" w:rsidR="006C4B27" w:rsidRDefault="006C4B27" w:rsidP="006C4B27">
      <w:pPr>
        <w:jc w:val="both"/>
        <w:rPr>
          <w:rFonts w:cs="Arial"/>
          <w:szCs w:val="24"/>
        </w:rPr>
      </w:pPr>
    </w:p>
    <w:p w14:paraId="0BF1A55A" w14:textId="77777777" w:rsidR="006C4B27" w:rsidRPr="000A7483" w:rsidRDefault="006C4B27" w:rsidP="006C4B27">
      <w:pPr>
        <w:pStyle w:val="ListParagraph"/>
        <w:numPr>
          <w:ilvl w:val="0"/>
          <w:numId w:val="16"/>
        </w:numPr>
        <w:autoSpaceDE w:val="0"/>
        <w:autoSpaceDN w:val="0"/>
        <w:adjustRightInd w:val="0"/>
        <w:rPr>
          <w:rFonts w:cs="Arial"/>
          <w:szCs w:val="24"/>
          <w:lang w:val="en-AU"/>
        </w:rPr>
      </w:pPr>
      <w:r w:rsidRPr="00B90E03">
        <w:rPr>
          <w:rFonts w:cs="Arial"/>
          <w:szCs w:val="24"/>
          <w:lang w:val="en-AU"/>
        </w:rPr>
        <w:t>The Full Court erred in failing to find that, in respect of a request by the</w:t>
      </w:r>
      <w:r>
        <w:rPr>
          <w:rFonts w:cs="Arial"/>
          <w:szCs w:val="24"/>
          <w:lang w:val="en-AU"/>
        </w:rPr>
        <w:t xml:space="preserve"> </w:t>
      </w:r>
      <w:r w:rsidRPr="000A7483">
        <w:rPr>
          <w:rFonts w:cs="Arial"/>
          <w:szCs w:val="24"/>
          <w:lang w:val="en-AU"/>
        </w:rPr>
        <w:t xml:space="preserve">appellant that the Minister exercise a power under s 351(1) of the </w:t>
      </w:r>
      <w:r w:rsidRPr="000A7483">
        <w:rPr>
          <w:rFonts w:cs="Arial"/>
          <w:szCs w:val="24"/>
          <w:lang w:val="en-AU"/>
        </w:rPr>
        <w:br/>
      </w:r>
      <w:r w:rsidRPr="000A7483">
        <w:rPr>
          <w:rFonts w:cs="Arial"/>
          <w:i/>
          <w:iCs/>
          <w:szCs w:val="24"/>
          <w:lang w:val="en-AU"/>
        </w:rPr>
        <w:t>Migration Act 1958</w:t>
      </w:r>
      <w:r w:rsidRPr="000A7483">
        <w:rPr>
          <w:rFonts w:cs="Arial"/>
          <w:szCs w:val="24"/>
          <w:lang w:val="en-AU"/>
        </w:rPr>
        <w:t xml:space="preserve"> (</w:t>
      </w:r>
      <w:proofErr w:type="spellStart"/>
      <w:r w:rsidRPr="000A7483">
        <w:rPr>
          <w:rFonts w:cs="Arial"/>
          <w:szCs w:val="24"/>
          <w:lang w:val="en-AU"/>
        </w:rPr>
        <w:t>Cth</w:t>
      </w:r>
      <w:proofErr w:type="spellEnd"/>
      <w:r w:rsidRPr="000A7483">
        <w:rPr>
          <w:rFonts w:cs="Arial"/>
          <w:szCs w:val="24"/>
          <w:lang w:val="en-AU"/>
        </w:rPr>
        <w:t>) in the appellant’s favour, the decision of the second respondent (“Assistant Director”) recorded in a minute dated 10 January 2020 (“2020 Minute”) not to refer the appellant’s request to the Minister for consideration of whether to exercise the power under s 351(1) was legally unreasonable and infected by jurisdictional error.</w:t>
      </w:r>
    </w:p>
    <w:p w14:paraId="3E9001CC" w14:textId="77777777" w:rsidR="00A756FB" w:rsidRPr="00A756FB" w:rsidRDefault="00A756FB" w:rsidP="00A756FB">
      <w:pPr>
        <w:autoSpaceDE w:val="0"/>
        <w:autoSpaceDN w:val="0"/>
        <w:adjustRightInd w:val="0"/>
        <w:rPr>
          <w:rFonts w:cs="Arial"/>
          <w:szCs w:val="24"/>
          <w:lang w:val="en-AU"/>
        </w:rPr>
      </w:pPr>
    </w:p>
    <w:p w14:paraId="3B25ED0F" w14:textId="77777777" w:rsidR="007927DB" w:rsidRPr="00F2681D" w:rsidRDefault="007927DB" w:rsidP="007927DB">
      <w:pPr>
        <w:autoSpaceDE w:val="0"/>
        <w:autoSpaceDN w:val="0"/>
        <w:adjustRightInd w:val="0"/>
        <w:spacing w:after="180"/>
        <w:jc w:val="both"/>
        <w:rPr>
          <w:rFonts w:cs="Arial"/>
          <w:szCs w:val="24"/>
        </w:rPr>
      </w:pPr>
    </w:p>
    <w:p w14:paraId="3914C662" w14:textId="7B94B9E8" w:rsidR="00602F0D" w:rsidRPr="00197E29" w:rsidRDefault="00602F0D" w:rsidP="00913869">
      <w:pPr>
        <w:rPr>
          <w:rFonts w:cs="Arial"/>
          <w:szCs w:val="24"/>
        </w:rPr>
      </w:pPr>
    </w:p>
    <w:sectPr w:rsidR="00602F0D" w:rsidRPr="00197E2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6F174002" w:rsidR="004B7828" w:rsidRDefault="00AE2855">
    <w:pPr>
      <w:tabs>
        <w:tab w:val="left" w:pos="851"/>
        <w:tab w:val="right" w:pos="8505"/>
      </w:tabs>
      <w:jc w:val="center"/>
      <w:rPr>
        <w:b/>
        <w:u w:val="single"/>
      </w:rPr>
    </w:pPr>
    <w:r>
      <w:rPr>
        <w:b/>
        <w:u w:val="single"/>
      </w:rPr>
      <w:t>OCTOBER 2022</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F7240"/>
    <w:multiLevelType w:val="hybridMultilevel"/>
    <w:tmpl w:val="15F001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4498"/>
    <w:multiLevelType w:val="hybridMultilevel"/>
    <w:tmpl w:val="D294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F1C46"/>
    <w:multiLevelType w:val="hybridMultilevel"/>
    <w:tmpl w:val="94D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D5F85"/>
    <w:multiLevelType w:val="hybridMultilevel"/>
    <w:tmpl w:val="75E6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D13E64"/>
    <w:multiLevelType w:val="hybridMultilevel"/>
    <w:tmpl w:val="47B6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D051B75"/>
    <w:multiLevelType w:val="hybridMultilevel"/>
    <w:tmpl w:val="A9EE8566"/>
    <w:lvl w:ilvl="0" w:tplc="DA98AE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5"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5"/>
  </w:num>
  <w:num w:numId="2">
    <w:abstractNumId w:val="8"/>
  </w:num>
  <w:num w:numId="3">
    <w:abstractNumId w:val="7"/>
  </w:num>
  <w:num w:numId="4">
    <w:abstractNumId w:val="9"/>
  </w:num>
  <w:num w:numId="5">
    <w:abstractNumId w:val="14"/>
  </w:num>
  <w:num w:numId="6">
    <w:abstractNumId w:val="12"/>
  </w:num>
  <w:num w:numId="7">
    <w:abstractNumId w:val="1"/>
  </w:num>
  <w:num w:numId="8">
    <w:abstractNumId w:val="0"/>
  </w:num>
  <w:num w:numId="9">
    <w:abstractNumId w:val="3"/>
  </w:num>
  <w:num w:numId="10">
    <w:abstractNumId w:val="10"/>
  </w:num>
  <w:num w:numId="11">
    <w:abstractNumId w:val="13"/>
  </w:num>
  <w:num w:numId="12">
    <w:abstractNumId w:val="2"/>
  </w:num>
  <w:num w:numId="13">
    <w:abstractNumId w:val="5"/>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0772"/>
    <w:rsid w:val="00005F2A"/>
    <w:rsid w:val="00007C4E"/>
    <w:rsid w:val="000145E7"/>
    <w:rsid w:val="000267DA"/>
    <w:rsid w:val="000A1FFD"/>
    <w:rsid w:val="000B2EC3"/>
    <w:rsid w:val="000B5B2A"/>
    <w:rsid w:val="000B7BD8"/>
    <w:rsid w:val="00102105"/>
    <w:rsid w:val="001113B0"/>
    <w:rsid w:val="0014133A"/>
    <w:rsid w:val="0017627F"/>
    <w:rsid w:val="00197E29"/>
    <w:rsid w:val="001A29AE"/>
    <w:rsid w:val="002000F9"/>
    <w:rsid w:val="002848EC"/>
    <w:rsid w:val="002B2D95"/>
    <w:rsid w:val="002E45D0"/>
    <w:rsid w:val="002E5398"/>
    <w:rsid w:val="002F3034"/>
    <w:rsid w:val="00316F81"/>
    <w:rsid w:val="003410D3"/>
    <w:rsid w:val="00353606"/>
    <w:rsid w:val="00367B74"/>
    <w:rsid w:val="003C2828"/>
    <w:rsid w:val="003D1679"/>
    <w:rsid w:val="004B7828"/>
    <w:rsid w:val="004C6C94"/>
    <w:rsid w:val="004F2117"/>
    <w:rsid w:val="00505433"/>
    <w:rsid w:val="0053439A"/>
    <w:rsid w:val="005651FD"/>
    <w:rsid w:val="00570096"/>
    <w:rsid w:val="005C5D6B"/>
    <w:rsid w:val="00602F0D"/>
    <w:rsid w:val="006235D8"/>
    <w:rsid w:val="00650677"/>
    <w:rsid w:val="006C4998"/>
    <w:rsid w:val="006C4B27"/>
    <w:rsid w:val="00714ADC"/>
    <w:rsid w:val="00723BD1"/>
    <w:rsid w:val="00737693"/>
    <w:rsid w:val="00753743"/>
    <w:rsid w:val="007927DB"/>
    <w:rsid w:val="00796D5D"/>
    <w:rsid w:val="007B1AF2"/>
    <w:rsid w:val="007B63D5"/>
    <w:rsid w:val="00810E3E"/>
    <w:rsid w:val="00811E2E"/>
    <w:rsid w:val="00876107"/>
    <w:rsid w:val="00897B50"/>
    <w:rsid w:val="008A4F58"/>
    <w:rsid w:val="00903311"/>
    <w:rsid w:val="00913869"/>
    <w:rsid w:val="00936C31"/>
    <w:rsid w:val="009C78A4"/>
    <w:rsid w:val="00A2771D"/>
    <w:rsid w:val="00A414D3"/>
    <w:rsid w:val="00A5537C"/>
    <w:rsid w:val="00A756FB"/>
    <w:rsid w:val="00A92938"/>
    <w:rsid w:val="00AE2855"/>
    <w:rsid w:val="00B6091B"/>
    <w:rsid w:val="00BA02B7"/>
    <w:rsid w:val="00C041F0"/>
    <w:rsid w:val="00C32B72"/>
    <w:rsid w:val="00C50B4D"/>
    <w:rsid w:val="00C65A07"/>
    <w:rsid w:val="00C72085"/>
    <w:rsid w:val="00D265AE"/>
    <w:rsid w:val="00D53A76"/>
    <w:rsid w:val="00D67A19"/>
    <w:rsid w:val="00DF61F8"/>
    <w:rsid w:val="00E442CA"/>
    <w:rsid w:val="00E7462C"/>
    <w:rsid w:val="00F03117"/>
    <w:rsid w:val="00FD1C0E"/>
    <w:rsid w:val="00FE6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A19"/>
    <w:rPr>
      <w:rFonts w:ascii="Calibri" w:eastAsia="Calibri" w:hAnsi="Calibri"/>
      <w:sz w:val="22"/>
      <w:szCs w:val="22"/>
      <w:lang w:eastAsia="en-US"/>
    </w:rPr>
  </w:style>
  <w:style w:type="paragraph" w:styleId="ListParagraph">
    <w:name w:val="List Paragraph"/>
    <w:basedOn w:val="Normal"/>
    <w:uiPriority w:val="34"/>
    <w:qFormat/>
    <w:rsid w:val="002F3034"/>
    <w:pPr>
      <w:ind w:left="720"/>
      <w:jc w:val="both"/>
    </w:pPr>
  </w:style>
  <w:style w:type="character" w:styleId="Hyperlink">
    <w:name w:val="Hyperlink"/>
    <w:basedOn w:val="DefaultParagraphFont"/>
    <w:uiPriority w:val="99"/>
    <w:semiHidden/>
    <w:unhideWhenUsed/>
    <w:rsid w:val="002F3034"/>
    <w:rPr>
      <w:color w:val="0000FF"/>
      <w:u w:val="single"/>
    </w:rPr>
  </w:style>
  <w:style w:type="paragraph" w:styleId="NormalWeb">
    <w:name w:val="Normal (Web)"/>
    <w:basedOn w:val="Normal"/>
    <w:uiPriority w:val="99"/>
    <w:semiHidden/>
    <w:unhideWhenUsed/>
    <w:rsid w:val="006C4B27"/>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4648</Words>
  <Characters>23941</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69</cp:revision>
  <cp:lastPrinted>1999-08-03T02:31:00Z</cp:lastPrinted>
  <dcterms:created xsi:type="dcterms:W3CDTF">2022-03-29T00:10:00Z</dcterms:created>
  <dcterms:modified xsi:type="dcterms:W3CDTF">2022-10-05T23:44:00Z</dcterms:modified>
</cp:coreProperties>
</file>