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8083D" w14:textId="77777777" w:rsidR="00F03117" w:rsidRDefault="00F03117" w:rsidP="00913869"/>
    <w:tbl>
      <w:tblPr>
        <w:tblW w:w="0" w:type="auto"/>
        <w:tblLook w:val="04A0" w:firstRow="1" w:lastRow="0" w:firstColumn="1" w:lastColumn="0" w:noHBand="0" w:noVBand="1"/>
      </w:tblPr>
      <w:tblGrid>
        <w:gridCol w:w="7890"/>
        <w:gridCol w:w="849"/>
      </w:tblGrid>
      <w:tr w:rsidR="00F03117" w:rsidRPr="00007C4E" w14:paraId="7E9D0290" w14:textId="77777777" w:rsidTr="00007C4E">
        <w:tc>
          <w:tcPr>
            <w:tcW w:w="8755" w:type="dxa"/>
            <w:gridSpan w:val="2"/>
            <w:shd w:val="clear" w:color="auto" w:fill="auto"/>
          </w:tcPr>
          <w:p w14:paraId="7800BFEF" w14:textId="06AAA1FA" w:rsidR="00F03117" w:rsidRPr="00007C4E" w:rsidRDefault="00D62C4A" w:rsidP="00007C4E">
            <w:pPr>
              <w:tabs>
                <w:tab w:val="left" w:pos="851"/>
                <w:tab w:val="right" w:pos="8505"/>
              </w:tabs>
              <w:jc w:val="both"/>
              <w:rPr>
                <w:u w:val="single"/>
              </w:rPr>
            </w:pPr>
            <w:r>
              <w:rPr>
                <w:u w:val="single"/>
              </w:rPr>
              <w:t>Tuesday, 3 May 2022</w:t>
            </w:r>
            <w:r w:rsidR="001A29AE">
              <w:rPr>
                <w:u w:val="single"/>
              </w:rPr>
              <w:t xml:space="preserve"> </w:t>
            </w:r>
          </w:p>
          <w:p w14:paraId="4FD0215E" w14:textId="77777777" w:rsidR="00F03117" w:rsidRDefault="00F03117" w:rsidP="00007C4E">
            <w:pPr>
              <w:pStyle w:val="Title"/>
              <w:jc w:val="left"/>
            </w:pPr>
          </w:p>
        </w:tc>
      </w:tr>
      <w:tr w:rsidR="00F03117" w14:paraId="4ECA7EAE" w14:textId="77777777" w:rsidTr="00007C4E">
        <w:tc>
          <w:tcPr>
            <w:tcW w:w="7905" w:type="dxa"/>
            <w:shd w:val="clear" w:color="auto" w:fill="auto"/>
          </w:tcPr>
          <w:p w14:paraId="68785256" w14:textId="00C49015" w:rsidR="00F03117" w:rsidRPr="00913869" w:rsidRDefault="00D62C4A" w:rsidP="00913869">
            <w:pPr>
              <w:numPr>
                <w:ilvl w:val="0"/>
                <w:numId w:val="9"/>
              </w:numPr>
              <w:ind w:hanging="720"/>
            </w:pPr>
            <w:r>
              <w:t xml:space="preserve">Google </w:t>
            </w:r>
            <w:proofErr w:type="gramStart"/>
            <w:r>
              <w:t>LLC</w:t>
            </w:r>
            <w:r w:rsidR="00F03117" w:rsidRPr="00007C4E">
              <w:t xml:space="preserve"> </w:t>
            </w:r>
            <w:r>
              <w:t xml:space="preserve"> </w:t>
            </w:r>
            <w:r w:rsidR="00F03117" w:rsidRPr="00007C4E">
              <w:t>v</w:t>
            </w:r>
            <w:proofErr w:type="gramEnd"/>
            <w:r w:rsidR="00F03117" w:rsidRPr="00007C4E">
              <w:t xml:space="preserve">  </w:t>
            </w:r>
            <w:proofErr w:type="spellStart"/>
            <w:r>
              <w:t>Defteros</w:t>
            </w:r>
            <w:proofErr w:type="spellEnd"/>
          </w:p>
        </w:tc>
        <w:tc>
          <w:tcPr>
            <w:tcW w:w="850" w:type="dxa"/>
            <w:shd w:val="clear" w:color="auto" w:fill="auto"/>
          </w:tcPr>
          <w:p w14:paraId="6AFB892D" w14:textId="4870AAD8" w:rsidR="00F03117" w:rsidRPr="00C65A07" w:rsidRDefault="00D62C4A" w:rsidP="00C65A07">
            <w:pPr>
              <w:pStyle w:val="Title"/>
              <w:rPr>
                <w:u w:val="none"/>
              </w:rPr>
            </w:pPr>
            <w:r>
              <w:rPr>
                <w:u w:val="none"/>
              </w:rPr>
              <w:t>1</w:t>
            </w:r>
          </w:p>
        </w:tc>
      </w:tr>
    </w:tbl>
    <w:p w14:paraId="496AB273" w14:textId="77777777" w:rsidR="00F03117" w:rsidRDefault="00F03117" w:rsidP="00913869"/>
    <w:tbl>
      <w:tblPr>
        <w:tblW w:w="0" w:type="auto"/>
        <w:tblLook w:val="04A0" w:firstRow="1" w:lastRow="0" w:firstColumn="1" w:lastColumn="0" w:noHBand="0" w:noVBand="1"/>
      </w:tblPr>
      <w:tblGrid>
        <w:gridCol w:w="7890"/>
        <w:gridCol w:w="849"/>
      </w:tblGrid>
      <w:tr w:rsidR="00D62C4A" w:rsidRPr="00007C4E" w14:paraId="458AB3D9" w14:textId="77777777" w:rsidTr="00B05954">
        <w:tc>
          <w:tcPr>
            <w:tcW w:w="8755" w:type="dxa"/>
            <w:gridSpan w:val="2"/>
            <w:shd w:val="clear" w:color="auto" w:fill="auto"/>
          </w:tcPr>
          <w:p w14:paraId="205D9DD5" w14:textId="0EAFE50C" w:rsidR="00D62C4A" w:rsidRPr="00007C4E" w:rsidRDefault="00D62C4A" w:rsidP="00B05954">
            <w:pPr>
              <w:tabs>
                <w:tab w:val="left" w:pos="851"/>
                <w:tab w:val="right" w:pos="8505"/>
              </w:tabs>
              <w:jc w:val="both"/>
              <w:rPr>
                <w:u w:val="single"/>
              </w:rPr>
            </w:pPr>
            <w:r>
              <w:rPr>
                <w:u w:val="single"/>
              </w:rPr>
              <w:t xml:space="preserve">Wednesday, 4 May 2022 </w:t>
            </w:r>
          </w:p>
          <w:p w14:paraId="427CB724" w14:textId="77777777" w:rsidR="00D62C4A" w:rsidRDefault="00D62C4A" w:rsidP="00B05954">
            <w:pPr>
              <w:pStyle w:val="Title"/>
              <w:jc w:val="left"/>
            </w:pPr>
          </w:p>
        </w:tc>
      </w:tr>
      <w:tr w:rsidR="00D62C4A" w14:paraId="48AE14C4" w14:textId="77777777" w:rsidTr="00B05954">
        <w:tc>
          <w:tcPr>
            <w:tcW w:w="7905" w:type="dxa"/>
            <w:shd w:val="clear" w:color="auto" w:fill="auto"/>
          </w:tcPr>
          <w:p w14:paraId="75226884" w14:textId="2F51F63B" w:rsidR="00D62C4A" w:rsidRPr="00913869" w:rsidRDefault="00D62C4A" w:rsidP="00B05954">
            <w:pPr>
              <w:numPr>
                <w:ilvl w:val="0"/>
                <w:numId w:val="9"/>
              </w:numPr>
              <w:ind w:hanging="720"/>
            </w:pPr>
            <w:proofErr w:type="gramStart"/>
            <w:r>
              <w:t xml:space="preserve">O’Dea  </w:t>
            </w:r>
            <w:r w:rsidRPr="00007C4E">
              <w:t>v</w:t>
            </w:r>
            <w:proofErr w:type="gramEnd"/>
            <w:r w:rsidRPr="00007C4E">
              <w:t xml:space="preserve">  </w:t>
            </w:r>
            <w:r>
              <w:t>The State of Western Australia</w:t>
            </w:r>
          </w:p>
        </w:tc>
        <w:tc>
          <w:tcPr>
            <w:tcW w:w="850" w:type="dxa"/>
            <w:shd w:val="clear" w:color="auto" w:fill="auto"/>
          </w:tcPr>
          <w:p w14:paraId="4410843E" w14:textId="39C520F4" w:rsidR="00D62C4A" w:rsidRPr="00C65A07" w:rsidRDefault="00C93FFD" w:rsidP="00B05954">
            <w:pPr>
              <w:pStyle w:val="Title"/>
              <w:rPr>
                <w:u w:val="none"/>
              </w:rPr>
            </w:pPr>
            <w:r>
              <w:rPr>
                <w:u w:val="none"/>
              </w:rPr>
              <w:t>2</w:t>
            </w:r>
          </w:p>
        </w:tc>
      </w:tr>
    </w:tbl>
    <w:p w14:paraId="1D4CCC6E" w14:textId="765FF9FD" w:rsidR="004B7828" w:rsidRDefault="004B7828" w:rsidP="00913869"/>
    <w:tbl>
      <w:tblPr>
        <w:tblW w:w="0" w:type="auto"/>
        <w:tblLook w:val="04A0" w:firstRow="1" w:lastRow="0" w:firstColumn="1" w:lastColumn="0" w:noHBand="0" w:noVBand="1"/>
      </w:tblPr>
      <w:tblGrid>
        <w:gridCol w:w="7890"/>
        <w:gridCol w:w="849"/>
      </w:tblGrid>
      <w:tr w:rsidR="00D62C4A" w:rsidRPr="00007C4E" w14:paraId="08C3D7D6" w14:textId="77777777" w:rsidTr="00B05954">
        <w:tc>
          <w:tcPr>
            <w:tcW w:w="8755" w:type="dxa"/>
            <w:gridSpan w:val="2"/>
            <w:shd w:val="clear" w:color="auto" w:fill="auto"/>
          </w:tcPr>
          <w:p w14:paraId="1FA3C00A" w14:textId="148BF67B" w:rsidR="00D62C4A" w:rsidRPr="00007C4E" w:rsidRDefault="00D62C4A" w:rsidP="00B05954">
            <w:pPr>
              <w:tabs>
                <w:tab w:val="left" w:pos="851"/>
                <w:tab w:val="right" w:pos="8505"/>
              </w:tabs>
              <w:jc w:val="both"/>
              <w:rPr>
                <w:u w:val="single"/>
              </w:rPr>
            </w:pPr>
            <w:r>
              <w:rPr>
                <w:u w:val="single"/>
              </w:rPr>
              <w:t xml:space="preserve">Tuesday, 10 May 2022 </w:t>
            </w:r>
          </w:p>
          <w:p w14:paraId="680AFE1F" w14:textId="77777777" w:rsidR="00D62C4A" w:rsidRDefault="00D62C4A" w:rsidP="00B05954">
            <w:pPr>
              <w:pStyle w:val="Title"/>
              <w:jc w:val="left"/>
            </w:pPr>
          </w:p>
        </w:tc>
      </w:tr>
      <w:tr w:rsidR="00D62C4A" w14:paraId="58F0B7CC" w14:textId="77777777" w:rsidTr="00B05954">
        <w:tc>
          <w:tcPr>
            <w:tcW w:w="7905" w:type="dxa"/>
            <w:shd w:val="clear" w:color="auto" w:fill="auto"/>
          </w:tcPr>
          <w:p w14:paraId="5C3BE7C9" w14:textId="29C63B7B" w:rsidR="00D62C4A" w:rsidRPr="00913869" w:rsidRDefault="00D62C4A" w:rsidP="00B05954">
            <w:pPr>
              <w:numPr>
                <w:ilvl w:val="0"/>
                <w:numId w:val="9"/>
              </w:numPr>
              <w:ind w:hanging="720"/>
            </w:pPr>
            <w:proofErr w:type="spellStart"/>
            <w:r>
              <w:t>Tu’uta</w:t>
            </w:r>
            <w:proofErr w:type="spellEnd"/>
            <w:r>
              <w:t xml:space="preserve"> </w:t>
            </w:r>
            <w:proofErr w:type="gramStart"/>
            <w:r>
              <w:t xml:space="preserve">Katoa  </w:t>
            </w:r>
            <w:r w:rsidRPr="00007C4E">
              <w:t>v</w:t>
            </w:r>
            <w:proofErr w:type="gramEnd"/>
            <w:r w:rsidRPr="00007C4E">
              <w:t xml:space="preserve">  </w:t>
            </w:r>
            <w:r>
              <w:t>Minister for Immigration, Citizenship, Migrant Services and Multicultural Affairs &amp; Anor</w:t>
            </w:r>
          </w:p>
        </w:tc>
        <w:tc>
          <w:tcPr>
            <w:tcW w:w="850" w:type="dxa"/>
            <w:shd w:val="clear" w:color="auto" w:fill="auto"/>
          </w:tcPr>
          <w:p w14:paraId="0137E8F5" w14:textId="002D2EBF" w:rsidR="00D62C4A" w:rsidRPr="00C65A07" w:rsidRDefault="009A7BD7" w:rsidP="00B05954">
            <w:pPr>
              <w:pStyle w:val="Title"/>
              <w:rPr>
                <w:u w:val="none"/>
              </w:rPr>
            </w:pPr>
            <w:r>
              <w:rPr>
                <w:u w:val="none"/>
              </w:rPr>
              <w:t>3</w:t>
            </w:r>
          </w:p>
        </w:tc>
      </w:tr>
    </w:tbl>
    <w:p w14:paraId="5B0666D4" w14:textId="39CCE877" w:rsidR="00D62C4A" w:rsidRDefault="00D62C4A" w:rsidP="00913869"/>
    <w:tbl>
      <w:tblPr>
        <w:tblW w:w="0" w:type="auto"/>
        <w:tblLook w:val="04A0" w:firstRow="1" w:lastRow="0" w:firstColumn="1" w:lastColumn="0" w:noHBand="0" w:noVBand="1"/>
      </w:tblPr>
      <w:tblGrid>
        <w:gridCol w:w="7890"/>
        <w:gridCol w:w="849"/>
      </w:tblGrid>
      <w:tr w:rsidR="00D62C4A" w:rsidRPr="00007C4E" w14:paraId="0CF2366C" w14:textId="77777777" w:rsidTr="00B05954">
        <w:tc>
          <w:tcPr>
            <w:tcW w:w="8755" w:type="dxa"/>
            <w:gridSpan w:val="2"/>
            <w:shd w:val="clear" w:color="auto" w:fill="auto"/>
          </w:tcPr>
          <w:p w14:paraId="42FD6EDC" w14:textId="7F247B3C" w:rsidR="00D62C4A" w:rsidRPr="00007C4E" w:rsidRDefault="00D62C4A" w:rsidP="00B05954">
            <w:pPr>
              <w:tabs>
                <w:tab w:val="left" w:pos="851"/>
                <w:tab w:val="right" w:pos="8505"/>
              </w:tabs>
              <w:jc w:val="both"/>
              <w:rPr>
                <w:u w:val="single"/>
              </w:rPr>
            </w:pPr>
            <w:r>
              <w:rPr>
                <w:u w:val="single"/>
              </w:rPr>
              <w:t xml:space="preserve">Wednesday, 11 May 2022 </w:t>
            </w:r>
          </w:p>
          <w:p w14:paraId="0F92C73D" w14:textId="77777777" w:rsidR="00D62C4A" w:rsidRDefault="00D62C4A" w:rsidP="00B05954">
            <w:pPr>
              <w:pStyle w:val="Title"/>
              <w:jc w:val="left"/>
            </w:pPr>
          </w:p>
        </w:tc>
      </w:tr>
      <w:tr w:rsidR="00D62C4A" w14:paraId="5902F650" w14:textId="77777777" w:rsidTr="00B05954">
        <w:tc>
          <w:tcPr>
            <w:tcW w:w="7905" w:type="dxa"/>
            <w:shd w:val="clear" w:color="auto" w:fill="auto"/>
          </w:tcPr>
          <w:p w14:paraId="431E76BF" w14:textId="58747C9E" w:rsidR="00D62C4A" w:rsidRPr="00385013" w:rsidRDefault="00D62C4A" w:rsidP="00B05954">
            <w:pPr>
              <w:numPr>
                <w:ilvl w:val="0"/>
                <w:numId w:val="9"/>
              </w:numPr>
              <w:ind w:hanging="720"/>
            </w:pPr>
            <w:proofErr w:type="spellStart"/>
            <w:proofErr w:type="gramStart"/>
            <w:r w:rsidRPr="00385013">
              <w:t>Hore</w:t>
            </w:r>
            <w:proofErr w:type="spellEnd"/>
            <w:r w:rsidRPr="00385013">
              <w:t xml:space="preserve">  v</w:t>
            </w:r>
            <w:proofErr w:type="gramEnd"/>
            <w:r w:rsidRPr="00385013">
              <w:t xml:space="preserve">  The Queen</w:t>
            </w:r>
            <w:r w:rsidR="00094A56" w:rsidRPr="00385013">
              <w:t xml:space="preserve">; </w:t>
            </w:r>
            <w:r w:rsidR="00F5167C">
              <w:t xml:space="preserve"> </w:t>
            </w:r>
            <w:proofErr w:type="spellStart"/>
            <w:r w:rsidR="00094A56" w:rsidRPr="00385013">
              <w:t>Wichen</w:t>
            </w:r>
            <w:proofErr w:type="spellEnd"/>
            <w:r w:rsidR="00094A56" w:rsidRPr="00385013">
              <w:t xml:space="preserve">  v  The Queen</w:t>
            </w:r>
          </w:p>
        </w:tc>
        <w:tc>
          <w:tcPr>
            <w:tcW w:w="850" w:type="dxa"/>
            <w:shd w:val="clear" w:color="auto" w:fill="auto"/>
          </w:tcPr>
          <w:p w14:paraId="02BE48FE" w14:textId="6A9565EC" w:rsidR="00D62C4A" w:rsidRPr="00C65A07" w:rsidRDefault="009A7BD7" w:rsidP="00B05954">
            <w:pPr>
              <w:pStyle w:val="Title"/>
              <w:rPr>
                <w:u w:val="none"/>
              </w:rPr>
            </w:pPr>
            <w:r>
              <w:rPr>
                <w:u w:val="none"/>
              </w:rPr>
              <w:t>4</w:t>
            </w:r>
          </w:p>
        </w:tc>
      </w:tr>
    </w:tbl>
    <w:p w14:paraId="04FEEE02" w14:textId="5740EDBE" w:rsidR="00D62C4A" w:rsidRDefault="00D62C4A" w:rsidP="00913869"/>
    <w:p w14:paraId="70ED6BB6" w14:textId="7D2CE7BA" w:rsidR="00D62C4A" w:rsidRDefault="00D62C4A" w:rsidP="00913869"/>
    <w:p w14:paraId="3EC2BA10" w14:textId="4F68DC71" w:rsidR="00356E32" w:rsidRDefault="00356E32">
      <w:r>
        <w:br w:type="page"/>
      </w:r>
    </w:p>
    <w:p w14:paraId="71D95700" w14:textId="77777777" w:rsidR="00356E32" w:rsidRPr="00CE6919" w:rsidRDefault="00356E32" w:rsidP="00356E32">
      <w:pPr>
        <w:pStyle w:val="NoSpacing"/>
        <w:rPr>
          <w:rFonts w:ascii="Arial" w:eastAsia="Times New Roman" w:hAnsi="Arial" w:cs="Arial"/>
          <w:b/>
          <w:color w:val="000000"/>
          <w:sz w:val="28"/>
          <w:szCs w:val="28"/>
          <w:u w:val="single"/>
          <w:lang w:eastAsia="en-AU"/>
        </w:rPr>
      </w:pPr>
      <w:r w:rsidRPr="00CE6919">
        <w:rPr>
          <w:rFonts w:ascii="Arial" w:eastAsia="Times New Roman" w:hAnsi="Arial" w:cs="Arial"/>
          <w:b/>
          <w:color w:val="000000"/>
          <w:sz w:val="28"/>
          <w:szCs w:val="28"/>
          <w:u w:val="single"/>
          <w:lang w:eastAsia="en-AU"/>
        </w:rPr>
        <w:lastRenderedPageBreak/>
        <w:t>GOOGLE LLC v DEFTEROS</w:t>
      </w:r>
      <w:r w:rsidRPr="00CE6919">
        <w:rPr>
          <w:rFonts w:ascii="Arial" w:eastAsia="Times New Roman" w:hAnsi="Arial" w:cs="Arial"/>
          <w:b/>
          <w:color w:val="000000"/>
          <w:sz w:val="28"/>
          <w:szCs w:val="28"/>
          <w:lang w:eastAsia="en-AU"/>
        </w:rPr>
        <w:t xml:space="preserve"> (M86/2021)</w:t>
      </w:r>
    </w:p>
    <w:p w14:paraId="39EB7CA2" w14:textId="77777777" w:rsidR="00356E32" w:rsidRPr="00E651B8" w:rsidRDefault="00356E32" w:rsidP="00356E32">
      <w:pPr>
        <w:ind w:left="2694" w:hanging="2694"/>
        <w:jc w:val="both"/>
        <w:rPr>
          <w:rFonts w:cs="Arial"/>
          <w:szCs w:val="24"/>
        </w:rPr>
      </w:pPr>
    </w:p>
    <w:p w14:paraId="1A192068" w14:textId="77777777" w:rsidR="00356E32" w:rsidRDefault="00356E32" w:rsidP="00356E32">
      <w:pPr>
        <w:ind w:left="2880" w:hanging="2880"/>
        <w:rPr>
          <w:rFonts w:cs="Arial"/>
          <w:szCs w:val="24"/>
        </w:rPr>
      </w:pPr>
      <w:r w:rsidRPr="008A0364">
        <w:rPr>
          <w:rFonts w:cs="Arial"/>
          <w:szCs w:val="24"/>
          <w:u w:val="single"/>
        </w:rPr>
        <w:t>Court appealed from</w:t>
      </w:r>
      <w:r>
        <w:rPr>
          <w:rFonts w:cs="Arial"/>
          <w:szCs w:val="24"/>
        </w:rPr>
        <w:t>:</w:t>
      </w:r>
      <w:r w:rsidRPr="008A0364">
        <w:rPr>
          <w:rFonts w:cs="Arial"/>
          <w:szCs w:val="24"/>
        </w:rPr>
        <w:tab/>
      </w:r>
      <w:r>
        <w:rPr>
          <w:rFonts w:cs="Arial"/>
          <w:szCs w:val="24"/>
        </w:rPr>
        <w:t xml:space="preserve">Supreme Court of Victoria Court of Appeal </w:t>
      </w:r>
      <w:r>
        <w:rPr>
          <w:rFonts w:cs="Arial"/>
          <w:szCs w:val="24"/>
        </w:rPr>
        <w:br/>
      </w:r>
      <w:r w:rsidRPr="00F91228">
        <w:rPr>
          <w:rFonts w:cs="Arial"/>
          <w:szCs w:val="24"/>
        </w:rPr>
        <w:t>[202</w:t>
      </w:r>
      <w:r>
        <w:rPr>
          <w:rFonts w:cs="Arial"/>
          <w:szCs w:val="24"/>
        </w:rPr>
        <w:t>1</w:t>
      </w:r>
      <w:r w:rsidRPr="00F91228">
        <w:rPr>
          <w:rFonts w:cs="Arial"/>
          <w:szCs w:val="24"/>
        </w:rPr>
        <w:t xml:space="preserve">] </w:t>
      </w:r>
      <w:r>
        <w:rPr>
          <w:rFonts w:cs="Arial"/>
          <w:szCs w:val="24"/>
        </w:rPr>
        <w:t>VSCA 167</w:t>
      </w:r>
    </w:p>
    <w:p w14:paraId="50FCE92E" w14:textId="77777777" w:rsidR="00356E32" w:rsidRPr="008A0364" w:rsidRDefault="00356E32" w:rsidP="00356E32">
      <w:pPr>
        <w:ind w:left="2552" w:hanging="2552"/>
        <w:jc w:val="both"/>
        <w:rPr>
          <w:rFonts w:cs="Arial"/>
          <w:szCs w:val="24"/>
        </w:rPr>
      </w:pPr>
    </w:p>
    <w:p w14:paraId="118A7AC8" w14:textId="1BB9988F" w:rsidR="00356E32" w:rsidRDefault="00356E32" w:rsidP="00C2303B">
      <w:pPr>
        <w:tabs>
          <w:tab w:val="left" w:pos="2835"/>
        </w:tabs>
        <w:rPr>
          <w:rFonts w:cs="Arial"/>
          <w:szCs w:val="24"/>
        </w:rPr>
      </w:pPr>
      <w:r w:rsidRPr="008A0364">
        <w:rPr>
          <w:rFonts w:cs="Arial"/>
          <w:szCs w:val="24"/>
          <w:u w:val="single"/>
        </w:rPr>
        <w:t>Date of judgment</w:t>
      </w:r>
      <w:r>
        <w:rPr>
          <w:rFonts w:cs="Arial"/>
          <w:szCs w:val="24"/>
        </w:rPr>
        <w:t>:</w:t>
      </w:r>
      <w:r>
        <w:rPr>
          <w:rFonts w:cs="Arial"/>
          <w:szCs w:val="24"/>
        </w:rPr>
        <w:tab/>
        <w:t>17 June 2021</w:t>
      </w:r>
    </w:p>
    <w:p w14:paraId="089501CF" w14:textId="77777777" w:rsidR="00356E32" w:rsidRDefault="00356E32" w:rsidP="00356E32">
      <w:pPr>
        <w:ind w:left="2552" w:hanging="2552"/>
        <w:rPr>
          <w:rFonts w:cs="Arial"/>
          <w:szCs w:val="24"/>
        </w:rPr>
      </w:pPr>
    </w:p>
    <w:p w14:paraId="577309AF" w14:textId="61762314" w:rsidR="00356E32" w:rsidRPr="001D2812" w:rsidRDefault="00356E32" w:rsidP="00356E32">
      <w:pPr>
        <w:tabs>
          <w:tab w:val="left" w:pos="2835"/>
        </w:tabs>
        <w:jc w:val="both"/>
        <w:rPr>
          <w:rFonts w:cs="Arial"/>
          <w:szCs w:val="24"/>
        </w:rPr>
      </w:pPr>
      <w:r>
        <w:rPr>
          <w:rFonts w:cs="Arial"/>
          <w:szCs w:val="24"/>
          <w:u w:val="single"/>
        </w:rPr>
        <w:t>Special leave granted</w:t>
      </w:r>
      <w:r>
        <w:rPr>
          <w:rFonts w:cs="Arial"/>
          <w:szCs w:val="24"/>
        </w:rPr>
        <w:t xml:space="preserve">: </w:t>
      </w:r>
      <w:r>
        <w:rPr>
          <w:rFonts w:cs="Arial"/>
          <w:szCs w:val="24"/>
        </w:rPr>
        <w:tab/>
        <w:t>10 December 2021</w:t>
      </w:r>
    </w:p>
    <w:p w14:paraId="73477435" w14:textId="77777777" w:rsidR="00356E32" w:rsidRDefault="00356E32" w:rsidP="00356E32">
      <w:pPr>
        <w:jc w:val="both"/>
        <w:rPr>
          <w:rFonts w:cs="Arial"/>
          <w:szCs w:val="24"/>
        </w:rPr>
      </w:pPr>
    </w:p>
    <w:p w14:paraId="17421C34" w14:textId="77777777" w:rsidR="00356E32" w:rsidRDefault="00356E32" w:rsidP="00356E32">
      <w:pPr>
        <w:jc w:val="both"/>
        <w:rPr>
          <w:rFonts w:cs="Arial"/>
          <w:szCs w:val="24"/>
        </w:rPr>
      </w:pPr>
      <w:r>
        <w:rPr>
          <w:rFonts w:cs="Arial"/>
          <w:szCs w:val="24"/>
        </w:rPr>
        <w:t>In 2016, the respondent commenced a defamation proceeding against the appellant, Google LLC, in the Supreme Court of Victoria.  The respondent alleged that the appellant published material (“the Web Matter”) that was defamatory to him.  The respondent commenced another defamation proceeding in 2017 which was heard with the Web Matter in the Supreme Court and in the Court of Appeal, however, the 2017 proceeding is not the subject of any High Court appeal.</w:t>
      </w:r>
    </w:p>
    <w:p w14:paraId="5E40AF9C" w14:textId="77777777" w:rsidR="00356E32" w:rsidRDefault="00356E32" w:rsidP="00356E32">
      <w:pPr>
        <w:jc w:val="both"/>
        <w:rPr>
          <w:rFonts w:cs="Arial"/>
          <w:szCs w:val="24"/>
        </w:rPr>
      </w:pPr>
    </w:p>
    <w:p w14:paraId="729DE0C4" w14:textId="77777777" w:rsidR="00356E32" w:rsidRDefault="00356E32" w:rsidP="00356E32">
      <w:pPr>
        <w:jc w:val="both"/>
        <w:rPr>
          <w:rFonts w:cs="Arial"/>
          <w:szCs w:val="24"/>
        </w:rPr>
      </w:pPr>
      <w:r>
        <w:rPr>
          <w:rFonts w:cs="Arial"/>
          <w:szCs w:val="24"/>
        </w:rPr>
        <w:t xml:space="preserve">On 6 May 2020, the primary judge made orders giving judgment for the respondent in the sum of $40,000 in relation to the Web Matter.  The primary judge found that the Web Matter conveyed the defamatory imputation that the respondent had crossed the line from professional lawyer for, to confidant and friend of, criminal elements.  A </w:t>
      </w:r>
      <w:proofErr w:type="spellStart"/>
      <w:r>
        <w:rPr>
          <w:rFonts w:cs="Arial"/>
          <w:szCs w:val="24"/>
        </w:rPr>
        <w:t>defence</w:t>
      </w:r>
      <w:proofErr w:type="spellEnd"/>
      <w:r>
        <w:rPr>
          <w:rFonts w:cs="Arial"/>
          <w:szCs w:val="24"/>
        </w:rPr>
        <w:t xml:space="preserve"> of statutory qualified privilege was made out in relation to a substantial proportion of the (up to 150) people to whom it was published, but it was not established in relation to a smaller number of those people.  Other </w:t>
      </w:r>
      <w:proofErr w:type="spellStart"/>
      <w:r>
        <w:rPr>
          <w:rFonts w:cs="Arial"/>
          <w:szCs w:val="24"/>
        </w:rPr>
        <w:t>defences</w:t>
      </w:r>
      <w:proofErr w:type="spellEnd"/>
      <w:r>
        <w:rPr>
          <w:rFonts w:cs="Arial"/>
          <w:szCs w:val="24"/>
        </w:rPr>
        <w:t xml:space="preserve"> pleaded by the appellant were not made out.</w:t>
      </w:r>
    </w:p>
    <w:p w14:paraId="2DC4AB07" w14:textId="77777777" w:rsidR="00356E32" w:rsidRDefault="00356E32" w:rsidP="00356E32">
      <w:pPr>
        <w:jc w:val="both"/>
        <w:rPr>
          <w:rFonts w:cs="Arial"/>
          <w:szCs w:val="24"/>
        </w:rPr>
      </w:pPr>
    </w:p>
    <w:p w14:paraId="6CE1EDB4" w14:textId="77777777" w:rsidR="00356E32" w:rsidRDefault="00356E32" w:rsidP="00356E32">
      <w:pPr>
        <w:jc w:val="both"/>
        <w:rPr>
          <w:rFonts w:cs="Arial"/>
          <w:szCs w:val="24"/>
        </w:rPr>
      </w:pPr>
      <w:r>
        <w:rPr>
          <w:rFonts w:cs="Arial"/>
          <w:szCs w:val="24"/>
        </w:rPr>
        <w:t>The appellant sought leave to appeal to the Victorian Court of Appeal, and the respondent sought leave to cross-appeal.  Leave to appeal was granted by the Court of Appeal, but the appeal was dismissed and leave to cross-appeal was refused.</w:t>
      </w:r>
    </w:p>
    <w:p w14:paraId="3268FB24" w14:textId="77777777" w:rsidR="00356E32" w:rsidRDefault="00356E32" w:rsidP="00356E32">
      <w:pPr>
        <w:jc w:val="both"/>
        <w:rPr>
          <w:rFonts w:cs="Arial"/>
          <w:szCs w:val="24"/>
        </w:rPr>
      </w:pPr>
    </w:p>
    <w:p w14:paraId="00776B86" w14:textId="77777777" w:rsidR="00356E32" w:rsidRDefault="00356E32" w:rsidP="00356E32">
      <w:pPr>
        <w:jc w:val="both"/>
        <w:rPr>
          <w:rFonts w:cs="Arial"/>
          <w:szCs w:val="24"/>
        </w:rPr>
      </w:pPr>
      <w:r>
        <w:rPr>
          <w:rFonts w:cs="Arial"/>
          <w:szCs w:val="24"/>
        </w:rPr>
        <w:t>The appellant sought special leave to appeal which was granted on 10 December 2021.</w:t>
      </w:r>
    </w:p>
    <w:p w14:paraId="0064A630" w14:textId="77777777" w:rsidR="00356E32" w:rsidRDefault="00356E32" w:rsidP="00356E32">
      <w:pPr>
        <w:jc w:val="both"/>
        <w:rPr>
          <w:rFonts w:cs="Arial"/>
          <w:szCs w:val="24"/>
        </w:rPr>
      </w:pPr>
    </w:p>
    <w:p w14:paraId="30481CE3" w14:textId="77777777" w:rsidR="00356E32" w:rsidRPr="00855FEF" w:rsidRDefault="00356E32" w:rsidP="00356E32">
      <w:pPr>
        <w:jc w:val="both"/>
        <w:rPr>
          <w:rFonts w:cs="Arial"/>
          <w:szCs w:val="24"/>
        </w:rPr>
      </w:pPr>
      <w:r>
        <w:rPr>
          <w:rFonts w:cs="Arial"/>
          <w:szCs w:val="24"/>
        </w:rPr>
        <w:t>On 24 December 2021, the appellant filed a notice of appeal containing the ground of appeal proposed in the application for special leave.  At the same time, the appellant filed an application for leave to file an amended notice of appeal containing an additional ground of appeal.</w:t>
      </w:r>
    </w:p>
    <w:p w14:paraId="5988FE33" w14:textId="77777777" w:rsidR="00356E32" w:rsidRDefault="00356E32" w:rsidP="00356E32">
      <w:pPr>
        <w:jc w:val="both"/>
        <w:rPr>
          <w:rFonts w:cs="Arial"/>
          <w:szCs w:val="24"/>
        </w:rPr>
      </w:pPr>
    </w:p>
    <w:p w14:paraId="778CD4C6" w14:textId="77777777" w:rsidR="00356E32" w:rsidRDefault="00356E32" w:rsidP="00356E32">
      <w:pPr>
        <w:jc w:val="both"/>
        <w:rPr>
          <w:rFonts w:cs="Arial"/>
          <w:szCs w:val="24"/>
        </w:rPr>
      </w:pPr>
      <w:r>
        <w:rPr>
          <w:rFonts w:cs="Arial"/>
          <w:szCs w:val="24"/>
        </w:rPr>
        <w:t>The grounds of appeal are that:</w:t>
      </w:r>
    </w:p>
    <w:p w14:paraId="70CB9F7F" w14:textId="77777777" w:rsidR="00356E32" w:rsidRDefault="00356E32" w:rsidP="00356E32">
      <w:pPr>
        <w:jc w:val="both"/>
        <w:rPr>
          <w:rFonts w:cs="Arial"/>
          <w:szCs w:val="24"/>
        </w:rPr>
      </w:pPr>
    </w:p>
    <w:p w14:paraId="4EB2B6CF" w14:textId="77777777" w:rsidR="00356E32" w:rsidRPr="00E71E4B" w:rsidRDefault="00356E32" w:rsidP="00356E32">
      <w:pPr>
        <w:pStyle w:val="ListParagraph"/>
        <w:numPr>
          <w:ilvl w:val="0"/>
          <w:numId w:val="10"/>
        </w:numPr>
        <w:jc w:val="both"/>
        <w:rPr>
          <w:rFonts w:cs="Arial"/>
          <w:sz w:val="24"/>
          <w:szCs w:val="24"/>
        </w:rPr>
      </w:pPr>
      <w:r>
        <w:rPr>
          <w:rFonts w:cs="Arial"/>
          <w:sz w:val="24"/>
          <w:szCs w:val="24"/>
        </w:rPr>
        <w:t>The Court of Appeal erred in concluding that the appellant published the Web Matter</w:t>
      </w:r>
      <w:r w:rsidRPr="00E71E4B">
        <w:rPr>
          <w:rFonts w:cs="Arial"/>
          <w:sz w:val="24"/>
          <w:szCs w:val="24"/>
        </w:rPr>
        <w:t>.</w:t>
      </w:r>
    </w:p>
    <w:p w14:paraId="391BFDCA" w14:textId="77777777" w:rsidR="00356E32" w:rsidRDefault="00356E32" w:rsidP="00356E32">
      <w:pPr>
        <w:pStyle w:val="ListParagraph"/>
        <w:numPr>
          <w:ilvl w:val="0"/>
          <w:numId w:val="10"/>
        </w:numPr>
        <w:jc w:val="both"/>
        <w:rPr>
          <w:rFonts w:cs="Arial"/>
          <w:sz w:val="24"/>
          <w:szCs w:val="24"/>
        </w:rPr>
      </w:pPr>
      <w:r>
        <w:rPr>
          <w:rFonts w:cs="Arial"/>
          <w:sz w:val="24"/>
          <w:szCs w:val="24"/>
        </w:rPr>
        <w:t>The Court of Appeal erred in rejecting the appellant’s common law qualified privilege defence.</w:t>
      </w:r>
    </w:p>
    <w:p w14:paraId="01E3F904" w14:textId="77777777" w:rsidR="00356E32" w:rsidRDefault="00356E32" w:rsidP="00356E32">
      <w:pPr>
        <w:pStyle w:val="ListParagraph"/>
        <w:numPr>
          <w:ilvl w:val="0"/>
          <w:numId w:val="10"/>
        </w:numPr>
        <w:jc w:val="both"/>
        <w:rPr>
          <w:rFonts w:cs="Arial"/>
          <w:sz w:val="24"/>
          <w:szCs w:val="24"/>
        </w:rPr>
      </w:pPr>
      <w:r w:rsidRPr="00607061">
        <w:rPr>
          <w:rFonts w:cs="Arial"/>
          <w:sz w:val="24"/>
          <w:szCs w:val="24"/>
        </w:rPr>
        <w:t>T</w:t>
      </w:r>
      <w:r>
        <w:rPr>
          <w:rFonts w:cs="Arial"/>
          <w:sz w:val="24"/>
          <w:szCs w:val="24"/>
        </w:rPr>
        <w:t>h</w:t>
      </w:r>
      <w:r w:rsidRPr="00607061">
        <w:rPr>
          <w:rFonts w:cs="Arial"/>
          <w:sz w:val="24"/>
          <w:szCs w:val="24"/>
        </w:rPr>
        <w:t>e</w:t>
      </w:r>
      <w:r>
        <w:rPr>
          <w:rFonts w:cs="Arial"/>
          <w:sz w:val="24"/>
          <w:szCs w:val="24"/>
        </w:rPr>
        <w:t xml:space="preserve"> Court of Appeal erred in rejecting the appellant’s statutory qualified privilege defence under s 30(1) of the </w:t>
      </w:r>
      <w:r>
        <w:rPr>
          <w:rFonts w:cs="Arial"/>
          <w:i/>
          <w:sz w:val="24"/>
          <w:szCs w:val="24"/>
        </w:rPr>
        <w:t xml:space="preserve">Defamation Act 2005 </w:t>
      </w:r>
      <w:r>
        <w:rPr>
          <w:rFonts w:cs="Arial"/>
          <w:sz w:val="24"/>
          <w:szCs w:val="24"/>
        </w:rPr>
        <w:t>(Vic)</w:t>
      </w:r>
      <w:r w:rsidRPr="00607061">
        <w:rPr>
          <w:rFonts w:cs="Arial"/>
          <w:sz w:val="24"/>
          <w:szCs w:val="24"/>
        </w:rPr>
        <w:t>.</w:t>
      </w:r>
    </w:p>
    <w:p w14:paraId="21D4BEA2" w14:textId="77777777" w:rsidR="00356E32" w:rsidRDefault="00356E32" w:rsidP="00356E32">
      <w:pPr>
        <w:jc w:val="both"/>
        <w:rPr>
          <w:rFonts w:cs="Arial"/>
          <w:szCs w:val="24"/>
        </w:rPr>
      </w:pPr>
    </w:p>
    <w:p w14:paraId="79A21ED2" w14:textId="77777777" w:rsidR="00356E32" w:rsidRDefault="00356E32" w:rsidP="00356E32">
      <w:pPr>
        <w:jc w:val="both"/>
        <w:rPr>
          <w:rFonts w:cs="Arial"/>
          <w:szCs w:val="24"/>
        </w:rPr>
      </w:pPr>
      <w:r>
        <w:rPr>
          <w:rFonts w:cs="Arial"/>
          <w:szCs w:val="24"/>
        </w:rPr>
        <w:t>The additional ground of appeal in the proposed amended notice of appeal is:</w:t>
      </w:r>
    </w:p>
    <w:p w14:paraId="5B856A8E" w14:textId="77777777" w:rsidR="00356E32" w:rsidRDefault="00356E32" w:rsidP="00356E32">
      <w:pPr>
        <w:jc w:val="both"/>
        <w:rPr>
          <w:rFonts w:cs="Arial"/>
          <w:szCs w:val="24"/>
        </w:rPr>
      </w:pPr>
    </w:p>
    <w:p w14:paraId="2855A4A0" w14:textId="2EF3CC85" w:rsidR="00356E32" w:rsidRDefault="00356E32" w:rsidP="00356E32">
      <w:pPr>
        <w:pStyle w:val="ListParagraph"/>
        <w:numPr>
          <w:ilvl w:val="0"/>
          <w:numId w:val="11"/>
        </w:numPr>
        <w:jc w:val="both"/>
        <w:rPr>
          <w:rFonts w:cs="Arial"/>
          <w:sz w:val="24"/>
          <w:szCs w:val="24"/>
        </w:rPr>
      </w:pPr>
      <w:r>
        <w:rPr>
          <w:rFonts w:cs="Arial"/>
          <w:sz w:val="24"/>
          <w:szCs w:val="24"/>
        </w:rPr>
        <w:t xml:space="preserve">The Court of Appeal erred in rejecting the appellant’s defence of innocent dissemination at common law and innocent dissemination pursuant to </w:t>
      </w:r>
      <w:r>
        <w:rPr>
          <w:rFonts w:cs="Arial"/>
          <w:sz w:val="24"/>
          <w:szCs w:val="24"/>
        </w:rPr>
        <w:br/>
        <w:t xml:space="preserve">s 32 of the </w:t>
      </w:r>
      <w:r>
        <w:rPr>
          <w:rFonts w:cs="Arial"/>
          <w:i/>
          <w:sz w:val="24"/>
          <w:szCs w:val="24"/>
        </w:rPr>
        <w:t>Defamation Act 2005</w:t>
      </w:r>
      <w:r>
        <w:rPr>
          <w:rFonts w:cs="Arial"/>
          <w:sz w:val="24"/>
          <w:szCs w:val="24"/>
        </w:rPr>
        <w:t xml:space="preserve"> (Vic).</w:t>
      </w:r>
    </w:p>
    <w:p w14:paraId="59F9DB76" w14:textId="77777777" w:rsidR="008134B4" w:rsidRDefault="008134B4" w:rsidP="008134B4">
      <w:pPr>
        <w:pStyle w:val="ListParagraph"/>
        <w:jc w:val="both"/>
        <w:rPr>
          <w:rFonts w:cs="Arial"/>
          <w:sz w:val="24"/>
          <w:szCs w:val="24"/>
        </w:rPr>
      </w:pPr>
    </w:p>
    <w:p w14:paraId="77ABC976" w14:textId="77777777" w:rsidR="008134B4" w:rsidRPr="00274CB5" w:rsidRDefault="008134B4" w:rsidP="00C93FFD">
      <w:pPr>
        <w:pStyle w:val="NoSpacing"/>
        <w:rPr>
          <w:rFonts w:ascii="Arial" w:eastAsia="Times New Roman" w:hAnsi="Arial" w:cs="Arial"/>
          <w:b/>
          <w:color w:val="000000"/>
          <w:sz w:val="24"/>
          <w:szCs w:val="24"/>
          <w:u w:val="single"/>
          <w:lang w:eastAsia="en-AU"/>
        </w:rPr>
      </w:pPr>
    </w:p>
    <w:p w14:paraId="2405B233" w14:textId="5B244530" w:rsidR="00C93FFD" w:rsidRPr="00BF49E3" w:rsidRDefault="00C93FFD" w:rsidP="00C93FFD">
      <w:pPr>
        <w:pStyle w:val="NoSpacing"/>
        <w:rPr>
          <w:rFonts w:ascii="Arial" w:eastAsia="Times New Roman" w:hAnsi="Arial" w:cs="Arial"/>
          <w:b/>
          <w:color w:val="000000"/>
          <w:sz w:val="28"/>
          <w:szCs w:val="28"/>
          <w:u w:val="single"/>
          <w:lang w:eastAsia="en-AU"/>
        </w:rPr>
      </w:pPr>
      <w:r w:rsidRPr="00BF49E3">
        <w:rPr>
          <w:rFonts w:ascii="Arial" w:eastAsia="Times New Roman" w:hAnsi="Arial" w:cs="Arial"/>
          <w:b/>
          <w:color w:val="000000"/>
          <w:sz w:val="28"/>
          <w:szCs w:val="28"/>
          <w:u w:val="single"/>
          <w:lang w:eastAsia="en-AU"/>
        </w:rPr>
        <w:lastRenderedPageBreak/>
        <w:t>O’DEA v THE STATE OF WESTERN AUSTRALIA</w:t>
      </w:r>
      <w:r w:rsidRPr="00BF49E3">
        <w:rPr>
          <w:rFonts w:ascii="Arial" w:eastAsia="Times New Roman" w:hAnsi="Arial" w:cs="Arial"/>
          <w:b/>
          <w:color w:val="000000"/>
          <w:sz w:val="28"/>
          <w:szCs w:val="28"/>
          <w:lang w:eastAsia="en-AU"/>
        </w:rPr>
        <w:t xml:space="preserve"> (P53/2021)</w:t>
      </w:r>
    </w:p>
    <w:p w14:paraId="09920F6B" w14:textId="77777777" w:rsidR="00C93FFD" w:rsidRPr="00E651B8" w:rsidRDefault="00C93FFD" w:rsidP="00C93FFD">
      <w:pPr>
        <w:ind w:left="2694" w:hanging="2694"/>
        <w:jc w:val="both"/>
        <w:rPr>
          <w:rFonts w:cs="Arial"/>
          <w:szCs w:val="24"/>
        </w:rPr>
      </w:pPr>
    </w:p>
    <w:p w14:paraId="43663AE3" w14:textId="77777777" w:rsidR="00C93FFD" w:rsidRDefault="00C93FFD" w:rsidP="00C93FFD">
      <w:pPr>
        <w:ind w:left="2880" w:hanging="2880"/>
        <w:rPr>
          <w:rFonts w:cs="Arial"/>
          <w:szCs w:val="24"/>
        </w:rPr>
      </w:pPr>
      <w:r>
        <w:rPr>
          <w:rFonts w:cs="Arial"/>
          <w:szCs w:val="24"/>
          <w:u w:val="single"/>
        </w:rPr>
        <w:t>Court appealed</w:t>
      </w:r>
      <w:r w:rsidRPr="008A0364">
        <w:rPr>
          <w:rFonts w:cs="Arial"/>
          <w:szCs w:val="24"/>
          <w:u w:val="single"/>
        </w:rPr>
        <w:t xml:space="preserve"> from</w:t>
      </w:r>
      <w:r>
        <w:rPr>
          <w:rFonts w:cs="Arial"/>
          <w:szCs w:val="24"/>
        </w:rPr>
        <w:t>:</w:t>
      </w:r>
      <w:r w:rsidRPr="008A0364">
        <w:rPr>
          <w:rFonts w:cs="Arial"/>
          <w:szCs w:val="24"/>
        </w:rPr>
        <w:tab/>
      </w:r>
      <w:r>
        <w:rPr>
          <w:rFonts w:cs="Arial"/>
          <w:szCs w:val="24"/>
        </w:rPr>
        <w:t xml:space="preserve">Supreme Court of Western Australia Court of Appeal </w:t>
      </w:r>
      <w:r>
        <w:rPr>
          <w:rFonts w:cs="Arial"/>
          <w:szCs w:val="24"/>
        </w:rPr>
        <w:br/>
      </w:r>
      <w:r w:rsidRPr="00AE730E">
        <w:rPr>
          <w:rFonts w:cs="Arial"/>
          <w:szCs w:val="24"/>
        </w:rPr>
        <w:t>[2021] WASCA 61</w:t>
      </w:r>
    </w:p>
    <w:p w14:paraId="43EDE716" w14:textId="77777777" w:rsidR="00C93FFD" w:rsidRPr="008A0364" w:rsidRDefault="00C93FFD" w:rsidP="00C93FFD">
      <w:pPr>
        <w:ind w:left="2880" w:hanging="2880"/>
        <w:rPr>
          <w:rFonts w:cs="Arial"/>
          <w:szCs w:val="24"/>
        </w:rPr>
      </w:pPr>
    </w:p>
    <w:p w14:paraId="18C721EB" w14:textId="675818F0" w:rsidR="00C93FFD" w:rsidRDefault="00C93FFD" w:rsidP="0017588E">
      <w:pPr>
        <w:tabs>
          <w:tab w:val="left" w:pos="2835"/>
        </w:tabs>
        <w:jc w:val="both"/>
        <w:rPr>
          <w:rFonts w:cs="Arial"/>
          <w:szCs w:val="24"/>
        </w:rPr>
      </w:pPr>
      <w:r>
        <w:rPr>
          <w:rFonts w:cs="Arial"/>
          <w:szCs w:val="24"/>
          <w:u w:val="single"/>
        </w:rPr>
        <w:t>Date of judgment</w:t>
      </w:r>
      <w:r>
        <w:rPr>
          <w:rFonts w:cs="Arial"/>
          <w:szCs w:val="24"/>
        </w:rPr>
        <w:t>:</w:t>
      </w:r>
      <w:r>
        <w:rPr>
          <w:rFonts w:cs="Arial"/>
          <w:szCs w:val="24"/>
        </w:rPr>
        <w:tab/>
        <w:t>13 April 2021</w:t>
      </w:r>
    </w:p>
    <w:p w14:paraId="2A6CEF91" w14:textId="77777777" w:rsidR="00C93FFD" w:rsidRDefault="00C93FFD" w:rsidP="00C93FFD">
      <w:pPr>
        <w:jc w:val="both"/>
        <w:rPr>
          <w:rFonts w:cs="Arial"/>
          <w:szCs w:val="24"/>
        </w:rPr>
      </w:pPr>
    </w:p>
    <w:p w14:paraId="302F542F" w14:textId="6CBBB376" w:rsidR="00C93FFD" w:rsidRPr="007971F4" w:rsidRDefault="00C93FFD" w:rsidP="00C2303B">
      <w:pPr>
        <w:tabs>
          <w:tab w:val="left" w:pos="2835"/>
        </w:tabs>
        <w:jc w:val="both"/>
        <w:rPr>
          <w:rFonts w:cs="Arial"/>
          <w:szCs w:val="24"/>
        </w:rPr>
      </w:pPr>
      <w:r>
        <w:rPr>
          <w:rFonts w:cs="Arial"/>
          <w:szCs w:val="24"/>
          <w:u w:val="single"/>
        </w:rPr>
        <w:t>Special leave granted</w:t>
      </w:r>
      <w:r>
        <w:rPr>
          <w:rFonts w:cs="Arial"/>
          <w:szCs w:val="24"/>
        </w:rPr>
        <w:t>:</w:t>
      </w:r>
      <w:r w:rsidR="0017588E">
        <w:rPr>
          <w:rFonts w:cs="Arial"/>
          <w:szCs w:val="24"/>
        </w:rPr>
        <w:tab/>
      </w:r>
      <w:r>
        <w:rPr>
          <w:rFonts w:cs="Arial"/>
          <w:szCs w:val="24"/>
        </w:rPr>
        <w:t>3 December 2021</w:t>
      </w:r>
    </w:p>
    <w:p w14:paraId="22BD65FE" w14:textId="77777777" w:rsidR="00C93FFD" w:rsidRDefault="00C93FFD" w:rsidP="00C93FFD">
      <w:pPr>
        <w:jc w:val="both"/>
        <w:rPr>
          <w:rFonts w:cs="Arial"/>
          <w:szCs w:val="24"/>
        </w:rPr>
      </w:pPr>
    </w:p>
    <w:p w14:paraId="56FE8FB9" w14:textId="2FDFB985" w:rsidR="00C93FFD" w:rsidRPr="005A4ABB" w:rsidRDefault="00C93FFD" w:rsidP="009572D5">
      <w:pPr>
        <w:jc w:val="both"/>
        <w:rPr>
          <w:rFonts w:cs="Arial"/>
          <w:szCs w:val="24"/>
        </w:rPr>
      </w:pPr>
      <w:r>
        <w:rPr>
          <w:rFonts w:cs="Arial"/>
          <w:szCs w:val="24"/>
        </w:rPr>
        <w:t xml:space="preserve">At trial in the District Court, the prosecution alleged that the appellant and a </w:t>
      </w:r>
      <w:r>
        <w:rPr>
          <w:rFonts w:cs="Arial"/>
          <w:szCs w:val="24"/>
        </w:rPr>
        <w:br/>
        <w:t xml:space="preserve">co-accused, with intent to maim, disfigure, disable, or do some grievous bodily harm, unlawfully did grievous bodily harm under s 294(1) of the </w:t>
      </w:r>
      <w:r>
        <w:rPr>
          <w:rFonts w:cs="Arial"/>
          <w:i/>
          <w:szCs w:val="24"/>
        </w:rPr>
        <w:t xml:space="preserve">Criminal Code </w:t>
      </w:r>
      <w:r>
        <w:rPr>
          <w:rFonts w:cs="Arial"/>
          <w:szCs w:val="24"/>
        </w:rPr>
        <w:t xml:space="preserve">(WA) (“the Code”).  In giving directions to the jury, the trial judge described two “pathways” by which the jury could be satisfied beyond reasonable doubt that the appellant and his co-accused were guilty.  The first pathway was that the appellant and his </w:t>
      </w:r>
      <w:r w:rsidR="00212162">
        <w:rPr>
          <w:rFonts w:cs="Arial"/>
          <w:szCs w:val="24"/>
        </w:rPr>
        <w:br/>
      </w:r>
      <w:r>
        <w:rPr>
          <w:rFonts w:cs="Arial"/>
          <w:szCs w:val="24"/>
        </w:rPr>
        <w:t>co-accused were both criminally responsible for the charged offence under s 7(a) of the Code.  The second pathway was that the appellant</w:t>
      </w:r>
      <w:r w:rsidRPr="00371762">
        <w:rPr>
          <w:rFonts w:cs="Arial"/>
          <w:szCs w:val="24"/>
        </w:rPr>
        <w:t xml:space="preserve"> or</w:t>
      </w:r>
      <w:r>
        <w:rPr>
          <w:rFonts w:cs="Arial"/>
          <w:szCs w:val="24"/>
        </w:rPr>
        <w:t xml:space="preserve"> his co-accused was criminally responsible under s 7(c) of the Code in that he aided the other in committing the charged offence.</w:t>
      </w:r>
    </w:p>
    <w:p w14:paraId="7EDC8CDC" w14:textId="77777777" w:rsidR="00C93FFD" w:rsidRDefault="00C93FFD" w:rsidP="009572D5">
      <w:pPr>
        <w:jc w:val="both"/>
        <w:rPr>
          <w:rFonts w:cs="Arial"/>
          <w:szCs w:val="24"/>
        </w:rPr>
      </w:pPr>
    </w:p>
    <w:p w14:paraId="6E14E043" w14:textId="77777777" w:rsidR="00C93FFD" w:rsidRDefault="00C93FFD" w:rsidP="009572D5">
      <w:pPr>
        <w:jc w:val="both"/>
        <w:rPr>
          <w:rFonts w:cs="Arial"/>
          <w:szCs w:val="24"/>
        </w:rPr>
      </w:pPr>
      <w:r>
        <w:rPr>
          <w:rFonts w:cs="Arial"/>
          <w:szCs w:val="24"/>
        </w:rPr>
        <w:t xml:space="preserve">On 15 October 2019, the jury returned a verdict of guilty in respect of the appellant.  The jury was unable to agree on a verdict in respect of his co-accused.   [In August 2020, the appellant’s co-accused was retried.  He was convicted of the alternative offence of unlawfully doing grievous bodily harm to another contrary to s 297(1) of the Code].  On 9 December 2019, the appellant was sentenced to 6 years 3 months’ imprisonment. </w:t>
      </w:r>
    </w:p>
    <w:p w14:paraId="31EC4C6C" w14:textId="77777777" w:rsidR="00C93FFD" w:rsidRDefault="00C93FFD" w:rsidP="009572D5">
      <w:pPr>
        <w:jc w:val="both"/>
        <w:rPr>
          <w:rFonts w:cs="Arial"/>
          <w:szCs w:val="24"/>
        </w:rPr>
      </w:pPr>
    </w:p>
    <w:p w14:paraId="513C9C3B" w14:textId="77777777" w:rsidR="00C93FFD" w:rsidRDefault="00C93FFD" w:rsidP="009572D5">
      <w:pPr>
        <w:jc w:val="both"/>
        <w:rPr>
          <w:rFonts w:cs="Arial"/>
          <w:szCs w:val="24"/>
        </w:rPr>
      </w:pPr>
      <w:r>
        <w:rPr>
          <w:rFonts w:cs="Arial"/>
          <w:szCs w:val="24"/>
        </w:rPr>
        <w:t xml:space="preserve">On 3 March 2020, the appellant filed an application for an extension of time and leave to appeal in the Court of Appeal.  On 13 April 2021, the Court of Appeal dismissed the application for an extension of time and refused leave to appeal.  Relevantly, the Court found that the trial judge’s explanation to the jury of “acting in concert” was adequate.  In addition, the Court held that the jury could convict the appellant of the charged offence under the first pathway without being satisfied beyond reasonable doubt that the co-accused’s acts, in the context of the appellant and the co-accused “acting in concert,” were unlawful. </w:t>
      </w:r>
    </w:p>
    <w:p w14:paraId="1D426AD6" w14:textId="77777777" w:rsidR="00C93FFD" w:rsidRPr="00095C6D" w:rsidRDefault="00C93FFD" w:rsidP="009572D5">
      <w:pPr>
        <w:jc w:val="both"/>
        <w:rPr>
          <w:rFonts w:cs="Arial"/>
          <w:szCs w:val="24"/>
        </w:rPr>
      </w:pPr>
    </w:p>
    <w:p w14:paraId="180960B2" w14:textId="77777777" w:rsidR="00C93FFD" w:rsidRDefault="00C93FFD" w:rsidP="009572D5">
      <w:pPr>
        <w:jc w:val="both"/>
        <w:rPr>
          <w:rFonts w:cs="Arial"/>
          <w:szCs w:val="24"/>
        </w:rPr>
      </w:pPr>
      <w:r>
        <w:rPr>
          <w:rFonts w:cs="Arial"/>
          <w:szCs w:val="24"/>
        </w:rPr>
        <w:t>The grounds of appeal in the High Court are that:</w:t>
      </w:r>
    </w:p>
    <w:p w14:paraId="3ACF550C" w14:textId="77777777" w:rsidR="00C93FFD" w:rsidRDefault="00C93FFD" w:rsidP="009572D5">
      <w:pPr>
        <w:jc w:val="both"/>
        <w:rPr>
          <w:rFonts w:cs="Arial"/>
          <w:szCs w:val="24"/>
        </w:rPr>
      </w:pPr>
    </w:p>
    <w:p w14:paraId="3EFE72AB" w14:textId="77777777" w:rsidR="00C93FFD" w:rsidRDefault="00C93FFD" w:rsidP="009572D5">
      <w:pPr>
        <w:pStyle w:val="ListParagraph"/>
        <w:numPr>
          <w:ilvl w:val="0"/>
          <w:numId w:val="12"/>
        </w:numPr>
        <w:jc w:val="both"/>
        <w:rPr>
          <w:rFonts w:cs="Arial"/>
          <w:sz w:val="24"/>
          <w:szCs w:val="24"/>
        </w:rPr>
      </w:pPr>
      <w:r w:rsidRPr="000F1EF2">
        <w:rPr>
          <w:rFonts w:cs="Arial"/>
          <w:sz w:val="24"/>
          <w:szCs w:val="24"/>
        </w:rPr>
        <w:t>The Cou</w:t>
      </w:r>
      <w:r>
        <w:rPr>
          <w:rFonts w:cs="Arial"/>
          <w:sz w:val="24"/>
          <w:szCs w:val="24"/>
        </w:rPr>
        <w:t xml:space="preserve">rt of Appeal erred in law in deciding that the appellant’s guilt for the offence of doing grievous bodily harm with intent could be established pursuant to the pathway of liability designated as the “first pathway” which alleged that the appellant and the co-accused were criminally liable as joint principals under s 7(a) of the </w:t>
      </w:r>
      <w:r>
        <w:rPr>
          <w:rFonts w:cs="Arial"/>
          <w:i/>
          <w:sz w:val="24"/>
          <w:szCs w:val="24"/>
        </w:rPr>
        <w:t>Criminal Code</w:t>
      </w:r>
      <w:r>
        <w:rPr>
          <w:rFonts w:cs="Arial"/>
          <w:sz w:val="24"/>
          <w:szCs w:val="24"/>
        </w:rPr>
        <w:t xml:space="preserve"> (WA) on the basis of acting in concert each doing one or more acts which constituted the offence, in circumstances where the acts of the co-accused were not proved to have been unlawful.</w:t>
      </w:r>
    </w:p>
    <w:p w14:paraId="4281E4A2" w14:textId="77777777" w:rsidR="00C93FFD" w:rsidRDefault="00C93FFD" w:rsidP="009572D5">
      <w:pPr>
        <w:pStyle w:val="ListParagraph"/>
        <w:jc w:val="both"/>
        <w:rPr>
          <w:rFonts w:cs="Arial"/>
          <w:sz w:val="24"/>
          <w:szCs w:val="24"/>
        </w:rPr>
      </w:pPr>
    </w:p>
    <w:p w14:paraId="3F561473" w14:textId="2CCACF5B" w:rsidR="00D97269" w:rsidRPr="009A7BD7" w:rsidRDefault="00C93FFD" w:rsidP="009A7BD7">
      <w:pPr>
        <w:pStyle w:val="ListParagraph"/>
        <w:numPr>
          <w:ilvl w:val="0"/>
          <w:numId w:val="12"/>
        </w:numPr>
        <w:jc w:val="both"/>
        <w:rPr>
          <w:rFonts w:cs="Arial"/>
          <w:sz w:val="24"/>
          <w:szCs w:val="24"/>
        </w:rPr>
      </w:pPr>
      <w:r>
        <w:rPr>
          <w:rFonts w:cs="Arial"/>
          <w:sz w:val="24"/>
          <w:szCs w:val="24"/>
        </w:rPr>
        <w:t>The Court of Appeal erred in law in deciding that it was sufficient that the learned trial judge directed the jury that “acting in concert” for the purposes of the first pathway meant that the appellant and the co-accused “were acting together” and that the trial Judge was not required to direct the jury to the effect that acting in concert required the two accused to have reached an understanding or arrangement amounting to an agreement between them (which may be inferred from all the circumstances) to commit a crime.</w:t>
      </w:r>
    </w:p>
    <w:p w14:paraId="2C43CDB4" w14:textId="77777777" w:rsidR="00D97269" w:rsidRPr="0096712A" w:rsidRDefault="00D97269" w:rsidP="00D97269">
      <w:pPr>
        <w:pStyle w:val="NoSpacing"/>
        <w:rPr>
          <w:rFonts w:ascii="Arial" w:eastAsia="Times New Roman" w:hAnsi="Arial" w:cs="Arial"/>
          <w:b/>
          <w:color w:val="000000"/>
          <w:sz w:val="28"/>
          <w:szCs w:val="28"/>
          <w:u w:val="single"/>
          <w:lang w:eastAsia="en-AU"/>
        </w:rPr>
      </w:pPr>
      <w:r>
        <w:rPr>
          <w:rFonts w:ascii="Arial" w:eastAsia="Times New Roman" w:hAnsi="Arial" w:cs="Arial"/>
          <w:b/>
          <w:color w:val="000000"/>
          <w:sz w:val="28"/>
          <w:szCs w:val="28"/>
          <w:u w:val="single"/>
          <w:lang w:eastAsia="en-AU"/>
        </w:rPr>
        <w:lastRenderedPageBreak/>
        <w:t>TU’UTA KATOA v MINISTER FOR IMMIGRATION, CITIZENSHIP, MIGRANT SERVICES AND MULTICULTURAL AFFAIRS &amp; ANOR</w:t>
      </w:r>
      <w:r w:rsidRPr="0096712A">
        <w:rPr>
          <w:rFonts w:ascii="Arial" w:eastAsia="Times New Roman" w:hAnsi="Arial" w:cs="Arial"/>
          <w:b/>
          <w:color w:val="000000"/>
          <w:sz w:val="28"/>
          <w:szCs w:val="28"/>
          <w:lang w:eastAsia="en-AU"/>
        </w:rPr>
        <w:t xml:space="preserve"> (S</w:t>
      </w:r>
      <w:r>
        <w:rPr>
          <w:rFonts w:ascii="Arial" w:eastAsia="Times New Roman" w:hAnsi="Arial" w:cs="Arial"/>
          <w:b/>
          <w:color w:val="000000"/>
          <w:sz w:val="28"/>
          <w:szCs w:val="28"/>
          <w:lang w:eastAsia="en-AU"/>
        </w:rPr>
        <w:t>135/2021</w:t>
      </w:r>
      <w:r w:rsidRPr="0096712A">
        <w:rPr>
          <w:rFonts w:ascii="Arial" w:eastAsia="Times New Roman" w:hAnsi="Arial" w:cs="Arial"/>
          <w:b/>
          <w:color w:val="000000"/>
          <w:sz w:val="28"/>
          <w:szCs w:val="28"/>
          <w:lang w:eastAsia="en-AU"/>
        </w:rPr>
        <w:t>)</w:t>
      </w:r>
    </w:p>
    <w:p w14:paraId="40374D34" w14:textId="77777777" w:rsidR="00D97269" w:rsidRPr="00A920AB" w:rsidRDefault="00D97269" w:rsidP="00D97269">
      <w:pPr>
        <w:ind w:left="2694" w:hanging="2694"/>
        <w:rPr>
          <w:rFonts w:cs="Arial"/>
          <w:szCs w:val="24"/>
        </w:rPr>
      </w:pPr>
    </w:p>
    <w:p w14:paraId="2499A36D" w14:textId="63FD0C86" w:rsidR="00D97269" w:rsidRPr="006A1C3E" w:rsidRDefault="00D97269" w:rsidP="00B6206E">
      <w:pPr>
        <w:tabs>
          <w:tab w:val="left" w:pos="3544"/>
        </w:tabs>
        <w:ind w:left="2694" w:hanging="2694"/>
        <w:rPr>
          <w:rFonts w:cs="Arial"/>
          <w:szCs w:val="24"/>
        </w:rPr>
      </w:pPr>
      <w:r>
        <w:rPr>
          <w:rFonts w:cs="Arial"/>
          <w:szCs w:val="24"/>
          <w:u w:val="single"/>
        </w:rPr>
        <w:t>Date proceeding commenced</w:t>
      </w:r>
      <w:r w:rsidR="00B6206E">
        <w:rPr>
          <w:rFonts w:cs="Arial"/>
          <w:szCs w:val="24"/>
        </w:rPr>
        <w:t xml:space="preserve">:       </w:t>
      </w:r>
      <w:r>
        <w:rPr>
          <w:rFonts w:cs="Arial"/>
          <w:szCs w:val="24"/>
        </w:rPr>
        <w:t>17 September 2021</w:t>
      </w:r>
    </w:p>
    <w:p w14:paraId="351F56C7" w14:textId="77777777" w:rsidR="00D97269" w:rsidRPr="006A1C3E" w:rsidRDefault="00D97269" w:rsidP="00D97269">
      <w:pPr>
        <w:ind w:left="2694" w:hanging="2694"/>
        <w:rPr>
          <w:rFonts w:cs="Arial"/>
          <w:szCs w:val="24"/>
        </w:rPr>
      </w:pPr>
    </w:p>
    <w:p w14:paraId="0E50E364" w14:textId="516755DF" w:rsidR="00D97269" w:rsidRDefault="00D97269" w:rsidP="00B6206E">
      <w:pPr>
        <w:tabs>
          <w:tab w:val="left" w:pos="3686"/>
        </w:tabs>
        <w:ind w:left="2694" w:hanging="2694"/>
        <w:rPr>
          <w:rFonts w:cs="Arial"/>
          <w:szCs w:val="24"/>
        </w:rPr>
      </w:pPr>
      <w:r>
        <w:rPr>
          <w:rFonts w:cs="Arial"/>
          <w:szCs w:val="24"/>
          <w:u w:val="single"/>
        </w:rPr>
        <w:t>Date referred to Full Court</w:t>
      </w:r>
      <w:r w:rsidRPr="006A1C3E">
        <w:rPr>
          <w:rFonts w:cs="Arial"/>
          <w:szCs w:val="24"/>
        </w:rPr>
        <w:t>:</w:t>
      </w:r>
      <w:r w:rsidR="00B6206E">
        <w:rPr>
          <w:rFonts w:cs="Arial"/>
          <w:szCs w:val="24"/>
        </w:rPr>
        <w:tab/>
      </w:r>
      <w:r>
        <w:rPr>
          <w:rFonts w:cs="Arial"/>
          <w:szCs w:val="24"/>
        </w:rPr>
        <w:t>9 December 2021</w:t>
      </w:r>
    </w:p>
    <w:p w14:paraId="54DD9182" w14:textId="77777777" w:rsidR="00D97269" w:rsidRPr="006A1C3E" w:rsidRDefault="00D97269" w:rsidP="00D97269">
      <w:pPr>
        <w:ind w:left="2694" w:hanging="2694"/>
        <w:rPr>
          <w:rFonts w:cs="Arial"/>
          <w:szCs w:val="24"/>
        </w:rPr>
      </w:pPr>
    </w:p>
    <w:p w14:paraId="503037A9" w14:textId="77777777" w:rsidR="00D97269" w:rsidRDefault="00D97269" w:rsidP="00667BBA">
      <w:pPr>
        <w:shd w:val="clear" w:color="auto" w:fill="FFFFFF"/>
        <w:spacing w:before="100" w:beforeAutospacing="1" w:after="240"/>
        <w:jc w:val="both"/>
        <w:rPr>
          <w:rFonts w:cs="Arial"/>
          <w:szCs w:val="24"/>
        </w:rPr>
      </w:pPr>
      <w:bookmarkStart w:id="0" w:name="Heading133"/>
      <w:bookmarkEnd w:id="0"/>
      <w:proofErr w:type="spellStart"/>
      <w:r>
        <w:rPr>
          <w:rFonts w:cs="Arial"/>
          <w:szCs w:val="24"/>
        </w:rPr>
        <w:t>Mr</w:t>
      </w:r>
      <w:proofErr w:type="spellEnd"/>
      <w:r>
        <w:rPr>
          <w:rFonts w:cs="Arial"/>
          <w:szCs w:val="24"/>
        </w:rPr>
        <w:t xml:space="preserve"> </w:t>
      </w:r>
      <w:proofErr w:type="spellStart"/>
      <w:r>
        <w:rPr>
          <w:rFonts w:cs="Arial"/>
          <w:szCs w:val="24"/>
        </w:rPr>
        <w:t>Tu’uta</w:t>
      </w:r>
      <w:proofErr w:type="spellEnd"/>
      <w:r>
        <w:rPr>
          <w:rFonts w:cs="Arial"/>
          <w:szCs w:val="24"/>
        </w:rPr>
        <w:t xml:space="preserve"> Katoa is a citizen of New Zealand and was the holder of a Special Category (subclass 444) visa under the </w:t>
      </w:r>
      <w:r>
        <w:rPr>
          <w:rFonts w:cs="Arial"/>
          <w:i/>
          <w:szCs w:val="24"/>
        </w:rPr>
        <w:t xml:space="preserve">Migration Act 1958 </w:t>
      </w:r>
      <w:r>
        <w:rPr>
          <w:rFonts w:cs="Arial"/>
          <w:szCs w:val="24"/>
        </w:rPr>
        <w:t>(</w:t>
      </w:r>
      <w:proofErr w:type="spellStart"/>
      <w:r>
        <w:rPr>
          <w:rFonts w:cs="Arial"/>
          <w:szCs w:val="24"/>
        </w:rPr>
        <w:t>Cth</w:t>
      </w:r>
      <w:proofErr w:type="spellEnd"/>
      <w:r>
        <w:rPr>
          <w:rFonts w:cs="Arial"/>
          <w:szCs w:val="24"/>
        </w:rPr>
        <w:t xml:space="preserve">) (“the Act”).  On 2 September 2019, the Minister cancelled his visa pursuant to s 501(3)(b) of the Act on the basis that the Minister reasonably suspected </w:t>
      </w:r>
      <w:proofErr w:type="spellStart"/>
      <w:r>
        <w:rPr>
          <w:rFonts w:cs="Arial"/>
          <w:szCs w:val="24"/>
        </w:rPr>
        <w:t>Mr</w:t>
      </w:r>
      <w:proofErr w:type="spellEnd"/>
      <w:r>
        <w:rPr>
          <w:rFonts w:cs="Arial"/>
          <w:szCs w:val="24"/>
        </w:rPr>
        <w:t xml:space="preserve"> </w:t>
      </w:r>
      <w:proofErr w:type="spellStart"/>
      <w:r>
        <w:rPr>
          <w:rFonts w:cs="Arial"/>
          <w:szCs w:val="24"/>
        </w:rPr>
        <w:t>Tu’uta</w:t>
      </w:r>
      <w:proofErr w:type="spellEnd"/>
      <w:r>
        <w:rPr>
          <w:rFonts w:cs="Arial"/>
          <w:szCs w:val="24"/>
        </w:rPr>
        <w:t xml:space="preserve"> Katoa did not pass the character test and the cancellation was in the national interest.</w:t>
      </w:r>
    </w:p>
    <w:p w14:paraId="64D44168" w14:textId="34DCFFB4" w:rsidR="00D97269" w:rsidRDefault="00D97269" w:rsidP="00D97269">
      <w:pPr>
        <w:shd w:val="clear" w:color="auto" w:fill="FFFFFF"/>
        <w:spacing w:before="100" w:beforeAutospacing="1" w:after="240"/>
        <w:jc w:val="both"/>
        <w:rPr>
          <w:rFonts w:cs="Arial"/>
          <w:szCs w:val="24"/>
        </w:rPr>
      </w:pPr>
      <w:r>
        <w:rPr>
          <w:rFonts w:cs="Arial"/>
          <w:szCs w:val="24"/>
        </w:rPr>
        <w:t xml:space="preserve">On 1 November 2019, </w:t>
      </w:r>
      <w:proofErr w:type="spellStart"/>
      <w:r>
        <w:rPr>
          <w:rFonts w:cs="Arial"/>
          <w:szCs w:val="24"/>
        </w:rPr>
        <w:t>Mr</w:t>
      </w:r>
      <w:proofErr w:type="spellEnd"/>
      <w:r>
        <w:rPr>
          <w:rFonts w:cs="Arial"/>
          <w:szCs w:val="24"/>
        </w:rPr>
        <w:t xml:space="preserve"> </w:t>
      </w:r>
      <w:proofErr w:type="spellStart"/>
      <w:r>
        <w:rPr>
          <w:rFonts w:cs="Arial"/>
          <w:szCs w:val="24"/>
        </w:rPr>
        <w:t>Tu’uta</w:t>
      </w:r>
      <w:proofErr w:type="spellEnd"/>
      <w:r>
        <w:rPr>
          <w:rFonts w:cs="Arial"/>
          <w:szCs w:val="24"/>
        </w:rPr>
        <w:t xml:space="preserve"> Katoa filed an application in the Federal Court of Australia for an extension of time to seek review of the Minister’s decision under </w:t>
      </w:r>
      <w:r w:rsidR="00212162">
        <w:rPr>
          <w:rFonts w:cs="Arial"/>
          <w:szCs w:val="24"/>
        </w:rPr>
        <w:br/>
      </w:r>
      <w:bookmarkStart w:id="1" w:name="_GoBack"/>
      <w:bookmarkEnd w:id="1"/>
      <w:r>
        <w:rPr>
          <w:rFonts w:cs="Arial"/>
          <w:szCs w:val="24"/>
        </w:rPr>
        <w:t>s 477</w:t>
      </w:r>
      <w:proofErr w:type="gramStart"/>
      <w:r>
        <w:rPr>
          <w:rFonts w:cs="Arial"/>
          <w:szCs w:val="24"/>
        </w:rPr>
        <w:t>A(</w:t>
      </w:r>
      <w:proofErr w:type="gramEnd"/>
      <w:r>
        <w:rPr>
          <w:rFonts w:cs="Arial"/>
          <w:szCs w:val="24"/>
        </w:rPr>
        <w:t xml:space="preserve">1) of the Act, the deadline for filing such an application having been 25 days prior on 7 October 2019.  </w:t>
      </w:r>
    </w:p>
    <w:p w14:paraId="3DDE2C04" w14:textId="77777777" w:rsidR="00D97269" w:rsidRDefault="00D97269" w:rsidP="00D97269">
      <w:pPr>
        <w:shd w:val="clear" w:color="auto" w:fill="FFFFFF"/>
        <w:spacing w:before="100" w:beforeAutospacing="1" w:after="240"/>
        <w:jc w:val="both"/>
        <w:rPr>
          <w:rFonts w:cs="Arial"/>
          <w:szCs w:val="24"/>
        </w:rPr>
      </w:pPr>
      <w:r>
        <w:rPr>
          <w:rFonts w:cs="Arial"/>
          <w:szCs w:val="24"/>
        </w:rPr>
        <w:t xml:space="preserve">On 24 August 2019, Justice Nicholas refused to grant the extension of time.  His </w:t>
      </w:r>
      <w:proofErr w:type="spellStart"/>
      <w:r>
        <w:rPr>
          <w:rFonts w:cs="Arial"/>
          <w:szCs w:val="24"/>
        </w:rPr>
        <w:t>Honour</w:t>
      </w:r>
      <w:proofErr w:type="spellEnd"/>
      <w:r>
        <w:rPr>
          <w:rFonts w:cs="Arial"/>
          <w:szCs w:val="24"/>
        </w:rPr>
        <w:t xml:space="preserve">, having heard argument on the substantive application for review concurrently with the application for an extension of time, held that the extension of time should be refused because </w:t>
      </w:r>
      <w:proofErr w:type="spellStart"/>
      <w:r>
        <w:rPr>
          <w:rFonts w:cs="Arial"/>
          <w:szCs w:val="24"/>
        </w:rPr>
        <w:t>Mr</w:t>
      </w:r>
      <w:proofErr w:type="spellEnd"/>
      <w:r>
        <w:rPr>
          <w:rFonts w:cs="Arial"/>
          <w:szCs w:val="24"/>
        </w:rPr>
        <w:t xml:space="preserve"> </w:t>
      </w:r>
      <w:proofErr w:type="spellStart"/>
      <w:r>
        <w:rPr>
          <w:rFonts w:cs="Arial"/>
          <w:szCs w:val="24"/>
        </w:rPr>
        <w:t>Tu’uta</w:t>
      </w:r>
      <w:proofErr w:type="spellEnd"/>
      <w:r>
        <w:rPr>
          <w:rFonts w:cs="Arial"/>
          <w:szCs w:val="24"/>
        </w:rPr>
        <w:t xml:space="preserve"> Katoa’s proposed ground of review lacked </w:t>
      </w:r>
      <w:proofErr w:type="gramStart"/>
      <w:r>
        <w:rPr>
          <w:rFonts w:cs="Arial"/>
          <w:szCs w:val="24"/>
        </w:rPr>
        <w:t>sufficient</w:t>
      </w:r>
      <w:proofErr w:type="gramEnd"/>
      <w:r>
        <w:rPr>
          <w:rFonts w:cs="Arial"/>
          <w:szCs w:val="24"/>
        </w:rPr>
        <w:t xml:space="preserve"> merit to warrant the grant of an extension of time.  </w:t>
      </w:r>
    </w:p>
    <w:p w14:paraId="0F4B6B40" w14:textId="77777777" w:rsidR="00D97269" w:rsidRDefault="00D97269" w:rsidP="00D97269">
      <w:pPr>
        <w:shd w:val="clear" w:color="auto" w:fill="FFFFFF"/>
        <w:spacing w:before="100" w:beforeAutospacing="1" w:after="240"/>
        <w:jc w:val="both"/>
        <w:rPr>
          <w:rFonts w:cs="Arial"/>
          <w:szCs w:val="24"/>
        </w:rPr>
      </w:pPr>
      <w:proofErr w:type="spellStart"/>
      <w:r>
        <w:rPr>
          <w:rFonts w:cs="Arial"/>
          <w:szCs w:val="24"/>
        </w:rPr>
        <w:t>Mr</w:t>
      </w:r>
      <w:proofErr w:type="spellEnd"/>
      <w:r>
        <w:rPr>
          <w:rFonts w:cs="Arial"/>
          <w:szCs w:val="24"/>
        </w:rPr>
        <w:t xml:space="preserve"> </w:t>
      </w:r>
      <w:proofErr w:type="spellStart"/>
      <w:r>
        <w:rPr>
          <w:rFonts w:cs="Arial"/>
          <w:szCs w:val="24"/>
        </w:rPr>
        <w:t>Tu’uta</w:t>
      </w:r>
      <w:proofErr w:type="spellEnd"/>
      <w:r>
        <w:rPr>
          <w:rFonts w:cs="Arial"/>
          <w:szCs w:val="24"/>
        </w:rPr>
        <w:t xml:space="preserve"> Katoa then commenced proceedings in the original jurisdiction of this Court, seeking a writ of certiorari to quash the decision of Justice Nicholas and a writ of mandamus to require the Federal Court to make the decision according to law.  On 9 December 2021, Justice </w:t>
      </w:r>
      <w:proofErr w:type="spellStart"/>
      <w:r>
        <w:rPr>
          <w:rFonts w:cs="Arial"/>
          <w:szCs w:val="24"/>
        </w:rPr>
        <w:t>Gageler</w:t>
      </w:r>
      <w:proofErr w:type="spellEnd"/>
      <w:r>
        <w:rPr>
          <w:rFonts w:cs="Arial"/>
          <w:szCs w:val="24"/>
        </w:rPr>
        <w:t xml:space="preserve"> granted </w:t>
      </w:r>
      <w:proofErr w:type="spellStart"/>
      <w:r>
        <w:rPr>
          <w:rFonts w:cs="Arial"/>
          <w:szCs w:val="24"/>
        </w:rPr>
        <w:t>Mr</w:t>
      </w:r>
      <w:proofErr w:type="spellEnd"/>
      <w:r>
        <w:rPr>
          <w:rFonts w:cs="Arial"/>
          <w:szCs w:val="24"/>
        </w:rPr>
        <w:t xml:space="preserve"> </w:t>
      </w:r>
      <w:proofErr w:type="spellStart"/>
      <w:r>
        <w:rPr>
          <w:rFonts w:cs="Arial"/>
          <w:szCs w:val="24"/>
        </w:rPr>
        <w:t>Tu’uta</w:t>
      </w:r>
      <w:proofErr w:type="spellEnd"/>
      <w:r>
        <w:rPr>
          <w:rFonts w:cs="Arial"/>
          <w:szCs w:val="24"/>
        </w:rPr>
        <w:t xml:space="preserve"> Katoa leave to amend his application and referred the application, so amended, for hearing by the Full Court.</w:t>
      </w:r>
    </w:p>
    <w:p w14:paraId="5B5E28E6" w14:textId="77777777" w:rsidR="00D97269" w:rsidRDefault="00D97269" w:rsidP="00D97269">
      <w:pPr>
        <w:shd w:val="clear" w:color="auto" w:fill="FFFFFF"/>
        <w:spacing w:before="100" w:beforeAutospacing="1" w:after="240"/>
        <w:jc w:val="both"/>
        <w:rPr>
          <w:rFonts w:cs="Arial"/>
          <w:szCs w:val="24"/>
        </w:rPr>
      </w:pPr>
      <w:r>
        <w:rPr>
          <w:rFonts w:cs="Arial"/>
          <w:szCs w:val="24"/>
        </w:rPr>
        <w:t xml:space="preserve">The sole ground of the amended application is: </w:t>
      </w:r>
    </w:p>
    <w:p w14:paraId="4653F7AA" w14:textId="77777777" w:rsidR="00D97269" w:rsidRDefault="00D97269" w:rsidP="00D97269">
      <w:pPr>
        <w:numPr>
          <w:ilvl w:val="0"/>
          <w:numId w:val="13"/>
        </w:numPr>
        <w:autoSpaceDE w:val="0"/>
        <w:autoSpaceDN w:val="0"/>
        <w:adjustRightInd w:val="0"/>
        <w:ind w:left="426" w:hanging="426"/>
        <w:jc w:val="both"/>
        <w:rPr>
          <w:rFonts w:cs="Arial"/>
          <w:szCs w:val="24"/>
        </w:rPr>
      </w:pPr>
      <w:r>
        <w:rPr>
          <w:rFonts w:cs="Arial"/>
          <w:szCs w:val="24"/>
        </w:rPr>
        <w:t xml:space="preserve">The Second Defendant erred in law in failing to assess whether, in respect of the Plaintiff’s second ground of review of the decision of the First Defendant, the Plaintiff’s claim had reasonable prospects of success so as to justify the grant of an extension of time pursuant to s 477A(2) of the Act. </w:t>
      </w:r>
    </w:p>
    <w:p w14:paraId="0B5F78C1" w14:textId="5654F47D" w:rsidR="00D97269" w:rsidRDefault="00D97269" w:rsidP="00D97269">
      <w:pPr>
        <w:jc w:val="both"/>
        <w:rPr>
          <w:rFonts w:cs="Arial"/>
          <w:szCs w:val="24"/>
        </w:rPr>
      </w:pPr>
    </w:p>
    <w:p w14:paraId="14344E3B" w14:textId="77777777" w:rsidR="00D97269" w:rsidRPr="00D97269" w:rsidRDefault="00D97269" w:rsidP="00D97269">
      <w:pPr>
        <w:jc w:val="both"/>
        <w:rPr>
          <w:rFonts w:cs="Arial"/>
          <w:szCs w:val="24"/>
        </w:rPr>
      </w:pPr>
    </w:p>
    <w:p w14:paraId="64696143" w14:textId="4E3AA1D6" w:rsidR="0062023B" w:rsidRDefault="0062023B">
      <w:r>
        <w:br w:type="page"/>
      </w:r>
    </w:p>
    <w:p w14:paraId="50CF1FDF" w14:textId="77777777" w:rsidR="00E81289" w:rsidRPr="005A14D7" w:rsidRDefault="00E81289" w:rsidP="00E81289">
      <w:pPr>
        <w:pStyle w:val="NoSpacing"/>
        <w:rPr>
          <w:rFonts w:ascii="Arial" w:eastAsia="Times New Roman" w:hAnsi="Arial" w:cs="Arial"/>
          <w:b/>
          <w:color w:val="000000"/>
          <w:sz w:val="28"/>
          <w:szCs w:val="28"/>
          <w:u w:val="single"/>
          <w:lang w:eastAsia="en-AU"/>
        </w:rPr>
      </w:pPr>
      <w:r w:rsidRPr="005A14D7">
        <w:rPr>
          <w:rFonts w:ascii="Arial" w:eastAsia="Times New Roman" w:hAnsi="Arial" w:cs="Arial"/>
          <w:b/>
          <w:color w:val="000000"/>
          <w:sz w:val="28"/>
          <w:szCs w:val="28"/>
          <w:u w:val="single"/>
          <w:lang w:eastAsia="en-AU"/>
        </w:rPr>
        <w:lastRenderedPageBreak/>
        <w:t>HORE v THE QUEEN (A5/2022)</w:t>
      </w:r>
      <w:r>
        <w:rPr>
          <w:rFonts w:ascii="Arial" w:eastAsia="Times New Roman" w:hAnsi="Arial" w:cs="Arial"/>
          <w:b/>
          <w:color w:val="000000"/>
          <w:sz w:val="28"/>
          <w:szCs w:val="28"/>
          <w:u w:val="single"/>
          <w:lang w:eastAsia="en-AU"/>
        </w:rPr>
        <w:t xml:space="preserve">; </w:t>
      </w:r>
      <w:r w:rsidRPr="005A14D7">
        <w:rPr>
          <w:rFonts w:ascii="Arial" w:eastAsia="Times New Roman" w:hAnsi="Arial" w:cs="Arial"/>
          <w:b/>
          <w:color w:val="000000"/>
          <w:sz w:val="28"/>
          <w:szCs w:val="28"/>
          <w:u w:val="single"/>
          <w:lang w:eastAsia="en-AU"/>
        </w:rPr>
        <w:t>WICHEN v THE QUEEN</w:t>
      </w:r>
      <w:r>
        <w:rPr>
          <w:rFonts w:ascii="Arial" w:eastAsia="Times New Roman" w:hAnsi="Arial" w:cs="Arial"/>
          <w:b/>
          <w:color w:val="000000"/>
          <w:sz w:val="28"/>
          <w:szCs w:val="28"/>
          <w:u w:val="single"/>
          <w:lang w:eastAsia="en-AU"/>
        </w:rPr>
        <w:t xml:space="preserve"> </w:t>
      </w:r>
      <w:r w:rsidRPr="005A14D7">
        <w:rPr>
          <w:rFonts w:ascii="Arial" w:eastAsia="Times New Roman" w:hAnsi="Arial" w:cs="Arial"/>
          <w:b/>
          <w:color w:val="000000"/>
          <w:sz w:val="28"/>
          <w:szCs w:val="28"/>
          <w:u w:val="single"/>
          <w:lang w:eastAsia="en-AU"/>
        </w:rPr>
        <w:t>(A6/2022)</w:t>
      </w:r>
    </w:p>
    <w:p w14:paraId="35067E90" w14:textId="77777777" w:rsidR="00E81289" w:rsidRPr="00E651B8" w:rsidRDefault="00E81289" w:rsidP="00E81289">
      <w:pPr>
        <w:ind w:left="2694" w:hanging="2694"/>
        <w:jc w:val="both"/>
        <w:rPr>
          <w:rFonts w:cs="Arial"/>
          <w:szCs w:val="24"/>
        </w:rPr>
      </w:pPr>
    </w:p>
    <w:p w14:paraId="553217E7" w14:textId="77777777" w:rsidR="00E81289" w:rsidRDefault="00E81289" w:rsidP="00E81289">
      <w:pPr>
        <w:ind w:left="2880" w:hanging="2880"/>
        <w:rPr>
          <w:rFonts w:cs="Arial"/>
          <w:szCs w:val="24"/>
        </w:rPr>
      </w:pPr>
      <w:r w:rsidRPr="008A0364">
        <w:rPr>
          <w:rFonts w:cs="Arial"/>
          <w:szCs w:val="24"/>
          <w:u w:val="single"/>
        </w:rPr>
        <w:t>Court appealed from</w:t>
      </w:r>
      <w:r>
        <w:rPr>
          <w:rFonts w:cs="Arial"/>
          <w:szCs w:val="24"/>
        </w:rPr>
        <w:t>:</w:t>
      </w:r>
      <w:r w:rsidRPr="008A0364">
        <w:rPr>
          <w:rFonts w:cs="Arial"/>
          <w:szCs w:val="24"/>
        </w:rPr>
        <w:tab/>
      </w:r>
      <w:r>
        <w:rPr>
          <w:rFonts w:cs="Arial"/>
          <w:szCs w:val="24"/>
        </w:rPr>
        <w:t xml:space="preserve">Supreme Court of South Australia Court of Appeal </w:t>
      </w:r>
      <w:r>
        <w:rPr>
          <w:rFonts w:cs="Arial"/>
          <w:szCs w:val="24"/>
        </w:rPr>
        <w:br/>
      </w:r>
      <w:r w:rsidRPr="00F91228">
        <w:rPr>
          <w:rFonts w:cs="Arial"/>
          <w:szCs w:val="24"/>
        </w:rPr>
        <w:t>[202</w:t>
      </w:r>
      <w:r>
        <w:rPr>
          <w:rFonts w:cs="Arial"/>
          <w:szCs w:val="24"/>
        </w:rPr>
        <w:t>1</w:t>
      </w:r>
      <w:r w:rsidRPr="00F91228">
        <w:rPr>
          <w:rFonts w:cs="Arial"/>
          <w:szCs w:val="24"/>
        </w:rPr>
        <w:t xml:space="preserve">] </w:t>
      </w:r>
      <w:r>
        <w:rPr>
          <w:rFonts w:cs="Arial"/>
          <w:szCs w:val="24"/>
        </w:rPr>
        <w:t>SASCA 29; [2021] SASCA 30</w:t>
      </w:r>
    </w:p>
    <w:p w14:paraId="7DCBDE98" w14:textId="77777777" w:rsidR="00E81289" w:rsidRPr="008A0364" w:rsidRDefault="00E81289" w:rsidP="00E81289">
      <w:pPr>
        <w:ind w:left="2552" w:hanging="2552"/>
        <w:jc w:val="both"/>
        <w:rPr>
          <w:rFonts w:cs="Arial"/>
          <w:szCs w:val="24"/>
        </w:rPr>
      </w:pPr>
    </w:p>
    <w:p w14:paraId="112759B8" w14:textId="19C4C52D" w:rsidR="00E81289" w:rsidRDefault="00E81289" w:rsidP="00E81289">
      <w:pPr>
        <w:tabs>
          <w:tab w:val="left" w:pos="2835"/>
        </w:tabs>
        <w:ind w:left="2552" w:hanging="2552"/>
        <w:rPr>
          <w:rFonts w:cs="Arial"/>
          <w:szCs w:val="24"/>
        </w:rPr>
      </w:pPr>
      <w:r w:rsidRPr="008A0364">
        <w:rPr>
          <w:rFonts w:cs="Arial"/>
          <w:szCs w:val="24"/>
          <w:u w:val="single"/>
        </w:rPr>
        <w:t>Date of judgment</w:t>
      </w:r>
      <w:r>
        <w:rPr>
          <w:rFonts w:cs="Arial"/>
          <w:szCs w:val="24"/>
        </w:rPr>
        <w:t>:</w:t>
      </w:r>
      <w:r>
        <w:rPr>
          <w:rFonts w:cs="Arial"/>
          <w:szCs w:val="24"/>
        </w:rPr>
        <w:tab/>
      </w:r>
      <w:r>
        <w:rPr>
          <w:rFonts w:cs="Arial"/>
          <w:szCs w:val="24"/>
        </w:rPr>
        <w:tab/>
        <w:t xml:space="preserve"> 7 May 2021</w:t>
      </w:r>
    </w:p>
    <w:p w14:paraId="2DA99BEC" w14:textId="77777777" w:rsidR="00E81289" w:rsidRDefault="00E81289" w:rsidP="00E81289">
      <w:pPr>
        <w:ind w:left="2552" w:hanging="2552"/>
        <w:rPr>
          <w:rFonts w:cs="Arial"/>
          <w:szCs w:val="24"/>
        </w:rPr>
      </w:pPr>
    </w:p>
    <w:p w14:paraId="5ECF696D" w14:textId="2CCD0D64" w:rsidR="00E81289" w:rsidRPr="001D2812" w:rsidRDefault="00E81289" w:rsidP="00E81289">
      <w:pPr>
        <w:tabs>
          <w:tab w:val="left" w:pos="2835"/>
        </w:tabs>
        <w:jc w:val="both"/>
        <w:rPr>
          <w:rFonts w:cs="Arial"/>
          <w:szCs w:val="24"/>
        </w:rPr>
      </w:pPr>
      <w:r>
        <w:rPr>
          <w:rFonts w:cs="Arial"/>
          <w:szCs w:val="24"/>
          <w:u w:val="single"/>
        </w:rPr>
        <w:t>Special leave granted</w:t>
      </w:r>
      <w:r>
        <w:rPr>
          <w:rFonts w:cs="Arial"/>
          <w:szCs w:val="24"/>
        </w:rPr>
        <w:t xml:space="preserve">: </w:t>
      </w:r>
      <w:r>
        <w:rPr>
          <w:rFonts w:cs="Arial"/>
          <w:szCs w:val="24"/>
        </w:rPr>
        <w:tab/>
        <w:t xml:space="preserve"> 21 February 2022</w:t>
      </w:r>
    </w:p>
    <w:p w14:paraId="560C5962" w14:textId="77777777" w:rsidR="00E81289" w:rsidRDefault="00E81289" w:rsidP="00E81289">
      <w:pPr>
        <w:jc w:val="both"/>
        <w:rPr>
          <w:rFonts w:cs="Arial"/>
          <w:szCs w:val="24"/>
        </w:rPr>
      </w:pPr>
    </w:p>
    <w:p w14:paraId="32CDD5D3" w14:textId="77777777" w:rsidR="00E81289" w:rsidRDefault="00E81289" w:rsidP="00E81289">
      <w:pPr>
        <w:jc w:val="both"/>
        <w:rPr>
          <w:rFonts w:cs="Arial"/>
          <w:szCs w:val="24"/>
        </w:rPr>
      </w:pPr>
      <w:r>
        <w:rPr>
          <w:rFonts w:cs="Arial"/>
          <w:szCs w:val="24"/>
        </w:rPr>
        <w:t xml:space="preserve">The appellant in the first of these appeals, </w:t>
      </w:r>
      <w:proofErr w:type="spellStart"/>
      <w:r>
        <w:rPr>
          <w:rFonts w:cs="Arial"/>
          <w:szCs w:val="24"/>
        </w:rPr>
        <w:t>Mr</w:t>
      </w:r>
      <w:proofErr w:type="spellEnd"/>
      <w:r>
        <w:rPr>
          <w:rFonts w:cs="Arial"/>
          <w:szCs w:val="24"/>
        </w:rPr>
        <w:t xml:space="preserve"> </w:t>
      </w:r>
      <w:proofErr w:type="spellStart"/>
      <w:r>
        <w:rPr>
          <w:rFonts w:cs="Arial"/>
          <w:szCs w:val="24"/>
        </w:rPr>
        <w:t>Hore</w:t>
      </w:r>
      <w:proofErr w:type="spellEnd"/>
      <w:r>
        <w:rPr>
          <w:rFonts w:cs="Arial"/>
          <w:szCs w:val="24"/>
        </w:rPr>
        <w:t xml:space="preserve">, has had a history of </w:t>
      </w:r>
      <w:r w:rsidRPr="000220D3">
        <w:rPr>
          <w:rFonts w:cs="Arial"/>
          <w:szCs w:val="24"/>
        </w:rPr>
        <w:t>sexual</w:t>
      </w:r>
      <w:r>
        <w:rPr>
          <w:rFonts w:cs="Arial"/>
          <w:szCs w:val="24"/>
        </w:rPr>
        <w:t xml:space="preserve"> offending.  On 19 February 2018, while in prison for his most recent sexual offence, an order was made pursuant to s 23 of the </w:t>
      </w:r>
      <w:r>
        <w:rPr>
          <w:rFonts w:cs="Arial"/>
          <w:i/>
          <w:szCs w:val="24"/>
        </w:rPr>
        <w:t xml:space="preserve">Criminal Law (Sentencing) Act 1988 </w:t>
      </w:r>
      <w:r>
        <w:rPr>
          <w:rFonts w:cs="Arial"/>
          <w:szCs w:val="24"/>
        </w:rPr>
        <w:t xml:space="preserve">(SA) (“the 1988 Act”) that </w:t>
      </w:r>
      <w:proofErr w:type="spellStart"/>
      <w:r>
        <w:rPr>
          <w:rFonts w:cs="Arial"/>
          <w:szCs w:val="24"/>
        </w:rPr>
        <w:t>Mr</w:t>
      </w:r>
      <w:proofErr w:type="spellEnd"/>
      <w:r>
        <w:rPr>
          <w:rFonts w:cs="Arial"/>
          <w:szCs w:val="24"/>
        </w:rPr>
        <w:t xml:space="preserve"> </w:t>
      </w:r>
      <w:proofErr w:type="spellStart"/>
      <w:r>
        <w:rPr>
          <w:rFonts w:cs="Arial"/>
          <w:szCs w:val="24"/>
        </w:rPr>
        <w:t>Hore</w:t>
      </w:r>
      <w:proofErr w:type="spellEnd"/>
      <w:r>
        <w:rPr>
          <w:rFonts w:cs="Arial"/>
          <w:szCs w:val="24"/>
        </w:rPr>
        <w:t xml:space="preserve"> be detained following the completion of his sentence on the ground that he was “incapable of controlling or unwilling to control his sexual instincts.”</w:t>
      </w:r>
    </w:p>
    <w:p w14:paraId="1D90D599" w14:textId="77777777" w:rsidR="00E81289" w:rsidRDefault="00E81289" w:rsidP="00E81289">
      <w:pPr>
        <w:jc w:val="both"/>
        <w:rPr>
          <w:rFonts w:cs="Arial"/>
          <w:szCs w:val="24"/>
        </w:rPr>
      </w:pPr>
    </w:p>
    <w:p w14:paraId="585F0F2B" w14:textId="77777777" w:rsidR="00E81289" w:rsidRDefault="00E81289" w:rsidP="00E81289">
      <w:pPr>
        <w:jc w:val="both"/>
        <w:rPr>
          <w:rFonts w:cs="Arial"/>
          <w:szCs w:val="24"/>
        </w:rPr>
      </w:pPr>
      <w:r>
        <w:rPr>
          <w:rFonts w:cs="Arial"/>
          <w:szCs w:val="24"/>
        </w:rPr>
        <w:t xml:space="preserve">The appellant in the second appeal, </w:t>
      </w:r>
      <w:proofErr w:type="spellStart"/>
      <w:r>
        <w:rPr>
          <w:rFonts w:cs="Arial"/>
          <w:szCs w:val="24"/>
        </w:rPr>
        <w:t>Mr</w:t>
      </w:r>
      <w:proofErr w:type="spellEnd"/>
      <w:r>
        <w:rPr>
          <w:rFonts w:cs="Arial"/>
          <w:szCs w:val="24"/>
        </w:rPr>
        <w:t xml:space="preserve"> </w:t>
      </w:r>
      <w:proofErr w:type="spellStart"/>
      <w:r>
        <w:rPr>
          <w:rFonts w:cs="Arial"/>
          <w:szCs w:val="24"/>
        </w:rPr>
        <w:t>Wichen</w:t>
      </w:r>
      <w:proofErr w:type="spellEnd"/>
      <w:r>
        <w:rPr>
          <w:rFonts w:cs="Arial"/>
          <w:szCs w:val="24"/>
        </w:rPr>
        <w:t>, has also had a history of sexual offending, and during his most recent sentence, an order was also made pursuant to s 23 of th</w:t>
      </w:r>
      <w:r w:rsidRPr="009E601E">
        <w:rPr>
          <w:rFonts w:cs="Arial"/>
          <w:szCs w:val="24"/>
        </w:rPr>
        <w:t>e 1988 Act</w:t>
      </w:r>
      <w:r>
        <w:rPr>
          <w:rFonts w:cs="Arial"/>
          <w:szCs w:val="24"/>
        </w:rPr>
        <w:t xml:space="preserve"> that he be detained until further order.</w:t>
      </w:r>
    </w:p>
    <w:p w14:paraId="51D5D47D" w14:textId="77777777" w:rsidR="00E81289" w:rsidRDefault="00E81289" w:rsidP="00E81289">
      <w:pPr>
        <w:jc w:val="both"/>
        <w:rPr>
          <w:rFonts w:cs="Arial"/>
          <w:szCs w:val="24"/>
        </w:rPr>
      </w:pPr>
    </w:p>
    <w:p w14:paraId="1345A085" w14:textId="77777777" w:rsidR="00E81289" w:rsidRDefault="00E81289" w:rsidP="00E81289">
      <w:pPr>
        <w:jc w:val="both"/>
        <w:rPr>
          <w:rFonts w:cs="Arial"/>
          <w:szCs w:val="24"/>
        </w:rPr>
      </w:pPr>
      <w:r>
        <w:rPr>
          <w:rFonts w:cs="Arial"/>
          <w:szCs w:val="24"/>
        </w:rPr>
        <w:t xml:space="preserve">At the time the orders pursuant to s 23 were made in relation to each appellant, the provisions governing discharge of such orders or release on </w:t>
      </w:r>
      <w:proofErr w:type="spellStart"/>
      <w:r>
        <w:rPr>
          <w:rFonts w:cs="Arial"/>
          <w:szCs w:val="24"/>
        </w:rPr>
        <w:t>licence</w:t>
      </w:r>
      <w:proofErr w:type="spellEnd"/>
      <w:r>
        <w:rPr>
          <w:rFonts w:cs="Arial"/>
          <w:szCs w:val="24"/>
        </w:rPr>
        <w:t xml:space="preserve"> did not include a requirement that the person prove that they were capable of controlling or willing to control their sexual instincts.  That requirement was first introduced by a legislative amendment that took effect in 2018. </w:t>
      </w:r>
    </w:p>
    <w:p w14:paraId="712BD160" w14:textId="77777777" w:rsidR="00E81289" w:rsidRDefault="00E81289" w:rsidP="00E81289">
      <w:pPr>
        <w:jc w:val="both"/>
        <w:rPr>
          <w:rFonts w:cs="Arial"/>
          <w:szCs w:val="24"/>
        </w:rPr>
      </w:pPr>
    </w:p>
    <w:p w14:paraId="390C3F85" w14:textId="77777777" w:rsidR="00E81289" w:rsidRDefault="00E81289" w:rsidP="00E81289">
      <w:pPr>
        <w:jc w:val="both"/>
        <w:rPr>
          <w:rFonts w:cs="Arial"/>
          <w:szCs w:val="24"/>
        </w:rPr>
      </w:pPr>
      <w:r>
        <w:rPr>
          <w:rFonts w:cs="Arial"/>
          <w:szCs w:val="24"/>
        </w:rPr>
        <w:t xml:space="preserve">On 6 November 2017, </w:t>
      </w:r>
      <w:proofErr w:type="spellStart"/>
      <w:r>
        <w:rPr>
          <w:rFonts w:cs="Arial"/>
          <w:szCs w:val="24"/>
        </w:rPr>
        <w:t>Mr</w:t>
      </w:r>
      <w:proofErr w:type="spellEnd"/>
      <w:r>
        <w:rPr>
          <w:rFonts w:cs="Arial"/>
          <w:szCs w:val="24"/>
        </w:rPr>
        <w:t xml:space="preserve"> </w:t>
      </w:r>
      <w:proofErr w:type="spellStart"/>
      <w:r>
        <w:rPr>
          <w:rFonts w:cs="Arial"/>
          <w:szCs w:val="24"/>
        </w:rPr>
        <w:t>Wichen</w:t>
      </w:r>
      <w:proofErr w:type="spellEnd"/>
      <w:r>
        <w:rPr>
          <w:rFonts w:cs="Arial"/>
          <w:szCs w:val="24"/>
        </w:rPr>
        <w:t xml:space="preserve"> made an application for release on </w:t>
      </w:r>
      <w:proofErr w:type="spellStart"/>
      <w:r>
        <w:rPr>
          <w:rFonts w:cs="Arial"/>
          <w:szCs w:val="24"/>
        </w:rPr>
        <w:t>licence</w:t>
      </w:r>
      <w:proofErr w:type="spellEnd"/>
      <w:r>
        <w:rPr>
          <w:rFonts w:cs="Arial"/>
          <w:szCs w:val="24"/>
        </w:rPr>
        <w:t xml:space="preserve"> pursuant to s 24(1) of the 1988 Act.  Before the application was determined, legislative amendments came into force in 2018 and the pending application was then to be determined in accordance with s 59 of the </w:t>
      </w:r>
      <w:r>
        <w:rPr>
          <w:rFonts w:cs="Arial"/>
          <w:i/>
          <w:szCs w:val="24"/>
        </w:rPr>
        <w:t>Sentencing Act 2017</w:t>
      </w:r>
      <w:r>
        <w:rPr>
          <w:rFonts w:cs="Arial"/>
          <w:szCs w:val="24"/>
        </w:rPr>
        <w:t xml:space="preserve"> (SA) (“the 2017 Act”).  On 26 August 2020, </w:t>
      </w:r>
      <w:proofErr w:type="spellStart"/>
      <w:r>
        <w:rPr>
          <w:rFonts w:cs="Arial"/>
          <w:szCs w:val="24"/>
        </w:rPr>
        <w:t>Kourakis</w:t>
      </w:r>
      <w:proofErr w:type="spellEnd"/>
      <w:r>
        <w:rPr>
          <w:rFonts w:cs="Arial"/>
          <w:szCs w:val="24"/>
        </w:rPr>
        <w:t xml:space="preserve"> CJ refused the application because he was not satisfied that the </w:t>
      </w:r>
      <w:proofErr w:type="spellStart"/>
      <w:r>
        <w:rPr>
          <w:rFonts w:cs="Arial"/>
          <w:szCs w:val="24"/>
        </w:rPr>
        <w:t>Mr</w:t>
      </w:r>
      <w:proofErr w:type="spellEnd"/>
      <w:r>
        <w:rPr>
          <w:rFonts w:cs="Arial"/>
          <w:szCs w:val="24"/>
        </w:rPr>
        <w:t xml:space="preserve"> </w:t>
      </w:r>
      <w:proofErr w:type="spellStart"/>
      <w:r>
        <w:rPr>
          <w:rFonts w:cs="Arial"/>
          <w:szCs w:val="24"/>
        </w:rPr>
        <w:t>Wichen</w:t>
      </w:r>
      <w:proofErr w:type="spellEnd"/>
      <w:r>
        <w:rPr>
          <w:rFonts w:cs="Arial"/>
          <w:szCs w:val="24"/>
        </w:rPr>
        <w:t xml:space="preserve"> was “willing” to control his sexual instincts within the particular statutory meaning of “willing” in s 59 of the 2017 Act.</w:t>
      </w:r>
    </w:p>
    <w:p w14:paraId="25ED9DAC" w14:textId="77777777" w:rsidR="00E81289" w:rsidRDefault="00E81289" w:rsidP="00E81289">
      <w:pPr>
        <w:jc w:val="both"/>
        <w:rPr>
          <w:rFonts w:cs="Arial"/>
          <w:szCs w:val="24"/>
        </w:rPr>
      </w:pPr>
    </w:p>
    <w:p w14:paraId="27C6867C" w14:textId="77777777" w:rsidR="00E81289" w:rsidRDefault="00E81289" w:rsidP="00E81289">
      <w:pPr>
        <w:jc w:val="both"/>
        <w:rPr>
          <w:rFonts w:cs="Arial"/>
          <w:szCs w:val="24"/>
        </w:rPr>
      </w:pPr>
      <w:r>
        <w:rPr>
          <w:rFonts w:cs="Arial"/>
          <w:szCs w:val="24"/>
        </w:rPr>
        <w:t xml:space="preserve">On 1 March 2018, </w:t>
      </w:r>
      <w:proofErr w:type="spellStart"/>
      <w:r>
        <w:rPr>
          <w:rFonts w:cs="Arial"/>
          <w:szCs w:val="24"/>
        </w:rPr>
        <w:t>Mr</w:t>
      </w:r>
      <w:proofErr w:type="spellEnd"/>
      <w:r>
        <w:rPr>
          <w:rFonts w:cs="Arial"/>
          <w:szCs w:val="24"/>
        </w:rPr>
        <w:t xml:space="preserve"> </w:t>
      </w:r>
      <w:proofErr w:type="spellStart"/>
      <w:r>
        <w:rPr>
          <w:rFonts w:cs="Arial"/>
          <w:szCs w:val="24"/>
        </w:rPr>
        <w:t>Hore</w:t>
      </w:r>
      <w:proofErr w:type="spellEnd"/>
      <w:r>
        <w:rPr>
          <w:rFonts w:cs="Arial"/>
          <w:szCs w:val="24"/>
        </w:rPr>
        <w:t xml:space="preserve"> applied for release on </w:t>
      </w:r>
      <w:proofErr w:type="spellStart"/>
      <w:r>
        <w:rPr>
          <w:rFonts w:cs="Arial"/>
          <w:szCs w:val="24"/>
        </w:rPr>
        <w:t>licence</w:t>
      </w:r>
      <w:proofErr w:type="spellEnd"/>
      <w:r>
        <w:rPr>
          <w:rFonts w:cs="Arial"/>
          <w:szCs w:val="24"/>
        </w:rPr>
        <w:t xml:space="preserve"> pursuant to s 24(1) of the 1988 Act which was replaced by s 59 of the 2017 Act.  On 12 October 2020, Hughes J refused the application because she was not satisfied that he was willing and capable of controlling his sexual instincts.  She held that the word “willing” in s 59(1a) of the 2017 Act meant the converse of the word “unwilling” as defined in s 57 of the 2017 Act.  </w:t>
      </w:r>
    </w:p>
    <w:p w14:paraId="062202F7" w14:textId="77777777" w:rsidR="00E81289" w:rsidRDefault="00E81289" w:rsidP="00E81289">
      <w:pPr>
        <w:jc w:val="both"/>
        <w:rPr>
          <w:rFonts w:cs="Arial"/>
          <w:szCs w:val="24"/>
        </w:rPr>
      </w:pPr>
    </w:p>
    <w:p w14:paraId="61D86EE2" w14:textId="77777777" w:rsidR="00E81289" w:rsidRPr="003D5758" w:rsidRDefault="00E81289" w:rsidP="00E81289">
      <w:pPr>
        <w:jc w:val="both"/>
        <w:rPr>
          <w:rFonts w:cs="Arial"/>
          <w:szCs w:val="24"/>
        </w:rPr>
      </w:pPr>
      <w:r>
        <w:rPr>
          <w:rFonts w:cs="Arial"/>
          <w:szCs w:val="24"/>
        </w:rPr>
        <w:t>Both appellants appealed to the Court of Appeal.  The appeals were heard on the same day and the appellants relied on the same arguments.  The Court of Appeal dismissed both appeals and held that the word “wiling” in s 59(1a) of the 2017 Act has a meaning that is opposite to the defined term “unwilling” in s 57 of the 2017 Act.</w:t>
      </w:r>
    </w:p>
    <w:p w14:paraId="4722B3EF" w14:textId="77777777" w:rsidR="00E81289" w:rsidRDefault="00E81289" w:rsidP="00E81289">
      <w:pPr>
        <w:jc w:val="both"/>
        <w:rPr>
          <w:rFonts w:cs="Arial"/>
          <w:szCs w:val="24"/>
        </w:rPr>
      </w:pPr>
    </w:p>
    <w:p w14:paraId="033AF988" w14:textId="0EE3BE96" w:rsidR="00E81289" w:rsidRPr="00855FEF" w:rsidRDefault="00E81289" w:rsidP="00E81289">
      <w:pPr>
        <w:jc w:val="both"/>
        <w:rPr>
          <w:rFonts w:cs="Arial"/>
          <w:szCs w:val="24"/>
        </w:rPr>
      </w:pPr>
      <w:r>
        <w:rPr>
          <w:rFonts w:cs="Arial"/>
          <w:szCs w:val="24"/>
        </w:rPr>
        <w:t>Both appellants applied to the High Court for special leave to appeal, which was granted on 21 February 2022.</w:t>
      </w:r>
    </w:p>
    <w:p w14:paraId="088394FA" w14:textId="77777777" w:rsidR="00E81289" w:rsidRDefault="00E81289" w:rsidP="00E81289">
      <w:pPr>
        <w:jc w:val="both"/>
        <w:rPr>
          <w:rFonts w:cs="Arial"/>
          <w:szCs w:val="24"/>
        </w:rPr>
      </w:pPr>
    </w:p>
    <w:p w14:paraId="3AF6E1A3" w14:textId="77777777" w:rsidR="00E81289" w:rsidRDefault="00E81289" w:rsidP="00E81289">
      <w:pPr>
        <w:jc w:val="both"/>
        <w:rPr>
          <w:rFonts w:cs="Arial"/>
          <w:szCs w:val="24"/>
        </w:rPr>
      </w:pPr>
      <w:r>
        <w:rPr>
          <w:rFonts w:cs="Arial"/>
          <w:szCs w:val="24"/>
        </w:rPr>
        <w:t>The grounds of appeal are that:</w:t>
      </w:r>
    </w:p>
    <w:p w14:paraId="452249C0" w14:textId="77777777" w:rsidR="00466FF6" w:rsidRDefault="00466FF6" w:rsidP="00E81289">
      <w:pPr>
        <w:jc w:val="both"/>
        <w:rPr>
          <w:rFonts w:cs="Arial"/>
          <w:szCs w:val="24"/>
        </w:rPr>
      </w:pPr>
    </w:p>
    <w:p w14:paraId="63156C10" w14:textId="01AAA7F4" w:rsidR="00E81289" w:rsidRPr="00466FF6" w:rsidRDefault="00E81289" w:rsidP="00466FF6">
      <w:pPr>
        <w:pStyle w:val="ListParagraph"/>
        <w:numPr>
          <w:ilvl w:val="0"/>
          <w:numId w:val="11"/>
        </w:numPr>
        <w:jc w:val="both"/>
        <w:rPr>
          <w:rFonts w:cs="Arial"/>
          <w:sz w:val="24"/>
          <w:szCs w:val="24"/>
        </w:rPr>
      </w:pPr>
      <w:r w:rsidRPr="00772981">
        <w:rPr>
          <w:rFonts w:cs="Arial"/>
          <w:sz w:val="24"/>
          <w:szCs w:val="24"/>
        </w:rPr>
        <w:t>The Court of Appeal erred in holding that:</w:t>
      </w:r>
      <w:r w:rsidR="00466FF6">
        <w:rPr>
          <w:rFonts w:cs="Arial"/>
          <w:sz w:val="24"/>
          <w:szCs w:val="24"/>
        </w:rPr>
        <w:t xml:space="preserve"> </w:t>
      </w:r>
    </w:p>
    <w:p w14:paraId="47DF7E0D" w14:textId="77777777" w:rsidR="00E81289" w:rsidRDefault="00E81289" w:rsidP="00E81289">
      <w:pPr>
        <w:pStyle w:val="ListParagraph"/>
        <w:numPr>
          <w:ilvl w:val="1"/>
          <w:numId w:val="11"/>
        </w:numPr>
        <w:jc w:val="both"/>
        <w:rPr>
          <w:rFonts w:cs="Arial"/>
          <w:sz w:val="24"/>
          <w:szCs w:val="24"/>
        </w:rPr>
      </w:pPr>
      <w:r w:rsidRPr="00772981">
        <w:rPr>
          <w:rFonts w:cs="Arial"/>
          <w:sz w:val="24"/>
          <w:szCs w:val="24"/>
        </w:rPr>
        <w:lastRenderedPageBreak/>
        <w:t>The meaning of the undefined word "willing" in s</w:t>
      </w:r>
      <w:r>
        <w:rPr>
          <w:rFonts w:cs="Arial"/>
          <w:sz w:val="24"/>
          <w:szCs w:val="24"/>
        </w:rPr>
        <w:t xml:space="preserve"> </w:t>
      </w:r>
      <w:r w:rsidRPr="00772981">
        <w:rPr>
          <w:rFonts w:cs="Arial"/>
          <w:sz w:val="24"/>
          <w:szCs w:val="24"/>
        </w:rPr>
        <w:t xml:space="preserve">59(1a) of the </w:t>
      </w:r>
      <w:r w:rsidRPr="00772981">
        <w:rPr>
          <w:rFonts w:cs="Arial"/>
          <w:i/>
          <w:sz w:val="24"/>
          <w:szCs w:val="24"/>
        </w:rPr>
        <w:t>Sentencing Act 20</w:t>
      </w:r>
      <w:r>
        <w:rPr>
          <w:rFonts w:cs="Arial"/>
          <w:i/>
          <w:sz w:val="24"/>
          <w:szCs w:val="24"/>
        </w:rPr>
        <w:t>1</w:t>
      </w:r>
      <w:r w:rsidRPr="00772981">
        <w:rPr>
          <w:rFonts w:cs="Arial"/>
          <w:i/>
          <w:sz w:val="24"/>
          <w:szCs w:val="24"/>
        </w:rPr>
        <w:t>7</w:t>
      </w:r>
      <w:r w:rsidRPr="00772981">
        <w:rPr>
          <w:rFonts w:cs="Arial"/>
          <w:sz w:val="24"/>
          <w:szCs w:val="24"/>
        </w:rPr>
        <w:t xml:space="preserve"> (SA) (the </w:t>
      </w:r>
      <w:r w:rsidRPr="003B1340">
        <w:rPr>
          <w:rFonts w:cs="Arial"/>
          <w:bCs/>
          <w:sz w:val="24"/>
          <w:szCs w:val="24"/>
        </w:rPr>
        <w:t>Act</w:t>
      </w:r>
      <w:r w:rsidRPr="00772981">
        <w:rPr>
          <w:rFonts w:cs="Arial"/>
          <w:sz w:val="24"/>
          <w:szCs w:val="24"/>
        </w:rPr>
        <w:t>) is the converse of the word "unwilling" as</w:t>
      </w:r>
      <w:r>
        <w:rPr>
          <w:rFonts w:cs="Arial"/>
          <w:sz w:val="24"/>
          <w:szCs w:val="24"/>
        </w:rPr>
        <w:t xml:space="preserve"> </w:t>
      </w:r>
      <w:r w:rsidRPr="00772981">
        <w:rPr>
          <w:rFonts w:cs="Arial"/>
          <w:sz w:val="24"/>
          <w:szCs w:val="24"/>
        </w:rPr>
        <w:t>defined in s</w:t>
      </w:r>
      <w:r>
        <w:rPr>
          <w:rFonts w:cs="Arial"/>
          <w:sz w:val="24"/>
          <w:szCs w:val="24"/>
        </w:rPr>
        <w:t xml:space="preserve"> </w:t>
      </w:r>
      <w:r w:rsidRPr="00772981">
        <w:rPr>
          <w:rFonts w:cs="Arial"/>
          <w:sz w:val="24"/>
          <w:szCs w:val="24"/>
        </w:rPr>
        <w:t>57 of the Act, so that a person in the position of the appellant can be regarded as "willing" to control their sexual instincts only if they can establish that there is not "a significant risk that [they] would, given an opportunity to commit a relevant offence, fail to exercise appropriate control of [their] sexual instincts" and;</w:t>
      </w:r>
    </w:p>
    <w:p w14:paraId="63F38333" w14:textId="77777777" w:rsidR="00E81289" w:rsidRPr="00772981" w:rsidRDefault="00E81289" w:rsidP="00E81289">
      <w:pPr>
        <w:pStyle w:val="ListParagraph"/>
        <w:ind w:left="1440"/>
        <w:jc w:val="both"/>
        <w:rPr>
          <w:rFonts w:cs="Arial"/>
          <w:sz w:val="24"/>
          <w:szCs w:val="24"/>
        </w:rPr>
      </w:pPr>
    </w:p>
    <w:p w14:paraId="0FFD2A80" w14:textId="77777777" w:rsidR="00E81289" w:rsidRDefault="00E81289" w:rsidP="00E81289">
      <w:pPr>
        <w:pStyle w:val="ListParagraph"/>
        <w:numPr>
          <w:ilvl w:val="1"/>
          <w:numId w:val="11"/>
        </w:numPr>
        <w:jc w:val="both"/>
        <w:rPr>
          <w:rFonts w:cs="Arial"/>
          <w:sz w:val="24"/>
          <w:szCs w:val="24"/>
        </w:rPr>
      </w:pPr>
      <w:r w:rsidRPr="00772981">
        <w:rPr>
          <w:rFonts w:cs="Arial"/>
          <w:sz w:val="24"/>
          <w:szCs w:val="24"/>
        </w:rPr>
        <w:t>That this was "a necessary conclusion" because ss</w:t>
      </w:r>
      <w:r>
        <w:rPr>
          <w:rFonts w:cs="Arial"/>
          <w:sz w:val="24"/>
          <w:szCs w:val="24"/>
        </w:rPr>
        <w:t xml:space="preserve"> </w:t>
      </w:r>
      <w:r w:rsidRPr="00772981">
        <w:rPr>
          <w:rFonts w:cs="Arial"/>
          <w:sz w:val="24"/>
          <w:szCs w:val="24"/>
        </w:rPr>
        <w:t>57, 58, and 59 of the Act</w:t>
      </w:r>
      <w:r>
        <w:rPr>
          <w:rFonts w:cs="Arial"/>
          <w:sz w:val="24"/>
          <w:szCs w:val="24"/>
        </w:rPr>
        <w:t xml:space="preserve"> </w:t>
      </w:r>
      <w:r w:rsidRPr="00772981">
        <w:rPr>
          <w:rFonts w:cs="Arial"/>
          <w:sz w:val="24"/>
          <w:szCs w:val="24"/>
        </w:rPr>
        <w:t>"can only provide a coherent regime" if the word "willing" in s</w:t>
      </w:r>
      <w:r>
        <w:rPr>
          <w:rFonts w:cs="Arial"/>
          <w:sz w:val="24"/>
          <w:szCs w:val="24"/>
        </w:rPr>
        <w:t xml:space="preserve"> </w:t>
      </w:r>
      <w:r w:rsidRPr="00772981">
        <w:rPr>
          <w:rFonts w:cs="Arial"/>
          <w:sz w:val="24"/>
          <w:szCs w:val="24"/>
        </w:rPr>
        <w:t>59(1a) is so</w:t>
      </w:r>
      <w:r>
        <w:rPr>
          <w:rFonts w:cs="Arial"/>
          <w:sz w:val="24"/>
          <w:szCs w:val="24"/>
        </w:rPr>
        <w:t xml:space="preserve"> </w:t>
      </w:r>
      <w:r w:rsidRPr="00772981">
        <w:rPr>
          <w:rFonts w:cs="Arial"/>
          <w:sz w:val="24"/>
          <w:szCs w:val="24"/>
        </w:rPr>
        <w:t>construed</w:t>
      </w:r>
      <w:r>
        <w:rPr>
          <w:rFonts w:cs="Arial"/>
          <w:sz w:val="24"/>
          <w:szCs w:val="24"/>
        </w:rPr>
        <w:t>.</w:t>
      </w:r>
    </w:p>
    <w:p w14:paraId="7E542459" w14:textId="77777777" w:rsidR="00E81289" w:rsidRPr="005A14D7" w:rsidRDefault="00E81289" w:rsidP="00E81289">
      <w:pPr>
        <w:jc w:val="both"/>
        <w:rPr>
          <w:rFonts w:cs="Arial"/>
          <w:szCs w:val="24"/>
        </w:rPr>
      </w:pPr>
    </w:p>
    <w:p w14:paraId="7D035ED8" w14:textId="77777777" w:rsidR="00E81289" w:rsidRPr="00772981" w:rsidRDefault="00E81289" w:rsidP="00E81289">
      <w:pPr>
        <w:pStyle w:val="ListParagraph"/>
        <w:numPr>
          <w:ilvl w:val="0"/>
          <w:numId w:val="11"/>
        </w:numPr>
        <w:jc w:val="both"/>
        <w:rPr>
          <w:rFonts w:cs="Arial"/>
          <w:sz w:val="24"/>
          <w:szCs w:val="24"/>
        </w:rPr>
      </w:pPr>
      <w:r w:rsidRPr="00772981">
        <w:rPr>
          <w:rFonts w:cs="Arial"/>
          <w:sz w:val="24"/>
          <w:szCs w:val="24"/>
        </w:rPr>
        <w:t>The Court of Appeal erred in holding that, in considering whether a person is "willing" to control their sexual instincts for the purpose of s 59(1a) of the Act, the hypothetical risk of the person failing to exercise appropriate control of their sexual instincts if "given an opportunity to commit a relevant offence" is to be considered without regard to the likely circumstances of the person if released on license or the effect of any conditions that might be imposed on that release.</w:t>
      </w:r>
    </w:p>
    <w:p w14:paraId="3A5F7FD0" w14:textId="77777777" w:rsidR="00C93FFD" w:rsidRPr="00913869" w:rsidRDefault="00C93FFD" w:rsidP="00913869"/>
    <w:sectPr w:rsidR="00C93FFD" w:rsidRPr="00913869"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792A" w14:textId="77777777" w:rsidR="006235D8" w:rsidRDefault="006235D8">
      <w:r>
        <w:separator/>
      </w:r>
    </w:p>
  </w:endnote>
  <w:endnote w:type="continuationSeparator" w:id="0">
    <w:p w14:paraId="113E801D"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5F4F"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9613C" w14:textId="77777777" w:rsidR="006235D8" w:rsidRDefault="006235D8">
      <w:r>
        <w:separator/>
      </w:r>
    </w:p>
  </w:footnote>
  <w:footnote w:type="continuationSeparator" w:id="0">
    <w:p w14:paraId="6D452CC9"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2810"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2663" w14:textId="77777777" w:rsidR="004B7828" w:rsidRDefault="004B7828">
    <w:pPr>
      <w:pStyle w:val="Title"/>
    </w:pPr>
  </w:p>
  <w:p w14:paraId="2DD181A0" w14:textId="77777777" w:rsidR="004B7828" w:rsidRDefault="004B7828">
    <w:pPr>
      <w:pStyle w:val="Title"/>
    </w:pPr>
    <w:r>
      <w:t>SHORT PARTICULARS OF CASES</w:t>
    </w:r>
  </w:p>
  <w:p w14:paraId="5966B2E9" w14:textId="77777777" w:rsidR="004B7828" w:rsidRDefault="004B7828">
    <w:pPr>
      <w:pStyle w:val="Title"/>
    </w:pPr>
    <w:r>
      <w:t>APPEALS</w:t>
    </w:r>
  </w:p>
  <w:p w14:paraId="53EA820A" w14:textId="77777777" w:rsidR="004B7828" w:rsidRDefault="004B7828">
    <w:pPr>
      <w:tabs>
        <w:tab w:val="left" w:pos="851"/>
        <w:tab w:val="right" w:pos="8505"/>
      </w:tabs>
      <w:jc w:val="center"/>
      <w:rPr>
        <w:b/>
        <w:u w:val="single"/>
      </w:rPr>
    </w:pPr>
  </w:p>
  <w:p w14:paraId="668B9AF6" w14:textId="45BA2E0C" w:rsidR="004B7828" w:rsidRDefault="00740C5D">
    <w:pPr>
      <w:tabs>
        <w:tab w:val="left" w:pos="851"/>
        <w:tab w:val="right" w:pos="8505"/>
      </w:tabs>
      <w:jc w:val="center"/>
      <w:rPr>
        <w:b/>
        <w:u w:val="single"/>
      </w:rPr>
    </w:pPr>
    <w:r>
      <w:rPr>
        <w:b/>
        <w:u w:val="single"/>
      </w:rPr>
      <w:t>MAY 2022</w:t>
    </w:r>
  </w:p>
  <w:p w14:paraId="14C4CDB3" w14:textId="77777777" w:rsidR="004B7828" w:rsidRDefault="004B7828">
    <w:pPr>
      <w:tabs>
        <w:tab w:val="left" w:pos="851"/>
        <w:tab w:val="right" w:pos="8505"/>
      </w:tabs>
    </w:pPr>
  </w:p>
  <w:p w14:paraId="5D1408F1" w14:textId="77777777" w:rsidR="004B7828" w:rsidRDefault="004B7828">
    <w:pPr>
      <w:tabs>
        <w:tab w:val="left" w:pos="851"/>
        <w:tab w:val="right" w:pos="8505"/>
      </w:tabs>
      <w:jc w:val="both"/>
    </w:pPr>
    <w:r>
      <w:t>_______________________________________________________________</w:t>
    </w:r>
    <w:r w:rsidR="00E442CA">
      <w:t>_</w:t>
    </w:r>
  </w:p>
  <w:p w14:paraId="64A7F93D" w14:textId="77777777" w:rsidR="004B7828" w:rsidRDefault="004B7828">
    <w:pPr>
      <w:tabs>
        <w:tab w:val="left" w:pos="851"/>
        <w:tab w:val="right" w:pos="8505"/>
      </w:tabs>
      <w:jc w:val="both"/>
    </w:pPr>
  </w:p>
  <w:p w14:paraId="1B118463" w14:textId="77777777" w:rsidR="004B7828" w:rsidRDefault="004B7828">
    <w:pPr>
      <w:tabs>
        <w:tab w:val="left" w:pos="851"/>
        <w:tab w:val="right" w:pos="8505"/>
      </w:tabs>
      <w:jc w:val="both"/>
    </w:pPr>
    <w:r>
      <w:t>No.</w:t>
    </w:r>
    <w:r>
      <w:tab/>
      <w:t>Name of Matter</w:t>
    </w:r>
    <w:r>
      <w:tab/>
      <w:t>Page No</w:t>
    </w:r>
  </w:p>
  <w:p w14:paraId="0A107AAC" w14:textId="77777777" w:rsidR="004B7828" w:rsidRDefault="004B7828" w:rsidP="00E442CA">
    <w:pPr>
      <w:tabs>
        <w:tab w:val="left" w:pos="851"/>
        <w:tab w:val="right" w:pos="8505"/>
      </w:tabs>
      <w:jc w:val="both"/>
    </w:pPr>
    <w:r>
      <w:t>_______________________________________________________________</w:t>
    </w:r>
    <w:r w:rsidR="00E442CA">
      <w:t>_</w:t>
    </w:r>
  </w:p>
  <w:p w14:paraId="353ECE82"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09735C"/>
    <w:multiLevelType w:val="hybridMultilevel"/>
    <w:tmpl w:val="C2722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D8802ED"/>
    <w:multiLevelType w:val="multilevel"/>
    <w:tmpl w:val="DBC81BA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8303A77"/>
    <w:multiLevelType w:val="multilevel"/>
    <w:tmpl w:val="DBC81BA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3E735AC"/>
    <w:multiLevelType w:val="hybridMultilevel"/>
    <w:tmpl w:val="9314F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2"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num w:numId="1">
    <w:abstractNumId w:val="12"/>
  </w:num>
  <w:num w:numId="2">
    <w:abstractNumId w:val="5"/>
  </w:num>
  <w:num w:numId="3">
    <w:abstractNumId w:val="3"/>
  </w:num>
  <w:num w:numId="4">
    <w:abstractNumId w:val="6"/>
  </w:num>
  <w:num w:numId="5">
    <w:abstractNumId w:val="11"/>
  </w:num>
  <w:num w:numId="6">
    <w:abstractNumId w:val="8"/>
  </w:num>
  <w:num w:numId="7">
    <w:abstractNumId w:val="1"/>
  </w:num>
  <w:num w:numId="8">
    <w:abstractNumId w:val="0"/>
  </w:num>
  <w:num w:numId="9">
    <w:abstractNumId w:val="2"/>
  </w:num>
  <w:num w:numId="10">
    <w:abstractNumId w:val="7"/>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94A56"/>
    <w:rsid w:val="000B7BD8"/>
    <w:rsid w:val="0017588E"/>
    <w:rsid w:val="0017627F"/>
    <w:rsid w:val="001A29AE"/>
    <w:rsid w:val="00212162"/>
    <w:rsid w:val="00274CB5"/>
    <w:rsid w:val="002E45D0"/>
    <w:rsid w:val="00356E32"/>
    <w:rsid w:val="00385013"/>
    <w:rsid w:val="003C2828"/>
    <w:rsid w:val="00466FF6"/>
    <w:rsid w:val="004B7828"/>
    <w:rsid w:val="00570096"/>
    <w:rsid w:val="00591DF2"/>
    <w:rsid w:val="0062023B"/>
    <w:rsid w:val="006235D8"/>
    <w:rsid w:val="00667BBA"/>
    <w:rsid w:val="00737693"/>
    <w:rsid w:val="00740C5D"/>
    <w:rsid w:val="00811E2E"/>
    <w:rsid w:val="008134B4"/>
    <w:rsid w:val="00876107"/>
    <w:rsid w:val="008F1168"/>
    <w:rsid w:val="00913869"/>
    <w:rsid w:val="009572D5"/>
    <w:rsid w:val="009A7BD7"/>
    <w:rsid w:val="00A414D3"/>
    <w:rsid w:val="00B6206E"/>
    <w:rsid w:val="00B7644D"/>
    <w:rsid w:val="00BA02B7"/>
    <w:rsid w:val="00C2303B"/>
    <w:rsid w:val="00C65A07"/>
    <w:rsid w:val="00C93FFD"/>
    <w:rsid w:val="00CE2701"/>
    <w:rsid w:val="00D62C4A"/>
    <w:rsid w:val="00D97269"/>
    <w:rsid w:val="00E442CA"/>
    <w:rsid w:val="00E81289"/>
    <w:rsid w:val="00EF4903"/>
    <w:rsid w:val="00F03117"/>
    <w:rsid w:val="00F51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C5885"/>
  <w15:chartTrackingRefBased/>
  <w15:docId w15:val="{B91772CE-050F-4006-AF62-012D6165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E32"/>
    <w:pPr>
      <w:ind w:left="720"/>
    </w:pPr>
    <w:rPr>
      <w:sz w:val="22"/>
      <w:lang w:val="en-AU" w:eastAsia="en-US"/>
    </w:rPr>
  </w:style>
  <w:style w:type="paragraph" w:styleId="NoSpacing">
    <w:name w:val="No Spacing"/>
    <w:uiPriority w:val="1"/>
    <w:qFormat/>
    <w:rsid w:val="00356E3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6044-66D3-4B90-8033-7F6FD2D7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2030</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23</cp:revision>
  <cp:lastPrinted>1999-08-03T02:31:00Z</cp:lastPrinted>
  <dcterms:created xsi:type="dcterms:W3CDTF">2022-03-29T00:08:00Z</dcterms:created>
  <dcterms:modified xsi:type="dcterms:W3CDTF">2022-05-02T00:26:00Z</dcterms:modified>
</cp:coreProperties>
</file>