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2513F" w14:textId="77777777" w:rsidR="00F03117" w:rsidRDefault="00F03117" w:rsidP="00913869"/>
    <w:tbl>
      <w:tblPr>
        <w:tblW w:w="0" w:type="auto"/>
        <w:jc w:val="center"/>
        <w:tblLook w:val="04A0" w:firstRow="1" w:lastRow="0" w:firstColumn="1" w:lastColumn="0" w:noHBand="0" w:noVBand="1"/>
      </w:tblPr>
      <w:tblGrid>
        <w:gridCol w:w="7890"/>
        <w:gridCol w:w="849"/>
      </w:tblGrid>
      <w:tr w:rsidR="00F03117" w:rsidRPr="00007C4E" w14:paraId="03EBF272" w14:textId="77777777" w:rsidTr="00C94F23">
        <w:trPr>
          <w:jc w:val="center"/>
        </w:trPr>
        <w:tc>
          <w:tcPr>
            <w:tcW w:w="8755" w:type="dxa"/>
            <w:gridSpan w:val="2"/>
            <w:shd w:val="clear" w:color="auto" w:fill="auto"/>
          </w:tcPr>
          <w:p w14:paraId="4E039E53" w14:textId="292CEEB7" w:rsidR="00F03117" w:rsidRPr="00007C4E" w:rsidRDefault="00ED18CF" w:rsidP="00007C4E">
            <w:pPr>
              <w:tabs>
                <w:tab w:val="left" w:pos="851"/>
                <w:tab w:val="right" w:pos="8505"/>
              </w:tabs>
              <w:jc w:val="both"/>
              <w:rPr>
                <w:u w:val="single"/>
              </w:rPr>
            </w:pPr>
            <w:r>
              <w:rPr>
                <w:u w:val="single"/>
              </w:rPr>
              <w:t>Tuesday, 5 April 2022</w:t>
            </w:r>
            <w:r w:rsidR="001A29AE">
              <w:rPr>
                <w:u w:val="single"/>
              </w:rPr>
              <w:t xml:space="preserve"> </w:t>
            </w:r>
          </w:p>
          <w:p w14:paraId="7BDDB815" w14:textId="77777777" w:rsidR="00F03117" w:rsidRDefault="00F03117" w:rsidP="00007C4E">
            <w:pPr>
              <w:pStyle w:val="Title"/>
              <w:jc w:val="left"/>
            </w:pPr>
          </w:p>
        </w:tc>
      </w:tr>
      <w:tr w:rsidR="00F03117" w14:paraId="739D63D4" w14:textId="77777777" w:rsidTr="00C94F23">
        <w:trPr>
          <w:jc w:val="center"/>
        </w:trPr>
        <w:tc>
          <w:tcPr>
            <w:tcW w:w="7905" w:type="dxa"/>
            <w:shd w:val="clear" w:color="auto" w:fill="auto"/>
          </w:tcPr>
          <w:p w14:paraId="0DC0B9C9" w14:textId="35FDCFE7" w:rsidR="00F03117" w:rsidRPr="00913869" w:rsidRDefault="00ED18CF" w:rsidP="00913869">
            <w:pPr>
              <w:numPr>
                <w:ilvl w:val="0"/>
                <w:numId w:val="9"/>
              </w:numPr>
              <w:ind w:hanging="720"/>
            </w:pPr>
            <w:proofErr w:type="gramStart"/>
            <w:r>
              <w:t>Hill</w:t>
            </w:r>
            <w:r w:rsidR="00C94F23">
              <w:t xml:space="preserve"> </w:t>
            </w:r>
            <w:r w:rsidR="00F03117" w:rsidRPr="00007C4E">
              <w:t xml:space="preserve"> v</w:t>
            </w:r>
            <w:proofErr w:type="gramEnd"/>
            <w:r w:rsidR="00F03117" w:rsidRPr="00007C4E">
              <w:t xml:space="preserve">  </w:t>
            </w:r>
            <w:proofErr w:type="spellStart"/>
            <w:r>
              <w:t>Zuda</w:t>
            </w:r>
            <w:proofErr w:type="spellEnd"/>
            <w:r>
              <w:t xml:space="preserve"> Pty Ltd as </w:t>
            </w:r>
            <w:r w:rsidR="002C3080">
              <w:t>T</w:t>
            </w:r>
            <w:r>
              <w:t xml:space="preserve">rustee for </w:t>
            </w:r>
            <w:r w:rsidR="00C04581">
              <w:t>T</w:t>
            </w:r>
            <w:r>
              <w:t xml:space="preserve">he Holly Superannuation Fund &amp; </w:t>
            </w:r>
            <w:proofErr w:type="spellStart"/>
            <w:r>
              <w:t>Ors</w:t>
            </w:r>
            <w:bookmarkStart w:id="0" w:name="_GoBack"/>
            <w:bookmarkEnd w:id="0"/>
            <w:proofErr w:type="spellEnd"/>
          </w:p>
        </w:tc>
        <w:tc>
          <w:tcPr>
            <w:tcW w:w="850" w:type="dxa"/>
            <w:shd w:val="clear" w:color="auto" w:fill="auto"/>
          </w:tcPr>
          <w:p w14:paraId="35A41A9A" w14:textId="51D9213E" w:rsidR="00F03117" w:rsidRPr="00C65A07" w:rsidRDefault="00ED18CF" w:rsidP="00C65A07">
            <w:pPr>
              <w:pStyle w:val="Title"/>
              <w:rPr>
                <w:u w:val="none"/>
              </w:rPr>
            </w:pPr>
            <w:r>
              <w:rPr>
                <w:u w:val="none"/>
              </w:rPr>
              <w:t>1</w:t>
            </w:r>
          </w:p>
        </w:tc>
      </w:tr>
    </w:tbl>
    <w:p w14:paraId="780BACB4" w14:textId="47AFA6C9" w:rsidR="00F03117" w:rsidRDefault="00F03117" w:rsidP="00913869"/>
    <w:p w14:paraId="389E4416" w14:textId="77777777" w:rsidR="00E90858" w:rsidRDefault="00E90858" w:rsidP="00913869"/>
    <w:tbl>
      <w:tblPr>
        <w:tblW w:w="0" w:type="auto"/>
        <w:jc w:val="center"/>
        <w:tblLook w:val="04A0" w:firstRow="1" w:lastRow="0" w:firstColumn="1" w:lastColumn="0" w:noHBand="0" w:noVBand="1"/>
      </w:tblPr>
      <w:tblGrid>
        <w:gridCol w:w="7890"/>
        <w:gridCol w:w="849"/>
      </w:tblGrid>
      <w:tr w:rsidR="00ED18CF" w:rsidRPr="00007C4E" w14:paraId="7863F3A8" w14:textId="77777777" w:rsidTr="00C94F23">
        <w:trPr>
          <w:jc w:val="center"/>
        </w:trPr>
        <w:tc>
          <w:tcPr>
            <w:tcW w:w="8755" w:type="dxa"/>
            <w:gridSpan w:val="2"/>
            <w:shd w:val="clear" w:color="auto" w:fill="auto"/>
          </w:tcPr>
          <w:p w14:paraId="448F2A7B" w14:textId="1297B93B" w:rsidR="00ED18CF" w:rsidRPr="00007C4E" w:rsidRDefault="00ED18CF" w:rsidP="00B05954">
            <w:pPr>
              <w:tabs>
                <w:tab w:val="left" w:pos="851"/>
                <w:tab w:val="right" w:pos="8505"/>
              </w:tabs>
              <w:jc w:val="both"/>
              <w:rPr>
                <w:u w:val="single"/>
              </w:rPr>
            </w:pPr>
            <w:r>
              <w:rPr>
                <w:u w:val="single"/>
              </w:rPr>
              <w:t>Wednesday, 6 April 2022 and Thursday, 7 April 2022</w:t>
            </w:r>
          </w:p>
          <w:p w14:paraId="435D9683" w14:textId="77777777" w:rsidR="00ED18CF" w:rsidRDefault="00ED18CF" w:rsidP="00B05954">
            <w:pPr>
              <w:pStyle w:val="Title"/>
              <w:jc w:val="left"/>
            </w:pPr>
          </w:p>
        </w:tc>
      </w:tr>
      <w:tr w:rsidR="00ED18CF" w14:paraId="0AB7CB03" w14:textId="77777777" w:rsidTr="00C94F23">
        <w:trPr>
          <w:jc w:val="center"/>
        </w:trPr>
        <w:tc>
          <w:tcPr>
            <w:tcW w:w="7905" w:type="dxa"/>
            <w:shd w:val="clear" w:color="auto" w:fill="auto"/>
          </w:tcPr>
          <w:p w14:paraId="2D876C98" w14:textId="04E5A4AF" w:rsidR="00ED18CF" w:rsidRPr="00913869" w:rsidRDefault="00C94F23" w:rsidP="00B05954">
            <w:pPr>
              <w:numPr>
                <w:ilvl w:val="0"/>
                <w:numId w:val="9"/>
              </w:numPr>
              <w:ind w:hanging="720"/>
            </w:pPr>
            <w:r>
              <w:t xml:space="preserve">Minister for Immigration, Citizenship, Migrant Services and Multicultural Affairs &amp; </w:t>
            </w:r>
            <w:proofErr w:type="gramStart"/>
            <w:r>
              <w:t>Anor  v</w:t>
            </w:r>
            <w:proofErr w:type="gramEnd"/>
            <w:r>
              <w:t xml:space="preserve">  Montgomery</w:t>
            </w:r>
          </w:p>
        </w:tc>
        <w:tc>
          <w:tcPr>
            <w:tcW w:w="850" w:type="dxa"/>
            <w:shd w:val="clear" w:color="auto" w:fill="auto"/>
          </w:tcPr>
          <w:p w14:paraId="3F5DC0BC" w14:textId="38FBD359" w:rsidR="00ED18CF" w:rsidRPr="00C65A07" w:rsidRDefault="00DC21A0" w:rsidP="00B05954">
            <w:pPr>
              <w:pStyle w:val="Title"/>
              <w:rPr>
                <w:u w:val="none"/>
              </w:rPr>
            </w:pPr>
            <w:r>
              <w:rPr>
                <w:u w:val="none"/>
              </w:rPr>
              <w:t>3</w:t>
            </w:r>
          </w:p>
        </w:tc>
      </w:tr>
    </w:tbl>
    <w:p w14:paraId="72ED7CC9" w14:textId="73FEBB89" w:rsidR="00C14228" w:rsidRDefault="00C14228" w:rsidP="00913869"/>
    <w:p w14:paraId="0E6D6FDB" w14:textId="77777777" w:rsidR="00C14228" w:rsidRDefault="00C14228">
      <w:r>
        <w:br w:type="page"/>
      </w:r>
    </w:p>
    <w:p w14:paraId="397C0EBB" w14:textId="77777777" w:rsidR="00C17244" w:rsidRPr="00AA749A" w:rsidRDefault="00C17244" w:rsidP="00C17244">
      <w:pPr>
        <w:pStyle w:val="NoSpacing"/>
        <w:rPr>
          <w:rFonts w:ascii="Arial" w:eastAsia="Times New Roman" w:hAnsi="Arial" w:cs="Arial"/>
          <w:b/>
          <w:color w:val="000000"/>
          <w:sz w:val="28"/>
          <w:szCs w:val="28"/>
          <w:u w:val="single"/>
          <w:lang w:eastAsia="en-AU"/>
        </w:rPr>
      </w:pPr>
      <w:r w:rsidRPr="00AA749A">
        <w:rPr>
          <w:rFonts w:ascii="Arial" w:eastAsia="Times New Roman" w:hAnsi="Arial" w:cs="Arial"/>
          <w:b/>
          <w:color w:val="000000"/>
          <w:sz w:val="28"/>
          <w:szCs w:val="28"/>
          <w:u w:val="single"/>
          <w:lang w:eastAsia="en-AU"/>
        </w:rPr>
        <w:lastRenderedPageBreak/>
        <w:t>HILL v ZUDA PTY LTD (ACN 008 968 232) AS TRUSTEE FOR THE HOLLY SUPERANNUATION FUND &amp; ORS</w:t>
      </w:r>
      <w:r>
        <w:rPr>
          <w:rFonts w:ascii="Arial" w:eastAsia="Times New Roman" w:hAnsi="Arial" w:cs="Arial"/>
          <w:b/>
          <w:color w:val="000000"/>
          <w:sz w:val="28"/>
          <w:szCs w:val="28"/>
          <w:lang w:eastAsia="en-AU"/>
        </w:rPr>
        <w:t xml:space="preserve"> </w:t>
      </w:r>
      <w:r w:rsidRPr="00AA749A">
        <w:rPr>
          <w:rFonts w:ascii="Arial" w:eastAsia="Times New Roman" w:hAnsi="Arial" w:cs="Arial"/>
          <w:b/>
          <w:color w:val="000000"/>
          <w:sz w:val="28"/>
          <w:szCs w:val="28"/>
          <w:lang w:eastAsia="en-AU"/>
        </w:rPr>
        <w:t>(P48/2021)</w:t>
      </w:r>
    </w:p>
    <w:p w14:paraId="674DE596" w14:textId="77777777" w:rsidR="00C17244" w:rsidRPr="00E651B8" w:rsidRDefault="00C17244" w:rsidP="00C17244">
      <w:pPr>
        <w:ind w:left="2694" w:hanging="2694"/>
        <w:jc w:val="both"/>
        <w:rPr>
          <w:rFonts w:cs="Arial"/>
          <w:szCs w:val="24"/>
        </w:rPr>
      </w:pPr>
    </w:p>
    <w:p w14:paraId="326D9A89" w14:textId="77777777" w:rsidR="00C17244" w:rsidRDefault="00C17244" w:rsidP="00C17244">
      <w:pPr>
        <w:ind w:left="2880" w:hanging="2880"/>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 xml:space="preserve">Supreme Court of Western Australia Court of Appeal </w:t>
      </w:r>
      <w:r>
        <w:rPr>
          <w:rFonts w:cs="Arial"/>
          <w:szCs w:val="24"/>
        </w:rPr>
        <w:br/>
      </w:r>
      <w:r w:rsidRPr="00F91228">
        <w:rPr>
          <w:rFonts w:cs="Arial"/>
          <w:szCs w:val="24"/>
        </w:rPr>
        <w:t>[202</w:t>
      </w:r>
      <w:r>
        <w:rPr>
          <w:rFonts w:cs="Arial"/>
          <w:szCs w:val="24"/>
        </w:rPr>
        <w:t>1</w:t>
      </w:r>
      <w:r w:rsidRPr="00F91228">
        <w:rPr>
          <w:rFonts w:cs="Arial"/>
          <w:szCs w:val="24"/>
        </w:rPr>
        <w:t xml:space="preserve">] </w:t>
      </w:r>
      <w:r>
        <w:rPr>
          <w:rFonts w:cs="Arial"/>
          <w:szCs w:val="24"/>
        </w:rPr>
        <w:t>WASCA 59</w:t>
      </w:r>
    </w:p>
    <w:p w14:paraId="31CE5AF4" w14:textId="77777777" w:rsidR="00C17244" w:rsidRPr="008A0364" w:rsidRDefault="00C17244" w:rsidP="00C17244">
      <w:pPr>
        <w:ind w:left="2552" w:hanging="2552"/>
        <w:jc w:val="both"/>
        <w:rPr>
          <w:rFonts w:cs="Arial"/>
          <w:szCs w:val="24"/>
        </w:rPr>
      </w:pPr>
    </w:p>
    <w:p w14:paraId="54840CAB" w14:textId="59D0E432" w:rsidR="00C17244" w:rsidRDefault="00C17244" w:rsidP="00C17244">
      <w:pPr>
        <w:tabs>
          <w:tab w:val="left" w:pos="2835"/>
        </w:tabs>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r>
      <w:r>
        <w:rPr>
          <w:rFonts w:cs="Arial"/>
          <w:szCs w:val="24"/>
        </w:rPr>
        <w:tab/>
        <w:t xml:space="preserve"> 23 April 2021</w:t>
      </w:r>
    </w:p>
    <w:p w14:paraId="68E6E7A4" w14:textId="77777777" w:rsidR="00C17244" w:rsidRDefault="00C17244" w:rsidP="00C17244">
      <w:pPr>
        <w:ind w:left="2552" w:hanging="2552"/>
        <w:rPr>
          <w:rFonts w:cs="Arial"/>
          <w:szCs w:val="24"/>
        </w:rPr>
      </w:pPr>
    </w:p>
    <w:p w14:paraId="7D517184" w14:textId="40D4E347" w:rsidR="00C17244" w:rsidRPr="001D2812" w:rsidRDefault="00C17244" w:rsidP="00C17244">
      <w:pPr>
        <w:tabs>
          <w:tab w:val="left" w:pos="2835"/>
        </w:tabs>
        <w:jc w:val="both"/>
        <w:rPr>
          <w:rFonts w:cs="Arial"/>
          <w:szCs w:val="24"/>
        </w:rPr>
      </w:pPr>
      <w:r>
        <w:rPr>
          <w:rFonts w:cs="Arial"/>
          <w:szCs w:val="24"/>
          <w:u w:val="single"/>
        </w:rPr>
        <w:t>Special leave granted</w:t>
      </w:r>
      <w:r>
        <w:rPr>
          <w:rFonts w:cs="Arial"/>
          <w:szCs w:val="24"/>
        </w:rPr>
        <w:t>:</w:t>
      </w:r>
      <w:r>
        <w:rPr>
          <w:rFonts w:cs="Arial"/>
          <w:szCs w:val="24"/>
        </w:rPr>
        <w:tab/>
        <w:t xml:space="preserve"> 12 November 2021</w:t>
      </w:r>
    </w:p>
    <w:p w14:paraId="387CC738" w14:textId="77777777" w:rsidR="00C17244" w:rsidRDefault="00C17244" w:rsidP="00C17244">
      <w:pPr>
        <w:jc w:val="both"/>
        <w:rPr>
          <w:rFonts w:cs="Arial"/>
          <w:szCs w:val="24"/>
        </w:rPr>
      </w:pPr>
    </w:p>
    <w:p w14:paraId="25F38956" w14:textId="77777777" w:rsidR="00C17244" w:rsidRDefault="00C17244" w:rsidP="00BF56EA">
      <w:pPr>
        <w:jc w:val="both"/>
        <w:rPr>
          <w:rFonts w:cs="Arial"/>
          <w:szCs w:val="24"/>
        </w:rPr>
      </w:pPr>
      <w:r>
        <w:rPr>
          <w:rFonts w:cs="Arial"/>
          <w:szCs w:val="24"/>
        </w:rPr>
        <w:t xml:space="preserve">The Appellant is the only child of the late </w:t>
      </w:r>
      <w:proofErr w:type="spellStart"/>
      <w:r>
        <w:rPr>
          <w:rFonts w:cs="Arial"/>
          <w:szCs w:val="24"/>
        </w:rPr>
        <w:t>Mr</w:t>
      </w:r>
      <w:proofErr w:type="spellEnd"/>
      <w:r>
        <w:rPr>
          <w:rFonts w:cs="Arial"/>
          <w:szCs w:val="24"/>
        </w:rPr>
        <w:t xml:space="preserve"> </w:t>
      </w:r>
      <w:proofErr w:type="spellStart"/>
      <w:r>
        <w:rPr>
          <w:rFonts w:cs="Arial"/>
          <w:szCs w:val="24"/>
        </w:rPr>
        <w:t>Sodhy</w:t>
      </w:r>
      <w:proofErr w:type="spellEnd"/>
      <w:r>
        <w:rPr>
          <w:rFonts w:cs="Arial"/>
          <w:szCs w:val="24"/>
        </w:rPr>
        <w:t xml:space="preserve"> (“the deceased”) and was a dependent of him.  The deceased established a self-managed superannuation fund (“SMSF”), the Holly Superannuation Fund.  On 13 December 2011, the original trust deed was amended to insert a purported binding death benefit nomination (“BDBN”).  The purported BDBN nominated the Third Respondent, the deceased’s de facto partner, as the person to whom the deceased’s account balance would be distributed upon his death.  On 22 November 2016, the deceased died.  The Second Respondent is the Third Respondent in her capacity as the Executor of the deceased’s estate.  The Third Respondent is also the sole director of the First Respondent. </w:t>
      </w:r>
    </w:p>
    <w:p w14:paraId="0AE8617E" w14:textId="77777777" w:rsidR="00C17244" w:rsidRDefault="00C17244" w:rsidP="00BF56EA">
      <w:pPr>
        <w:jc w:val="both"/>
        <w:rPr>
          <w:rFonts w:cs="Arial"/>
          <w:szCs w:val="24"/>
        </w:rPr>
      </w:pPr>
    </w:p>
    <w:p w14:paraId="0FF0C990" w14:textId="77777777" w:rsidR="00C17244" w:rsidRDefault="00C17244" w:rsidP="00BF56EA">
      <w:pPr>
        <w:jc w:val="both"/>
        <w:rPr>
          <w:rFonts w:cs="Arial"/>
          <w:szCs w:val="24"/>
        </w:rPr>
      </w:pPr>
      <w:r>
        <w:rPr>
          <w:rFonts w:cs="Arial"/>
          <w:szCs w:val="24"/>
        </w:rPr>
        <w:t xml:space="preserve">The Appellant made a claim under the </w:t>
      </w:r>
      <w:r>
        <w:rPr>
          <w:rFonts w:cs="Arial"/>
          <w:i/>
          <w:szCs w:val="24"/>
        </w:rPr>
        <w:t>Family Provision Act 1972</w:t>
      </w:r>
      <w:r>
        <w:rPr>
          <w:rFonts w:cs="Arial"/>
          <w:szCs w:val="24"/>
        </w:rPr>
        <w:t xml:space="preserve"> (WA) against the estate in the Supreme Court of Western Australia.  The Appellant argued that the p</w:t>
      </w:r>
      <w:r w:rsidRPr="003C365A">
        <w:rPr>
          <w:rFonts w:cs="Arial"/>
          <w:szCs w:val="24"/>
        </w:rPr>
        <w:t xml:space="preserve">urported BDBN was not valid because it did not satisfy reg 6.17A(6) and (7) of the </w:t>
      </w:r>
      <w:r w:rsidRPr="003C365A">
        <w:rPr>
          <w:rFonts w:cs="Arial"/>
          <w:i/>
          <w:szCs w:val="24"/>
        </w:rPr>
        <w:t xml:space="preserve">Superannuation Industry (Supervision) Regulations 1994 </w:t>
      </w:r>
      <w:r w:rsidRPr="003C365A">
        <w:rPr>
          <w:rFonts w:cs="Arial"/>
          <w:szCs w:val="24"/>
        </w:rPr>
        <w:t>(</w:t>
      </w:r>
      <w:proofErr w:type="spellStart"/>
      <w:r w:rsidRPr="003C365A">
        <w:rPr>
          <w:rFonts w:cs="Arial"/>
          <w:szCs w:val="24"/>
        </w:rPr>
        <w:t>Cth</w:t>
      </w:r>
      <w:proofErr w:type="spellEnd"/>
      <w:r w:rsidRPr="003C365A">
        <w:rPr>
          <w:rFonts w:cs="Arial"/>
          <w:szCs w:val="24"/>
        </w:rPr>
        <w:t>) (</w:t>
      </w:r>
      <w:r w:rsidRPr="003C365A">
        <w:rPr>
          <w:rFonts w:cs="Arial"/>
          <w:i/>
          <w:szCs w:val="24"/>
        </w:rPr>
        <w:t>“SIS Regulations”</w:t>
      </w:r>
      <w:r w:rsidRPr="003C365A">
        <w:rPr>
          <w:rFonts w:cs="Arial"/>
          <w:szCs w:val="24"/>
        </w:rPr>
        <w:t>) and</w:t>
      </w:r>
      <w:r>
        <w:rPr>
          <w:rFonts w:cs="Arial"/>
          <w:szCs w:val="24"/>
        </w:rPr>
        <w:t xml:space="preserve"> was therefore of no force and effect.  She argued that reg 6.17A as well as s31 and s55A of the </w:t>
      </w:r>
      <w:r>
        <w:rPr>
          <w:rFonts w:cs="Arial"/>
          <w:i/>
          <w:szCs w:val="24"/>
        </w:rPr>
        <w:t xml:space="preserve">Superannuation Industry (Supervision) Act 1993 </w:t>
      </w:r>
      <w:r>
        <w:rPr>
          <w:rFonts w:cs="Arial"/>
          <w:szCs w:val="24"/>
        </w:rPr>
        <w:t>(</w:t>
      </w:r>
      <w:proofErr w:type="spellStart"/>
      <w:r>
        <w:rPr>
          <w:rFonts w:cs="Arial"/>
          <w:szCs w:val="24"/>
        </w:rPr>
        <w:t>Cth</w:t>
      </w:r>
      <w:proofErr w:type="spellEnd"/>
      <w:r>
        <w:rPr>
          <w:rFonts w:cs="Arial"/>
          <w:szCs w:val="24"/>
        </w:rPr>
        <w:t>) (</w:t>
      </w:r>
      <w:r w:rsidRPr="003C365A">
        <w:rPr>
          <w:rFonts w:cs="Arial"/>
          <w:i/>
          <w:szCs w:val="24"/>
        </w:rPr>
        <w:t>“</w:t>
      </w:r>
      <w:r>
        <w:rPr>
          <w:rFonts w:cs="Arial"/>
          <w:i/>
          <w:szCs w:val="24"/>
        </w:rPr>
        <w:t>SIS Act”</w:t>
      </w:r>
      <w:r w:rsidRPr="003C365A">
        <w:rPr>
          <w:rFonts w:cs="Arial"/>
          <w:szCs w:val="24"/>
        </w:rPr>
        <w:t>)</w:t>
      </w:r>
      <w:r>
        <w:rPr>
          <w:rFonts w:cs="Arial"/>
          <w:i/>
          <w:szCs w:val="24"/>
        </w:rPr>
        <w:t xml:space="preserve"> </w:t>
      </w:r>
      <w:r>
        <w:rPr>
          <w:rFonts w:cs="Arial"/>
          <w:szCs w:val="24"/>
        </w:rPr>
        <w:t xml:space="preserve">required the account balance to be paid to one or more of the Appellant, the Second Respondent and the Third Respondent.  The Respondents argued that reg 6.17A(6) and (7) do not apply to SMSFs.  They sought and were granted summary judgment on the basis that the authorities are all one way in </w:t>
      </w:r>
      <w:proofErr w:type="spellStart"/>
      <w:r>
        <w:rPr>
          <w:rFonts w:cs="Arial"/>
          <w:szCs w:val="24"/>
        </w:rPr>
        <w:t>favour</w:t>
      </w:r>
      <w:proofErr w:type="spellEnd"/>
      <w:r>
        <w:rPr>
          <w:rFonts w:cs="Arial"/>
          <w:szCs w:val="24"/>
        </w:rPr>
        <w:t xml:space="preserve"> of the Respondents’ construction of the </w:t>
      </w:r>
      <w:r>
        <w:rPr>
          <w:rFonts w:cs="Arial"/>
          <w:i/>
          <w:szCs w:val="24"/>
        </w:rPr>
        <w:t xml:space="preserve">SIS Act </w:t>
      </w:r>
      <w:r>
        <w:rPr>
          <w:rFonts w:cs="Arial"/>
          <w:szCs w:val="24"/>
        </w:rPr>
        <w:t xml:space="preserve">and </w:t>
      </w:r>
      <w:r>
        <w:rPr>
          <w:rFonts w:cs="Arial"/>
          <w:i/>
          <w:szCs w:val="24"/>
        </w:rPr>
        <w:t>SIS Regulations</w:t>
      </w:r>
      <w:r>
        <w:rPr>
          <w:rFonts w:cs="Arial"/>
          <w:szCs w:val="24"/>
        </w:rPr>
        <w:t>.</w:t>
      </w:r>
    </w:p>
    <w:p w14:paraId="237141ED" w14:textId="77777777" w:rsidR="00C17244" w:rsidRDefault="00C17244" w:rsidP="00BF56EA">
      <w:pPr>
        <w:jc w:val="both"/>
        <w:rPr>
          <w:rFonts w:cs="Arial"/>
          <w:szCs w:val="24"/>
        </w:rPr>
      </w:pPr>
    </w:p>
    <w:p w14:paraId="4AFAE5CE" w14:textId="77777777" w:rsidR="00C17244" w:rsidRPr="00FF214C" w:rsidRDefault="00C17244" w:rsidP="00BF56EA">
      <w:pPr>
        <w:jc w:val="both"/>
        <w:rPr>
          <w:rFonts w:cs="Arial"/>
          <w:i/>
          <w:szCs w:val="24"/>
        </w:rPr>
      </w:pPr>
      <w:r>
        <w:rPr>
          <w:rFonts w:cs="Arial"/>
          <w:szCs w:val="24"/>
        </w:rPr>
        <w:t xml:space="preserve">The Appellant appealed to the Court of Appeal.  The Court of Appeal held that the Appellant’s construction was reasonably arguable.  However, it found that it should accept the construction in </w:t>
      </w:r>
      <w:r>
        <w:rPr>
          <w:rFonts w:cs="Arial"/>
          <w:i/>
          <w:szCs w:val="24"/>
        </w:rPr>
        <w:t>Cantor Management Services Pty Ltd v Booth</w:t>
      </w:r>
      <w:r>
        <w:rPr>
          <w:rFonts w:cs="Arial"/>
          <w:szCs w:val="24"/>
        </w:rPr>
        <w:t xml:space="preserve"> [2017] SASCFC 122, that is, the Respondents’ construction, until such time as that decision is overruled by the High Court.  The appeal was dismissed.</w:t>
      </w:r>
    </w:p>
    <w:p w14:paraId="164EFF55" w14:textId="77777777" w:rsidR="00C17244" w:rsidRDefault="00C17244" w:rsidP="00BF56EA">
      <w:pPr>
        <w:jc w:val="both"/>
        <w:rPr>
          <w:rFonts w:cs="Arial"/>
          <w:szCs w:val="24"/>
        </w:rPr>
      </w:pPr>
    </w:p>
    <w:p w14:paraId="6FA61E24" w14:textId="77777777" w:rsidR="00C17244" w:rsidRPr="00855FEF" w:rsidRDefault="00C17244" w:rsidP="00BF56EA">
      <w:pPr>
        <w:jc w:val="both"/>
        <w:rPr>
          <w:rFonts w:cs="Arial"/>
          <w:szCs w:val="24"/>
        </w:rPr>
      </w:pPr>
      <w:r>
        <w:rPr>
          <w:rFonts w:cs="Arial"/>
          <w:szCs w:val="24"/>
        </w:rPr>
        <w:t>The Appellant sought special leave to appeal which was granted on 12 November 2021.</w:t>
      </w:r>
    </w:p>
    <w:p w14:paraId="52DF491B" w14:textId="77777777" w:rsidR="00C17244" w:rsidRDefault="00C17244" w:rsidP="00BF56EA">
      <w:pPr>
        <w:jc w:val="both"/>
        <w:rPr>
          <w:rFonts w:cs="Arial"/>
          <w:szCs w:val="24"/>
        </w:rPr>
      </w:pPr>
    </w:p>
    <w:p w14:paraId="5B047EBA" w14:textId="77777777" w:rsidR="00C17244" w:rsidRDefault="00C17244" w:rsidP="00BF56EA">
      <w:pPr>
        <w:jc w:val="both"/>
        <w:rPr>
          <w:rFonts w:cs="Arial"/>
          <w:szCs w:val="24"/>
        </w:rPr>
      </w:pPr>
      <w:r>
        <w:rPr>
          <w:rFonts w:cs="Arial"/>
          <w:szCs w:val="24"/>
        </w:rPr>
        <w:t>The grounds of appeal are that:</w:t>
      </w:r>
    </w:p>
    <w:p w14:paraId="567E9151" w14:textId="77777777" w:rsidR="00C17244" w:rsidRDefault="00C17244" w:rsidP="00BF56EA">
      <w:pPr>
        <w:jc w:val="both"/>
        <w:rPr>
          <w:rFonts w:cs="Arial"/>
          <w:szCs w:val="24"/>
        </w:rPr>
      </w:pPr>
    </w:p>
    <w:p w14:paraId="5099B1E8" w14:textId="77777777" w:rsidR="00C17244" w:rsidRDefault="00C17244" w:rsidP="00BF56EA">
      <w:pPr>
        <w:pStyle w:val="ListParagraph"/>
        <w:numPr>
          <w:ilvl w:val="0"/>
          <w:numId w:val="10"/>
        </w:numPr>
        <w:jc w:val="both"/>
        <w:rPr>
          <w:rFonts w:cs="Arial"/>
          <w:sz w:val="24"/>
          <w:szCs w:val="24"/>
        </w:rPr>
      </w:pPr>
      <w:r>
        <w:rPr>
          <w:rFonts w:cs="Arial"/>
          <w:sz w:val="24"/>
          <w:szCs w:val="24"/>
        </w:rPr>
        <w:t xml:space="preserve">The Court of Appeal of Western Australia erred in law in failing to find that sub-regulations 6.17A(4), (6) and (7) of the </w:t>
      </w:r>
      <w:r>
        <w:rPr>
          <w:rFonts w:cs="Arial"/>
          <w:i/>
          <w:sz w:val="24"/>
          <w:szCs w:val="24"/>
        </w:rPr>
        <w:t xml:space="preserve">Superannuation Industry (Supervision) Regulations 1994 </w:t>
      </w:r>
      <w:r>
        <w:rPr>
          <w:rFonts w:cs="Arial"/>
          <w:sz w:val="24"/>
          <w:szCs w:val="24"/>
        </w:rPr>
        <w:t>(</w:t>
      </w:r>
      <w:proofErr w:type="spellStart"/>
      <w:r>
        <w:rPr>
          <w:rFonts w:cs="Arial"/>
          <w:sz w:val="24"/>
          <w:szCs w:val="24"/>
        </w:rPr>
        <w:t>Cth</w:t>
      </w:r>
      <w:proofErr w:type="spellEnd"/>
      <w:r>
        <w:rPr>
          <w:rFonts w:cs="Arial"/>
          <w:sz w:val="24"/>
          <w:szCs w:val="24"/>
        </w:rPr>
        <w:t>) (</w:t>
      </w:r>
      <w:r w:rsidRPr="00FE2418">
        <w:rPr>
          <w:rFonts w:cs="Arial"/>
          <w:bCs/>
          <w:i/>
          <w:sz w:val="24"/>
          <w:szCs w:val="24"/>
        </w:rPr>
        <w:t>SIS Regulations</w:t>
      </w:r>
      <w:r>
        <w:rPr>
          <w:rFonts w:cs="Arial"/>
          <w:sz w:val="24"/>
          <w:szCs w:val="24"/>
        </w:rPr>
        <w:t>) applied to a self</w:t>
      </w:r>
      <w:r>
        <w:rPr>
          <w:rFonts w:cs="Arial"/>
          <w:sz w:val="24"/>
          <w:szCs w:val="24"/>
        </w:rPr>
        <w:noBreakHyphen/>
        <w:t>managed superannuation fund (</w:t>
      </w:r>
      <w:r w:rsidRPr="00FE2418">
        <w:rPr>
          <w:rFonts w:cs="Arial"/>
          <w:bCs/>
          <w:sz w:val="24"/>
          <w:szCs w:val="24"/>
        </w:rPr>
        <w:t>SMSF</w:t>
      </w:r>
      <w:r>
        <w:rPr>
          <w:rFonts w:cs="Arial"/>
          <w:sz w:val="24"/>
          <w:szCs w:val="24"/>
        </w:rPr>
        <w:t>) pursuant to:</w:t>
      </w:r>
    </w:p>
    <w:p w14:paraId="334AF72F" w14:textId="77777777" w:rsidR="00C17244" w:rsidRPr="00E94775" w:rsidRDefault="00C17244" w:rsidP="00BF56EA">
      <w:pPr>
        <w:jc w:val="both"/>
        <w:rPr>
          <w:rFonts w:cs="Arial"/>
          <w:szCs w:val="24"/>
        </w:rPr>
      </w:pPr>
    </w:p>
    <w:p w14:paraId="5DF9A11C" w14:textId="77777777" w:rsidR="00C17244" w:rsidRDefault="00C17244" w:rsidP="00BF56EA">
      <w:pPr>
        <w:pStyle w:val="ListParagraph"/>
        <w:numPr>
          <w:ilvl w:val="1"/>
          <w:numId w:val="10"/>
        </w:numPr>
        <w:jc w:val="both"/>
        <w:rPr>
          <w:rFonts w:cs="Arial"/>
          <w:sz w:val="24"/>
          <w:szCs w:val="24"/>
        </w:rPr>
      </w:pPr>
      <w:r>
        <w:rPr>
          <w:rFonts w:cs="Arial"/>
          <w:sz w:val="24"/>
          <w:szCs w:val="24"/>
        </w:rPr>
        <w:t xml:space="preserve">Sections 31 and 55A of the </w:t>
      </w:r>
      <w:r>
        <w:rPr>
          <w:rFonts w:cs="Arial"/>
          <w:i/>
          <w:sz w:val="24"/>
          <w:szCs w:val="24"/>
        </w:rPr>
        <w:t>Superannuation Industry (Supervision) Act 1993</w:t>
      </w:r>
      <w:r>
        <w:rPr>
          <w:rFonts w:cs="Arial"/>
          <w:sz w:val="24"/>
          <w:szCs w:val="24"/>
        </w:rPr>
        <w:t xml:space="preserve"> (</w:t>
      </w:r>
      <w:proofErr w:type="spellStart"/>
      <w:r>
        <w:rPr>
          <w:rFonts w:cs="Arial"/>
          <w:sz w:val="24"/>
          <w:szCs w:val="24"/>
        </w:rPr>
        <w:t>Cth</w:t>
      </w:r>
      <w:proofErr w:type="spellEnd"/>
      <w:r>
        <w:rPr>
          <w:rFonts w:cs="Arial"/>
          <w:sz w:val="24"/>
          <w:szCs w:val="24"/>
        </w:rPr>
        <w:t>) (</w:t>
      </w:r>
      <w:r w:rsidRPr="00444C3A">
        <w:rPr>
          <w:rFonts w:cs="Arial"/>
          <w:bCs/>
          <w:i/>
          <w:sz w:val="24"/>
          <w:szCs w:val="24"/>
        </w:rPr>
        <w:t>SIS Act</w:t>
      </w:r>
      <w:r>
        <w:rPr>
          <w:rFonts w:cs="Arial"/>
          <w:sz w:val="24"/>
          <w:szCs w:val="24"/>
        </w:rPr>
        <w:t>); and</w:t>
      </w:r>
    </w:p>
    <w:p w14:paraId="4CA6A39C" w14:textId="77777777" w:rsidR="00C17244" w:rsidRDefault="00C17244" w:rsidP="00BF56EA">
      <w:pPr>
        <w:pStyle w:val="ListParagraph"/>
        <w:ind w:left="1440"/>
        <w:jc w:val="both"/>
        <w:rPr>
          <w:rFonts w:cs="Arial"/>
          <w:sz w:val="24"/>
          <w:szCs w:val="24"/>
        </w:rPr>
      </w:pPr>
    </w:p>
    <w:p w14:paraId="2FDF7BDA" w14:textId="77777777" w:rsidR="00C17244" w:rsidRDefault="00C17244" w:rsidP="00BF56EA">
      <w:pPr>
        <w:pStyle w:val="ListParagraph"/>
        <w:numPr>
          <w:ilvl w:val="1"/>
          <w:numId w:val="10"/>
        </w:numPr>
        <w:jc w:val="both"/>
        <w:rPr>
          <w:rFonts w:cs="Arial"/>
          <w:sz w:val="24"/>
          <w:szCs w:val="24"/>
        </w:rPr>
      </w:pPr>
      <w:r w:rsidRPr="00E71E4B">
        <w:rPr>
          <w:rFonts w:cs="Arial"/>
          <w:sz w:val="24"/>
          <w:szCs w:val="24"/>
        </w:rPr>
        <w:t xml:space="preserve">Sub-regulation 6.17A(1) of the </w:t>
      </w:r>
      <w:r w:rsidRPr="00444C3A">
        <w:rPr>
          <w:rFonts w:cs="Arial"/>
          <w:bCs/>
          <w:i/>
          <w:sz w:val="24"/>
          <w:szCs w:val="24"/>
        </w:rPr>
        <w:t>SIS Regulations</w:t>
      </w:r>
      <w:r w:rsidRPr="00444C3A">
        <w:rPr>
          <w:rFonts w:cs="Arial"/>
          <w:bCs/>
          <w:sz w:val="24"/>
          <w:szCs w:val="24"/>
        </w:rPr>
        <w:t>.</w:t>
      </w:r>
    </w:p>
    <w:p w14:paraId="2B9F2E6B" w14:textId="77777777" w:rsidR="00C17244" w:rsidRPr="00E71E4B" w:rsidRDefault="00C17244" w:rsidP="00BF56EA">
      <w:pPr>
        <w:pStyle w:val="ListParagraph"/>
        <w:ind w:left="1440"/>
        <w:jc w:val="both"/>
        <w:rPr>
          <w:rFonts w:cs="Arial"/>
          <w:sz w:val="24"/>
          <w:szCs w:val="24"/>
        </w:rPr>
      </w:pPr>
    </w:p>
    <w:p w14:paraId="14C478A5" w14:textId="77777777" w:rsidR="00C17244" w:rsidRDefault="00C17244" w:rsidP="00BF56EA">
      <w:pPr>
        <w:pStyle w:val="ListParagraph"/>
        <w:numPr>
          <w:ilvl w:val="0"/>
          <w:numId w:val="10"/>
        </w:numPr>
        <w:jc w:val="both"/>
        <w:rPr>
          <w:rFonts w:cs="Arial"/>
          <w:sz w:val="24"/>
          <w:szCs w:val="24"/>
        </w:rPr>
      </w:pPr>
      <w:r>
        <w:rPr>
          <w:rFonts w:cs="Arial"/>
          <w:sz w:val="24"/>
          <w:szCs w:val="24"/>
        </w:rPr>
        <w:lastRenderedPageBreak/>
        <w:t>The Court of Appeal of Western Australia erred in law (</w:t>
      </w:r>
      <w:r w:rsidRPr="00444C3A">
        <w:rPr>
          <w:rFonts w:cs="Arial"/>
          <w:bCs/>
          <w:sz w:val="24"/>
          <w:szCs w:val="24"/>
        </w:rPr>
        <w:t xml:space="preserve">CA </w:t>
      </w:r>
      <w:r>
        <w:rPr>
          <w:rFonts w:cs="Arial"/>
          <w:sz w:val="24"/>
          <w:szCs w:val="24"/>
        </w:rPr>
        <w:t xml:space="preserve">Reasons </w:t>
      </w:r>
      <w:r>
        <w:rPr>
          <w:rFonts w:cs="Arial"/>
          <w:sz w:val="24"/>
          <w:szCs w:val="24"/>
        </w:rPr>
        <w:br/>
        <w:t xml:space="preserve">[41]-[43], [48]-[50]) in finding that the principles of comity required the decision of the Full Court of South Australia in </w:t>
      </w:r>
      <w:r>
        <w:rPr>
          <w:rFonts w:cs="Arial"/>
          <w:i/>
          <w:sz w:val="24"/>
          <w:szCs w:val="24"/>
        </w:rPr>
        <w:t>Cantor Management Services Pty Ltd v Booth</w:t>
      </w:r>
      <w:r>
        <w:rPr>
          <w:rFonts w:cs="Arial"/>
          <w:sz w:val="24"/>
          <w:szCs w:val="24"/>
        </w:rPr>
        <w:t xml:space="preserve"> [2017] SASCFC 122 to be applied as determinative of the appeal where that decision:</w:t>
      </w:r>
    </w:p>
    <w:p w14:paraId="50550724" w14:textId="77777777" w:rsidR="00C17244" w:rsidRDefault="00C17244" w:rsidP="00BF56EA">
      <w:pPr>
        <w:pStyle w:val="ListParagraph"/>
        <w:jc w:val="both"/>
        <w:rPr>
          <w:rFonts w:cs="Arial"/>
          <w:sz w:val="24"/>
          <w:szCs w:val="24"/>
        </w:rPr>
      </w:pPr>
    </w:p>
    <w:p w14:paraId="68FFC891" w14:textId="77777777" w:rsidR="00C17244" w:rsidRDefault="00C17244" w:rsidP="00BF56EA">
      <w:pPr>
        <w:pStyle w:val="ListParagraph"/>
        <w:numPr>
          <w:ilvl w:val="1"/>
          <w:numId w:val="10"/>
        </w:numPr>
        <w:jc w:val="both"/>
        <w:rPr>
          <w:rFonts w:cs="Arial"/>
          <w:sz w:val="24"/>
          <w:szCs w:val="24"/>
        </w:rPr>
      </w:pPr>
      <w:r>
        <w:rPr>
          <w:rFonts w:cs="Arial"/>
          <w:sz w:val="24"/>
          <w:szCs w:val="24"/>
        </w:rPr>
        <w:t xml:space="preserve">Did not contain seriously considered dicta as to the applicability of regulation 6.17A of the </w:t>
      </w:r>
      <w:r w:rsidRPr="00444C3A">
        <w:rPr>
          <w:rFonts w:cs="Arial"/>
          <w:bCs/>
          <w:i/>
          <w:sz w:val="24"/>
          <w:szCs w:val="24"/>
        </w:rPr>
        <w:t>SIS Regulations</w:t>
      </w:r>
      <w:r>
        <w:rPr>
          <w:rFonts w:cs="Arial"/>
          <w:b/>
          <w:i/>
          <w:sz w:val="24"/>
          <w:szCs w:val="24"/>
        </w:rPr>
        <w:t xml:space="preserve"> </w:t>
      </w:r>
      <w:r>
        <w:rPr>
          <w:rFonts w:cs="Arial"/>
          <w:sz w:val="24"/>
          <w:szCs w:val="24"/>
        </w:rPr>
        <w:t>to SMSFs;</w:t>
      </w:r>
    </w:p>
    <w:p w14:paraId="37BE505F" w14:textId="77777777" w:rsidR="00C17244" w:rsidRDefault="00C17244" w:rsidP="00BF56EA">
      <w:pPr>
        <w:pStyle w:val="ListParagraph"/>
        <w:ind w:left="1440"/>
        <w:jc w:val="both"/>
        <w:rPr>
          <w:rFonts w:cs="Arial"/>
          <w:sz w:val="24"/>
          <w:szCs w:val="24"/>
        </w:rPr>
      </w:pPr>
    </w:p>
    <w:p w14:paraId="1B1E235B" w14:textId="77777777" w:rsidR="00C17244" w:rsidRPr="00444C3A" w:rsidRDefault="00C17244" w:rsidP="00BF56EA">
      <w:pPr>
        <w:pStyle w:val="ListParagraph"/>
        <w:numPr>
          <w:ilvl w:val="1"/>
          <w:numId w:val="10"/>
        </w:numPr>
        <w:jc w:val="both"/>
        <w:rPr>
          <w:rFonts w:cs="Arial"/>
          <w:sz w:val="24"/>
          <w:szCs w:val="24"/>
        </w:rPr>
      </w:pPr>
      <w:r w:rsidRPr="00444C3A">
        <w:rPr>
          <w:rFonts w:cs="Arial"/>
          <w:sz w:val="24"/>
          <w:szCs w:val="24"/>
        </w:rPr>
        <w:t xml:space="preserve">Failed to consider sections 31 and 55A of the </w:t>
      </w:r>
      <w:r w:rsidRPr="00444C3A">
        <w:rPr>
          <w:rFonts w:cs="Arial"/>
          <w:i/>
          <w:sz w:val="24"/>
          <w:szCs w:val="24"/>
        </w:rPr>
        <w:t>SIS Act</w:t>
      </w:r>
      <w:r w:rsidRPr="00444C3A">
        <w:rPr>
          <w:rFonts w:cs="Arial"/>
          <w:sz w:val="24"/>
          <w:szCs w:val="24"/>
        </w:rPr>
        <w:t xml:space="preserve"> and sub-regulation 6.17A(1) of the </w:t>
      </w:r>
      <w:r w:rsidRPr="00444C3A">
        <w:rPr>
          <w:rFonts w:cs="Arial"/>
          <w:i/>
          <w:sz w:val="24"/>
          <w:szCs w:val="24"/>
        </w:rPr>
        <w:t>SIS Regulations</w:t>
      </w:r>
      <w:r w:rsidRPr="00444C3A">
        <w:rPr>
          <w:rFonts w:cs="Arial"/>
          <w:sz w:val="24"/>
          <w:szCs w:val="24"/>
        </w:rPr>
        <w:t>; and</w:t>
      </w:r>
    </w:p>
    <w:p w14:paraId="6E3F218A" w14:textId="77777777" w:rsidR="00C17244" w:rsidRPr="00444C3A" w:rsidRDefault="00C17244" w:rsidP="00BF56EA">
      <w:pPr>
        <w:jc w:val="both"/>
        <w:rPr>
          <w:rFonts w:cs="Arial"/>
          <w:szCs w:val="24"/>
        </w:rPr>
      </w:pPr>
    </w:p>
    <w:p w14:paraId="06F68FEA" w14:textId="77777777" w:rsidR="00C17244" w:rsidRPr="00444C3A" w:rsidRDefault="00C17244" w:rsidP="00BF56EA">
      <w:pPr>
        <w:pStyle w:val="ListParagraph"/>
        <w:numPr>
          <w:ilvl w:val="1"/>
          <w:numId w:val="10"/>
        </w:numPr>
        <w:jc w:val="both"/>
        <w:rPr>
          <w:rFonts w:cs="Arial"/>
          <w:sz w:val="24"/>
          <w:szCs w:val="24"/>
        </w:rPr>
      </w:pPr>
      <w:r w:rsidRPr="00444C3A">
        <w:rPr>
          <w:rFonts w:cs="Arial"/>
          <w:sz w:val="24"/>
          <w:szCs w:val="24"/>
        </w:rPr>
        <w:t>Was plainly wrong.</w:t>
      </w:r>
    </w:p>
    <w:p w14:paraId="3BFBC353" w14:textId="77777777" w:rsidR="00C17244" w:rsidRPr="00444C3A" w:rsidRDefault="00C17244" w:rsidP="00BF56EA">
      <w:pPr>
        <w:jc w:val="both"/>
        <w:rPr>
          <w:rFonts w:cs="Arial"/>
          <w:szCs w:val="24"/>
        </w:rPr>
      </w:pPr>
    </w:p>
    <w:p w14:paraId="44810D49" w14:textId="77777777" w:rsidR="00C17244" w:rsidRPr="00444C3A" w:rsidRDefault="00C17244" w:rsidP="00BF56EA">
      <w:pPr>
        <w:pStyle w:val="ListParagraph"/>
        <w:numPr>
          <w:ilvl w:val="0"/>
          <w:numId w:val="10"/>
        </w:numPr>
        <w:jc w:val="both"/>
        <w:rPr>
          <w:rFonts w:cs="Arial"/>
          <w:sz w:val="24"/>
          <w:szCs w:val="24"/>
        </w:rPr>
      </w:pPr>
      <w:r w:rsidRPr="00444C3A">
        <w:rPr>
          <w:rFonts w:cs="Arial"/>
          <w:sz w:val="24"/>
          <w:szCs w:val="24"/>
        </w:rPr>
        <w:t xml:space="preserve">By reason of ground 2, the Court of Appeal of Western Australia thereby erred in law in failing to determine whether sub-regulations 6.17A(4), (6) and (7) of the </w:t>
      </w:r>
      <w:r w:rsidRPr="00444C3A">
        <w:rPr>
          <w:rFonts w:cs="Arial"/>
          <w:i/>
          <w:sz w:val="24"/>
          <w:szCs w:val="24"/>
        </w:rPr>
        <w:t>SIS Regulations</w:t>
      </w:r>
      <w:r w:rsidRPr="00444C3A">
        <w:rPr>
          <w:rFonts w:cs="Arial"/>
          <w:sz w:val="24"/>
          <w:szCs w:val="24"/>
        </w:rPr>
        <w:t xml:space="preserve"> applied to a SMSF pursuant to:</w:t>
      </w:r>
    </w:p>
    <w:p w14:paraId="25E783F6" w14:textId="77777777" w:rsidR="00C17244" w:rsidRPr="00444C3A" w:rsidRDefault="00C17244" w:rsidP="00BF56EA">
      <w:pPr>
        <w:pStyle w:val="ListParagraph"/>
        <w:jc w:val="both"/>
        <w:rPr>
          <w:rFonts w:cs="Arial"/>
          <w:sz w:val="24"/>
          <w:szCs w:val="24"/>
        </w:rPr>
      </w:pPr>
    </w:p>
    <w:p w14:paraId="3DBE310F" w14:textId="77777777" w:rsidR="00C17244" w:rsidRPr="00444C3A" w:rsidRDefault="00C17244" w:rsidP="00BF56EA">
      <w:pPr>
        <w:pStyle w:val="ListParagraph"/>
        <w:numPr>
          <w:ilvl w:val="1"/>
          <w:numId w:val="10"/>
        </w:numPr>
        <w:jc w:val="both"/>
        <w:rPr>
          <w:rFonts w:cs="Arial"/>
          <w:sz w:val="24"/>
          <w:szCs w:val="24"/>
        </w:rPr>
      </w:pPr>
      <w:r w:rsidRPr="00444C3A">
        <w:rPr>
          <w:rFonts w:cs="Arial"/>
          <w:sz w:val="24"/>
          <w:szCs w:val="24"/>
        </w:rPr>
        <w:t xml:space="preserve">Sections 31 and 55A of the </w:t>
      </w:r>
      <w:r w:rsidRPr="00444C3A">
        <w:rPr>
          <w:rFonts w:cs="Arial"/>
          <w:i/>
          <w:sz w:val="24"/>
          <w:szCs w:val="24"/>
        </w:rPr>
        <w:t>SIS Act</w:t>
      </w:r>
      <w:r w:rsidRPr="00444C3A">
        <w:rPr>
          <w:rFonts w:cs="Arial"/>
          <w:sz w:val="24"/>
          <w:szCs w:val="24"/>
        </w:rPr>
        <w:t>; and</w:t>
      </w:r>
    </w:p>
    <w:p w14:paraId="446CEB3C" w14:textId="77777777" w:rsidR="00C17244" w:rsidRPr="00444C3A" w:rsidRDefault="00C17244" w:rsidP="00BF56EA">
      <w:pPr>
        <w:pStyle w:val="ListParagraph"/>
        <w:ind w:left="1440"/>
        <w:jc w:val="both"/>
        <w:rPr>
          <w:rFonts w:cs="Arial"/>
          <w:sz w:val="24"/>
          <w:szCs w:val="24"/>
        </w:rPr>
      </w:pPr>
    </w:p>
    <w:p w14:paraId="21892E05" w14:textId="774A8BD4" w:rsidR="00C17244" w:rsidRDefault="00C17244" w:rsidP="00BF56EA">
      <w:pPr>
        <w:pStyle w:val="ListParagraph"/>
        <w:numPr>
          <w:ilvl w:val="1"/>
          <w:numId w:val="10"/>
        </w:numPr>
        <w:jc w:val="both"/>
        <w:rPr>
          <w:rFonts w:cs="Arial"/>
          <w:sz w:val="24"/>
          <w:szCs w:val="24"/>
        </w:rPr>
      </w:pPr>
      <w:r w:rsidRPr="00444C3A">
        <w:rPr>
          <w:rFonts w:cs="Arial"/>
          <w:sz w:val="24"/>
          <w:szCs w:val="24"/>
        </w:rPr>
        <w:t xml:space="preserve">Sub-regulation 6.17A(1) of the </w:t>
      </w:r>
      <w:r w:rsidRPr="00444C3A">
        <w:rPr>
          <w:rFonts w:cs="Arial"/>
          <w:i/>
          <w:sz w:val="24"/>
          <w:szCs w:val="24"/>
        </w:rPr>
        <w:t>SIS Regulations</w:t>
      </w:r>
      <w:r w:rsidRPr="00444C3A">
        <w:rPr>
          <w:rFonts w:cs="Arial"/>
          <w:sz w:val="24"/>
          <w:szCs w:val="24"/>
        </w:rPr>
        <w:t>.</w:t>
      </w:r>
    </w:p>
    <w:p w14:paraId="02EE75DC" w14:textId="77777777" w:rsidR="00264802" w:rsidRPr="00264802" w:rsidRDefault="00264802" w:rsidP="00264802">
      <w:pPr>
        <w:pStyle w:val="ListParagraph"/>
        <w:rPr>
          <w:rFonts w:cs="Arial"/>
          <w:sz w:val="24"/>
          <w:szCs w:val="24"/>
        </w:rPr>
      </w:pPr>
    </w:p>
    <w:p w14:paraId="01E32AD2" w14:textId="60FB7494" w:rsidR="00264802" w:rsidRDefault="00264802" w:rsidP="00264802">
      <w:pPr>
        <w:pStyle w:val="ListParagraph"/>
        <w:ind w:left="1440"/>
        <w:jc w:val="both"/>
        <w:rPr>
          <w:rFonts w:cs="Arial"/>
          <w:sz w:val="24"/>
          <w:szCs w:val="24"/>
        </w:rPr>
      </w:pPr>
    </w:p>
    <w:p w14:paraId="29B42F6D" w14:textId="76EAEB60" w:rsidR="00264802" w:rsidRDefault="00264802">
      <w:pPr>
        <w:rPr>
          <w:rFonts w:cs="Arial"/>
          <w:szCs w:val="24"/>
          <w:lang w:val="en-AU" w:eastAsia="en-US"/>
        </w:rPr>
      </w:pPr>
      <w:r>
        <w:rPr>
          <w:rFonts w:cs="Arial"/>
          <w:szCs w:val="24"/>
        </w:rPr>
        <w:br w:type="page"/>
      </w:r>
    </w:p>
    <w:p w14:paraId="70CD8F47" w14:textId="77777777" w:rsidR="00264802" w:rsidRPr="00864CD7" w:rsidRDefault="00264802" w:rsidP="00264802">
      <w:pPr>
        <w:rPr>
          <w:b/>
          <w:sz w:val="28"/>
          <w:szCs w:val="28"/>
        </w:rPr>
      </w:pPr>
      <w:r>
        <w:rPr>
          <w:b/>
          <w:sz w:val="28"/>
          <w:szCs w:val="28"/>
          <w:u w:val="single"/>
        </w:rPr>
        <w:lastRenderedPageBreak/>
        <w:t xml:space="preserve">MINISTER FOR </w:t>
      </w:r>
      <w:r w:rsidRPr="000F62BF">
        <w:rPr>
          <w:b/>
          <w:sz w:val="28"/>
          <w:szCs w:val="28"/>
          <w:u w:val="single"/>
        </w:rPr>
        <w:t>IMMIGRATION, CITIZENSHIP, MIGRANT SERVICES AND MULTICULTURAL AFFAIRS</w:t>
      </w:r>
      <w:r>
        <w:rPr>
          <w:b/>
          <w:sz w:val="28"/>
          <w:szCs w:val="28"/>
          <w:u w:val="single"/>
        </w:rPr>
        <w:t xml:space="preserve"> &amp; ANOR</w:t>
      </w:r>
      <w:r w:rsidRPr="00864CD7">
        <w:rPr>
          <w:b/>
          <w:sz w:val="28"/>
          <w:szCs w:val="28"/>
          <w:u w:val="single"/>
        </w:rPr>
        <w:t xml:space="preserve"> v </w:t>
      </w:r>
      <w:r>
        <w:rPr>
          <w:b/>
          <w:sz w:val="28"/>
          <w:szCs w:val="28"/>
          <w:u w:val="single"/>
        </w:rPr>
        <w:t>MONTGOMERY</w:t>
      </w:r>
      <w:r w:rsidRPr="00864CD7">
        <w:rPr>
          <w:b/>
          <w:sz w:val="28"/>
          <w:szCs w:val="28"/>
        </w:rPr>
        <w:t xml:space="preserve"> (</w:t>
      </w:r>
      <w:r>
        <w:rPr>
          <w:b/>
          <w:sz w:val="28"/>
          <w:szCs w:val="28"/>
        </w:rPr>
        <w:t>S192</w:t>
      </w:r>
      <w:r w:rsidRPr="00864CD7">
        <w:rPr>
          <w:b/>
          <w:sz w:val="28"/>
          <w:szCs w:val="28"/>
        </w:rPr>
        <w:t>/20</w:t>
      </w:r>
      <w:r>
        <w:rPr>
          <w:b/>
          <w:sz w:val="28"/>
          <w:szCs w:val="28"/>
        </w:rPr>
        <w:t>21</w:t>
      </w:r>
      <w:r w:rsidRPr="00864CD7">
        <w:rPr>
          <w:b/>
          <w:sz w:val="28"/>
          <w:szCs w:val="28"/>
        </w:rPr>
        <w:t>)</w:t>
      </w:r>
    </w:p>
    <w:p w14:paraId="18FE80AB" w14:textId="77777777" w:rsidR="00264802" w:rsidRDefault="00264802" w:rsidP="00264802">
      <w:pPr>
        <w:rPr>
          <w:szCs w:val="24"/>
        </w:rPr>
      </w:pPr>
    </w:p>
    <w:p w14:paraId="769AECEB" w14:textId="77777777" w:rsidR="00264802" w:rsidRDefault="00264802" w:rsidP="00264802">
      <w:pPr>
        <w:tabs>
          <w:tab w:val="left" w:pos="2552"/>
        </w:tabs>
        <w:rPr>
          <w:szCs w:val="24"/>
        </w:rPr>
      </w:pPr>
      <w:r w:rsidRPr="00C95F6E">
        <w:rPr>
          <w:szCs w:val="24"/>
          <w:u w:val="single"/>
        </w:rPr>
        <w:t>Cause removed</w:t>
      </w:r>
      <w:r>
        <w:rPr>
          <w:szCs w:val="24"/>
          <w:u w:val="single"/>
        </w:rPr>
        <w:t xml:space="preserve"> from</w:t>
      </w:r>
      <w:r>
        <w:rPr>
          <w:szCs w:val="24"/>
        </w:rPr>
        <w:t>:</w:t>
      </w:r>
      <w:r>
        <w:rPr>
          <w:szCs w:val="24"/>
        </w:rPr>
        <w:tab/>
        <w:t>Federal Court of Australia</w:t>
      </w:r>
    </w:p>
    <w:p w14:paraId="307FFA8B" w14:textId="77777777" w:rsidR="00264802" w:rsidRPr="00864CD7" w:rsidRDefault="00264802" w:rsidP="00264802">
      <w:pPr>
        <w:rPr>
          <w:szCs w:val="24"/>
        </w:rPr>
      </w:pPr>
    </w:p>
    <w:p w14:paraId="38BB740C" w14:textId="77777777" w:rsidR="00264802" w:rsidRPr="00864CD7" w:rsidRDefault="00264802" w:rsidP="00B7695E">
      <w:pPr>
        <w:tabs>
          <w:tab w:val="left" w:pos="2552"/>
        </w:tabs>
        <w:rPr>
          <w:szCs w:val="24"/>
        </w:rPr>
      </w:pPr>
      <w:r w:rsidRPr="00864CD7">
        <w:rPr>
          <w:szCs w:val="24"/>
          <w:u w:val="single"/>
        </w:rPr>
        <w:t xml:space="preserve">Date </w:t>
      </w:r>
      <w:r>
        <w:rPr>
          <w:szCs w:val="24"/>
          <w:u w:val="single"/>
        </w:rPr>
        <w:t>cause removed</w:t>
      </w:r>
      <w:r w:rsidRPr="00864CD7">
        <w:rPr>
          <w:szCs w:val="24"/>
        </w:rPr>
        <w:t>:</w:t>
      </w:r>
      <w:r>
        <w:rPr>
          <w:szCs w:val="24"/>
        </w:rPr>
        <w:tab/>
      </w:r>
      <w:r>
        <w:rPr>
          <w:rFonts w:cs="Arial"/>
          <w:iCs/>
          <w:szCs w:val="24"/>
        </w:rPr>
        <w:t>29 November 2021</w:t>
      </w:r>
    </w:p>
    <w:p w14:paraId="0A5FCA21" w14:textId="77777777" w:rsidR="00264802" w:rsidRPr="00B5378C" w:rsidRDefault="00264802" w:rsidP="00264802">
      <w:pPr>
        <w:rPr>
          <w:szCs w:val="24"/>
        </w:rPr>
      </w:pPr>
    </w:p>
    <w:p w14:paraId="17D9F855" w14:textId="77777777" w:rsidR="00264802" w:rsidRPr="00264802" w:rsidRDefault="00264802" w:rsidP="00264802">
      <w:pPr>
        <w:jc w:val="both"/>
        <w:rPr>
          <w:rFonts w:cs="Arial"/>
          <w:iCs/>
          <w:szCs w:val="24"/>
        </w:rPr>
      </w:pPr>
      <w:r w:rsidRPr="00264802">
        <w:rPr>
          <w:rFonts w:cs="Arial"/>
          <w:iCs/>
          <w:szCs w:val="24"/>
        </w:rPr>
        <w:t xml:space="preserve">The Respondent, </w:t>
      </w:r>
      <w:proofErr w:type="spellStart"/>
      <w:r w:rsidRPr="00264802">
        <w:rPr>
          <w:rFonts w:cs="Arial"/>
          <w:iCs/>
          <w:szCs w:val="24"/>
        </w:rPr>
        <w:t>Mr</w:t>
      </w:r>
      <w:proofErr w:type="spellEnd"/>
      <w:r w:rsidRPr="00264802">
        <w:rPr>
          <w:rFonts w:cs="Arial"/>
          <w:iCs/>
          <w:szCs w:val="24"/>
        </w:rPr>
        <w:t xml:space="preserve"> Shayne Montgomery, is a citizen of New Zealand, where he was born to an Australian mother.  After migrating to Australia in 1997 at the age of 15, he frequently lived with Aboriginal Australians and learnt about their culture.  At the age of 18, </w:t>
      </w:r>
      <w:proofErr w:type="spellStart"/>
      <w:r w:rsidRPr="00264802">
        <w:rPr>
          <w:rFonts w:cs="Arial"/>
          <w:iCs/>
          <w:szCs w:val="24"/>
        </w:rPr>
        <w:t>Mr</w:t>
      </w:r>
      <w:proofErr w:type="spellEnd"/>
      <w:r w:rsidRPr="00264802">
        <w:rPr>
          <w:rFonts w:cs="Arial"/>
          <w:iCs/>
          <w:szCs w:val="24"/>
        </w:rPr>
        <w:t xml:space="preserve"> Montgomery underwent initiation as a member of the </w:t>
      </w:r>
      <w:proofErr w:type="spellStart"/>
      <w:r w:rsidRPr="00264802">
        <w:rPr>
          <w:rFonts w:cs="Arial"/>
          <w:iCs/>
          <w:szCs w:val="24"/>
        </w:rPr>
        <w:t>Mununjali</w:t>
      </w:r>
      <w:proofErr w:type="spellEnd"/>
      <w:r w:rsidRPr="00264802">
        <w:rPr>
          <w:rFonts w:cs="Arial"/>
          <w:iCs/>
          <w:szCs w:val="24"/>
        </w:rPr>
        <w:t xml:space="preserve"> clan of the </w:t>
      </w:r>
      <w:proofErr w:type="spellStart"/>
      <w:r w:rsidRPr="00264802">
        <w:rPr>
          <w:rFonts w:cs="Arial"/>
          <w:iCs/>
          <w:szCs w:val="24"/>
        </w:rPr>
        <w:t>Yugambeh</w:t>
      </w:r>
      <w:proofErr w:type="spellEnd"/>
      <w:r w:rsidRPr="00264802">
        <w:rPr>
          <w:rFonts w:cs="Arial"/>
          <w:iCs/>
          <w:szCs w:val="24"/>
        </w:rPr>
        <w:t xml:space="preserve"> people of southern Queensland.  He did not however become an Australian citizen.</w:t>
      </w:r>
    </w:p>
    <w:p w14:paraId="20188C07" w14:textId="77777777" w:rsidR="00264802" w:rsidRPr="00264802" w:rsidRDefault="00264802" w:rsidP="00264802">
      <w:pPr>
        <w:jc w:val="both"/>
        <w:rPr>
          <w:rFonts w:cs="Arial"/>
          <w:iCs/>
          <w:szCs w:val="24"/>
        </w:rPr>
      </w:pPr>
    </w:p>
    <w:p w14:paraId="68C0B664" w14:textId="77777777" w:rsidR="00264802" w:rsidRPr="00264802" w:rsidRDefault="00264802" w:rsidP="00264802">
      <w:pPr>
        <w:jc w:val="both"/>
        <w:rPr>
          <w:rFonts w:cs="Arial"/>
          <w:iCs/>
          <w:szCs w:val="24"/>
        </w:rPr>
      </w:pPr>
      <w:r w:rsidRPr="00264802">
        <w:rPr>
          <w:rFonts w:cs="Arial"/>
          <w:iCs/>
          <w:szCs w:val="24"/>
        </w:rPr>
        <w:t xml:space="preserve">In July 2018 a delegate of the First Appellant cancelled </w:t>
      </w:r>
      <w:proofErr w:type="spellStart"/>
      <w:r w:rsidRPr="00264802">
        <w:rPr>
          <w:rFonts w:cs="Arial"/>
          <w:iCs/>
          <w:szCs w:val="24"/>
        </w:rPr>
        <w:t>Mr</w:t>
      </w:r>
      <w:proofErr w:type="spellEnd"/>
      <w:r w:rsidRPr="00264802">
        <w:rPr>
          <w:rFonts w:cs="Arial"/>
          <w:iCs/>
          <w:szCs w:val="24"/>
        </w:rPr>
        <w:t xml:space="preserve"> Montgomery’s visa, under s 501(3A) of the </w:t>
      </w:r>
      <w:r w:rsidRPr="00264802">
        <w:rPr>
          <w:rFonts w:cs="Arial"/>
          <w:i/>
          <w:iCs/>
          <w:szCs w:val="24"/>
        </w:rPr>
        <w:t>Migration Act 1958</w:t>
      </w:r>
      <w:r w:rsidRPr="00264802">
        <w:rPr>
          <w:rFonts w:cs="Arial"/>
          <w:iCs/>
          <w:szCs w:val="24"/>
        </w:rPr>
        <w:t xml:space="preserve"> (</w:t>
      </w:r>
      <w:proofErr w:type="spellStart"/>
      <w:r w:rsidRPr="00264802">
        <w:rPr>
          <w:rFonts w:cs="Arial"/>
          <w:iCs/>
          <w:szCs w:val="24"/>
        </w:rPr>
        <w:t>Cth</w:t>
      </w:r>
      <w:proofErr w:type="spellEnd"/>
      <w:r w:rsidRPr="00264802">
        <w:rPr>
          <w:rFonts w:cs="Arial"/>
          <w:iCs/>
          <w:szCs w:val="24"/>
        </w:rPr>
        <w:t xml:space="preserve">) (“the Act”).  This was on the basis that </w:t>
      </w:r>
      <w:proofErr w:type="spellStart"/>
      <w:r w:rsidRPr="00264802">
        <w:rPr>
          <w:rFonts w:cs="Arial"/>
          <w:iCs/>
          <w:szCs w:val="24"/>
        </w:rPr>
        <w:t>Mr</w:t>
      </w:r>
      <w:proofErr w:type="spellEnd"/>
      <w:r w:rsidRPr="00264802">
        <w:rPr>
          <w:rFonts w:cs="Arial"/>
          <w:iCs/>
          <w:szCs w:val="24"/>
        </w:rPr>
        <w:t xml:space="preserve"> Montgomery did not pass “the character test”, as he had been sentenced to imprisonment for more than 12 months (for an offence of aggravated burglary).</w:t>
      </w:r>
    </w:p>
    <w:p w14:paraId="44220FF7" w14:textId="77777777" w:rsidR="00264802" w:rsidRPr="00264802" w:rsidRDefault="00264802" w:rsidP="00264802">
      <w:pPr>
        <w:jc w:val="both"/>
        <w:rPr>
          <w:rFonts w:cs="Arial"/>
          <w:iCs/>
          <w:szCs w:val="24"/>
        </w:rPr>
      </w:pPr>
    </w:p>
    <w:p w14:paraId="69CB5750" w14:textId="77777777" w:rsidR="00264802" w:rsidRPr="00264802" w:rsidRDefault="00264802" w:rsidP="00264802">
      <w:pPr>
        <w:jc w:val="both"/>
        <w:rPr>
          <w:rFonts w:cs="Arial"/>
          <w:iCs/>
          <w:szCs w:val="24"/>
        </w:rPr>
      </w:pPr>
      <w:proofErr w:type="spellStart"/>
      <w:r w:rsidRPr="00264802">
        <w:rPr>
          <w:rFonts w:cs="Arial"/>
          <w:iCs/>
          <w:szCs w:val="24"/>
        </w:rPr>
        <w:t>Mr</w:t>
      </w:r>
      <w:proofErr w:type="spellEnd"/>
      <w:r w:rsidRPr="00264802">
        <w:rPr>
          <w:rFonts w:cs="Arial"/>
          <w:iCs/>
          <w:szCs w:val="24"/>
        </w:rPr>
        <w:t xml:space="preserve"> Montgomery immediately lodged a request that the cancellation of his visa be revoked.  Among his claims in support of revocation, </w:t>
      </w:r>
      <w:proofErr w:type="spellStart"/>
      <w:r w:rsidRPr="00264802">
        <w:rPr>
          <w:rFonts w:cs="Arial"/>
          <w:iCs/>
          <w:szCs w:val="24"/>
        </w:rPr>
        <w:t>Mr</w:t>
      </w:r>
      <w:proofErr w:type="spellEnd"/>
      <w:r w:rsidRPr="00264802">
        <w:rPr>
          <w:rFonts w:cs="Arial"/>
          <w:iCs/>
          <w:szCs w:val="24"/>
        </w:rPr>
        <w:t xml:space="preserve"> Montgomery stated that he identified as an Aboriginal Australian and that he was </w:t>
      </w:r>
      <w:proofErr w:type="spellStart"/>
      <w:r w:rsidRPr="00264802">
        <w:rPr>
          <w:rFonts w:cs="Arial"/>
          <w:iCs/>
          <w:szCs w:val="24"/>
        </w:rPr>
        <w:t>recognised</w:t>
      </w:r>
      <w:proofErr w:type="spellEnd"/>
      <w:r w:rsidRPr="00264802">
        <w:rPr>
          <w:rFonts w:cs="Arial"/>
          <w:iCs/>
          <w:szCs w:val="24"/>
        </w:rPr>
        <w:t xml:space="preserve"> as such by community elders.  He also provided documents in support of his Aboriginality.  On 7 May 2020 the Second Appellant, the Minister for Home Affairs (“the Minister”), decided not to revoke the cancellation of </w:t>
      </w:r>
      <w:proofErr w:type="spellStart"/>
      <w:r w:rsidRPr="00264802">
        <w:rPr>
          <w:rFonts w:cs="Arial"/>
          <w:iCs/>
          <w:szCs w:val="24"/>
        </w:rPr>
        <w:t>Mr</w:t>
      </w:r>
      <w:proofErr w:type="spellEnd"/>
      <w:r w:rsidRPr="00264802">
        <w:rPr>
          <w:rFonts w:cs="Arial"/>
          <w:iCs/>
          <w:szCs w:val="24"/>
        </w:rPr>
        <w:t xml:space="preserve"> Montgomery’s visa (“the non-revocation decision”).</w:t>
      </w:r>
    </w:p>
    <w:p w14:paraId="38E17713" w14:textId="77777777" w:rsidR="00264802" w:rsidRPr="00264802" w:rsidRDefault="00264802" w:rsidP="00264802">
      <w:pPr>
        <w:jc w:val="both"/>
        <w:rPr>
          <w:rFonts w:cs="Arial"/>
          <w:iCs/>
          <w:szCs w:val="24"/>
        </w:rPr>
      </w:pPr>
    </w:p>
    <w:p w14:paraId="3CA1D3AB" w14:textId="77777777" w:rsidR="00264802" w:rsidRPr="00264802" w:rsidRDefault="00264802" w:rsidP="00264802">
      <w:pPr>
        <w:jc w:val="both"/>
        <w:rPr>
          <w:rFonts w:cs="Arial"/>
          <w:iCs/>
          <w:szCs w:val="24"/>
        </w:rPr>
      </w:pPr>
      <w:r w:rsidRPr="00264802">
        <w:rPr>
          <w:rFonts w:cs="Arial"/>
          <w:iCs/>
          <w:szCs w:val="24"/>
        </w:rPr>
        <w:t xml:space="preserve">Meanwhile, in February 2019 </w:t>
      </w:r>
      <w:proofErr w:type="spellStart"/>
      <w:r w:rsidRPr="00264802">
        <w:rPr>
          <w:rFonts w:cs="Arial"/>
          <w:iCs/>
          <w:szCs w:val="24"/>
        </w:rPr>
        <w:t>Mr</w:t>
      </w:r>
      <w:proofErr w:type="spellEnd"/>
      <w:r w:rsidRPr="00264802">
        <w:rPr>
          <w:rFonts w:cs="Arial"/>
          <w:iCs/>
          <w:szCs w:val="24"/>
        </w:rPr>
        <w:t xml:space="preserve"> Montgomery was placed in immigration detention following his release from prison.</w:t>
      </w:r>
    </w:p>
    <w:p w14:paraId="274210B4" w14:textId="77777777" w:rsidR="00264802" w:rsidRPr="00264802" w:rsidRDefault="00264802" w:rsidP="00264802">
      <w:pPr>
        <w:jc w:val="both"/>
        <w:rPr>
          <w:rFonts w:cs="Arial"/>
          <w:iCs/>
          <w:szCs w:val="24"/>
        </w:rPr>
      </w:pPr>
    </w:p>
    <w:p w14:paraId="2C878B1B" w14:textId="77777777" w:rsidR="00264802" w:rsidRPr="00264802" w:rsidRDefault="00264802" w:rsidP="00264802">
      <w:pPr>
        <w:jc w:val="both"/>
        <w:rPr>
          <w:rFonts w:cs="Arial"/>
          <w:iCs/>
          <w:szCs w:val="24"/>
        </w:rPr>
      </w:pPr>
      <w:r w:rsidRPr="00264802">
        <w:rPr>
          <w:rFonts w:cs="Arial"/>
          <w:iCs/>
          <w:szCs w:val="24"/>
        </w:rPr>
        <w:t xml:space="preserve">In Federal Court proceedings for judicial review of the non-revocation decision, </w:t>
      </w:r>
      <w:proofErr w:type="spellStart"/>
      <w:r w:rsidRPr="00264802">
        <w:rPr>
          <w:rFonts w:cs="Arial"/>
          <w:iCs/>
          <w:szCs w:val="24"/>
        </w:rPr>
        <w:t>Mr</w:t>
      </w:r>
      <w:proofErr w:type="spellEnd"/>
      <w:r w:rsidRPr="00264802">
        <w:rPr>
          <w:rFonts w:cs="Arial"/>
          <w:iCs/>
          <w:szCs w:val="24"/>
        </w:rPr>
        <w:t xml:space="preserve"> Montgomery sought a declaration that, as an Aboriginal Australian, he was not an “alien” within the meaning of s 51(xix) of the </w:t>
      </w:r>
      <w:r w:rsidRPr="00264802">
        <w:rPr>
          <w:rFonts w:cs="Arial"/>
          <w:i/>
          <w:iCs/>
          <w:szCs w:val="24"/>
        </w:rPr>
        <w:t>Constitution</w:t>
      </w:r>
      <w:r w:rsidRPr="00264802">
        <w:rPr>
          <w:rFonts w:cs="Arial"/>
          <w:iCs/>
          <w:szCs w:val="24"/>
        </w:rPr>
        <w:t>.  He also sought to be released from immigration detention, on the basis that he was a non-citizen non-alien whom the Minister had no power under the Act to detain or deport.</w:t>
      </w:r>
    </w:p>
    <w:p w14:paraId="66F049BF" w14:textId="77777777" w:rsidR="00264802" w:rsidRPr="00264802" w:rsidRDefault="00264802" w:rsidP="00264802">
      <w:pPr>
        <w:jc w:val="both"/>
        <w:rPr>
          <w:rFonts w:cs="Arial"/>
          <w:iCs/>
          <w:szCs w:val="24"/>
        </w:rPr>
      </w:pPr>
    </w:p>
    <w:p w14:paraId="2B4A1468" w14:textId="77777777" w:rsidR="00264802" w:rsidRPr="00264802" w:rsidRDefault="00264802" w:rsidP="00264802">
      <w:pPr>
        <w:jc w:val="both"/>
        <w:rPr>
          <w:rFonts w:cs="Arial"/>
          <w:iCs/>
          <w:szCs w:val="24"/>
        </w:rPr>
      </w:pPr>
      <w:r w:rsidRPr="00264802">
        <w:rPr>
          <w:rFonts w:cs="Arial"/>
          <w:iCs/>
          <w:szCs w:val="24"/>
        </w:rPr>
        <w:t xml:space="preserve">On 15 November 2021 SC </w:t>
      </w:r>
      <w:proofErr w:type="spellStart"/>
      <w:r w:rsidRPr="00264802">
        <w:rPr>
          <w:rFonts w:cs="Arial"/>
          <w:iCs/>
          <w:szCs w:val="24"/>
        </w:rPr>
        <w:t>Derrington</w:t>
      </w:r>
      <w:proofErr w:type="spellEnd"/>
      <w:r w:rsidRPr="00264802">
        <w:rPr>
          <w:rFonts w:cs="Arial"/>
          <w:iCs/>
          <w:szCs w:val="24"/>
        </w:rPr>
        <w:t xml:space="preserve"> J quashed the non-revocation decision, ordered the release of </w:t>
      </w:r>
      <w:proofErr w:type="spellStart"/>
      <w:r w:rsidRPr="00264802">
        <w:rPr>
          <w:rFonts w:cs="Arial"/>
          <w:iCs/>
          <w:szCs w:val="24"/>
        </w:rPr>
        <w:t>Mr</w:t>
      </w:r>
      <w:proofErr w:type="spellEnd"/>
      <w:r w:rsidRPr="00264802">
        <w:rPr>
          <w:rFonts w:cs="Arial"/>
          <w:iCs/>
          <w:szCs w:val="24"/>
        </w:rPr>
        <w:t xml:space="preserve"> Montgomery from detention, and remitted the matter to the Minister for redetermination.  Her </w:t>
      </w:r>
      <w:proofErr w:type="spellStart"/>
      <w:r w:rsidRPr="00264802">
        <w:rPr>
          <w:rFonts w:cs="Arial"/>
          <w:iCs/>
          <w:szCs w:val="24"/>
        </w:rPr>
        <w:t>Honour</w:t>
      </w:r>
      <w:proofErr w:type="spellEnd"/>
      <w:r w:rsidRPr="00264802">
        <w:rPr>
          <w:rFonts w:cs="Arial"/>
          <w:iCs/>
          <w:szCs w:val="24"/>
        </w:rPr>
        <w:t xml:space="preserve"> found that the suspicion held by the officer responsible for </w:t>
      </w:r>
      <w:proofErr w:type="spellStart"/>
      <w:r w:rsidRPr="00264802">
        <w:rPr>
          <w:rFonts w:cs="Arial"/>
          <w:iCs/>
          <w:szCs w:val="24"/>
        </w:rPr>
        <w:t>Mr</w:t>
      </w:r>
      <w:proofErr w:type="spellEnd"/>
      <w:r w:rsidRPr="00264802">
        <w:rPr>
          <w:rFonts w:cs="Arial"/>
          <w:iCs/>
          <w:szCs w:val="24"/>
        </w:rPr>
        <w:t xml:space="preserve"> Montgomery’s detention, that </w:t>
      </w:r>
      <w:proofErr w:type="spellStart"/>
      <w:r w:rsidRPr="00264802">
        <w:rPr>
          <w:rFonts w:cs="Arial"/>
          <w:iCs/>
          <w:szCs w:val="24"/>
        </w:rPr>
        <w:t>Mr</w:t>
      </w:r>
      <w:proofErr w:type="spellEnd"/>
      <w:r w:rsidRPr="00264802">
        <w:rPr>
          <w:rFonts w:cs="Arial"/>
          <w:iCs/>
          <w:szCs w:val="24"/>
        </w:rPr>
        <w:t xml:space="preserve"> Montgomery was an alien by virtue of his not being an Aboriginal Australian, was not reasonable, in view of the information that had been provided by </w:t>
      </w:r>
      <w:proofErr w:type="spellStart"/>
      <w:r w:rsidRPr="00264802">
        <w:rPr>
          <w:rFonts w:cs="Arial"/>
          <w:iCs/>
          <w:szCs w:val="24"/>
        </w:rPr>
        <w:t>Mr</w:t>
      </w:r>
      <w:proofErr w:type="spellEnd"/>
      <w:r w:rsidRPr="00264802">
        <w:rPr>
          <w:rFonts w:cs="Arial"/>
          <w:iCs/>
          <w:szCs w:val="24"/>
        </w:rPr>
        <w:t xml:space="preserve"> Montgomery.  </w:t>
      </w:r>
      <w:proofErr w:type="spellStart"/>
      <w:r w:rsidRPr="00264802">
        <w:rPr>
          <w:rFonts w:cs="Arial"/>
          <w:iCs/>
          <w:szCs w:val="24"/>
        </w:rPr>
        <w:t>Mr</w:t>
      </w:r>
      <w:proofErr w:type="spellEnd"/>
      <w:r w:rsidRPr="00264802">
        <w:rPr>
          <w:rFonts w:cs="Arial"/>
          <w:iCs/>
          <w:szCs w:val="24"/>
        </w:rPr>
        <w:t xml:space="preserve"> Montgomery’s detention therefore could not be justified by s 189(1) of the Act.  SC </w:t>
      </w:r>
      <w:proofErr w:type="spellStart"/>
      <w:r w:rsidRPr="00264802">
        <w:rPr>
          <w:rFonts w:cs="Arial"/>
          <w:iCs/>
          <w:szCs w:val="24"/>
        </w:rPr>
        <w:t>Derrington</w:t>
      </w:r>
      <w:proofErr w:type="spellEnd"/>
      <w:r w:rsidRPr="00264802">
        <w:rPr>
          <w:rFonts w:cs="Arial"/>
          <w:iCs/>
          <w:szCs w:val="24"/>
        </w:rPr>
        <w:t xml:space="preserve"> J also found that the Minister, in making the non-revocation decision, had failed to give any degree of consideration to </w:t>
      </w:r>
      <w:proofErr w:type="spellStart"/>
      <w:r w:rsidRPr="00264802">
        <w:rPr>
          <w:rFonts w:cs="Arial"/>
          <w:iCs/>
          <w:szCs w:val="24"/>
        </w:rPr>
        <w:t>Mr</w:t>
      </w:r>
      <w:proofErr w:type="spellEnd"/>
      <w:r w:rsidRPr="00264802">
        <w:rPr>
          <w:rFonts w:cs="Arial"/>
          <w:iCs/>
          <w:szCs w:val="24"/>
        </w:rPr>
        <w:t xml:space="preserve"> Montgomery’s representations as to his Aboriginality.  (This followed the removal into the High Court of part of the cause then pending in the Federal Court, by order of Justice Keane on 11 October 2021.  That removed cause came to be discontinued by </w:t>
      </w:r>
      <w:proofErr w:type="spellStart"/>
      <w:r w:rsidRPr="00264802">
        <w:rPr>
          <w:rFonts w:cs="Arial"/>
          <w:iCs/>
          <w:szCs w:val="24"/>
        </w:rPr>
        <w:t>Mr</w:t>
      </w:r>
      <w:proofErr w:type="spellEnd"/>
      <w:r w:rsidRPr="00264802">
        <w:rPr>
          <w:rFonts w:cs="Arial"/>
          <w:iCs/>
          <w:szCs w:val="24"/>
        </w:rPr>
        <w:t xml:space="preserve"> Montgomery on 2 December 2021.)</w:t>
      </w:r>
    </w:p>
    <w:p w14:paraId="53FDA276" w14:textId="77777777" w:rsidR="00264802" w:rsidRPr="00264802" w:rsidRDefault="00264802" w:rsidP="00264802">
      <w:pPr>
        <w:jc w:val="both"/>
        <w:rPr>
          <w:rFonts w:cs="Arial"/>
          <w:iCs/>
          <w:szCs w:val="24"/>
        </w:rPr>
      </w:pPr>
    </w:p>
    <w:p w14:paraId="444E6A0D" w14:textId="77777777" w:rsidR="00264802" w:rsidRPr="00264802" w:rsidRDefault="00264802" w:rsidP="00264802">
      <w:pPr>
        <w:jc w:val="both"/>
        <w:rPr>
          <w:rFonts w:cs="Arial"/>
          <w:iCs/>
          <w:szCs w:val="24"/>
        </w:rPr>
      </w:pPr>
      <w:r w:rsidRPr="00264802">
        <w:rPr>
          <w:rFonts w:cs="Arial"/>
          <w:iCs/>
          <w:szCs w:val="24"/>
        </w:rPr>
        <w:t xml:space="preserve">The Appellants appealed.  Justice Keane ordered the appeal’s removal from the Federal Court into the High Court, under s 40(1) of the </w:t>
      </w:r>
      <w:r w:rsidRPr="00264802">
        <w:rPr>
          <w:rFonts w:cs="Arial"/>
          <w:i/>
          <w:iCs/>
          <w:szCs w:val="24"/>
        </w:rPr>
        <w:t>Judiciary Act 1903</w:t>
      </w:r>
      <w:r w:rsidRPr="00264802">
        <w:rPr>
          <w:rFonts w:cs="Arial"/>
          <w:iCs/>
          <w:szCs w:val="24"/>
        </w:rPr>
        <w:t xml:space="preserve"> (</w:t>
      </w:r>
      <w:proofErr w:type="spellStart"/>
      <w:r w:rsidRPr="00264802">
        <w:rPr>
          <w:rFonts w:cs="Arial"/>
          <w:iCs/>
          <w:szCs w:val="24"/>
        </w:rPr>
        <w:t>Cth</w:t>
      </w:r>
      <w:proofErr w:type="spellEnd"/>
      <w:r w:rsidRPr="00264802">
        <w:rPr>
          <w:rFonts w:cs="Arial"/>
          <w:iCs/>
          <w:szCs w:val="24"/>
        </w:rPr>
        <w:t>), upon an application by the Attorney-General of the Commonwealth.</w:t>
      </w:r>
    </w:p>
    <w:p w14:paraId="3B3F3746" w14:textId="77777777" w:rsidR="00264802" w:rsidRPr="00264802" w:rsidRDefault="00264802" w:rsidP="00264802">
      <w:pPr>
        <w:jc w:val="both"/>
        <w:rPr>
          <w:rFonts w:cs="Arial"/>
          <w:iCs/>
          <w:szCs w:val="24"/>
        </w:rPr>
      </w:pPr>
      <w:r w:rsidRPr="00264802">
        <w:rPr>
          <w:rFonts w:cs="Arial"/>
          <w:iCs/>
          <w:szCs w:val="24"/>
        </w:rPr>
        <w:lastRenderedPageBreak/>
        <w:t xml:space="preserve">A notice of a constitutional matter was filed by the Appellants.  The Attorneys-General of the Commonwealth and Victoria are intervening in the appeal.  The National Native Title Council, the Northern Land Council and the Australian Human Rights Commission have been granted leave to intervene and/or to appear as amicus curiae. </w:t>
      </w:r>
    </w:p>
    <w:p w14:paraId="03384503" w14:textId="77777777" w:rsidR="00264802" w:rsidRPr="00264802" w:rsidRDefault="00264802" w:rsidP="00264802">
      <w:pPr>
        <w:jc w:val="both"/>
        <w:rPr>
          <w:rFonts w:cs="Arial"/>
          <w:iCs/>
          <w:szCs w:val="24"/>
        </w:rPr>
      </w:pPr>
    </w:p>
    <w:p w14:paraId="20BC29A2" w14:textId="77777777" w:rsidR="00264802" w:rsidRPr="00264802" w:rsidRDefault="00264802" w:rsidP="00264802">
      <w:pPr>
        <w:spacing w:after="180"/>
        <w:jc w:val="both"/>
        <w:rPr>
          <w:rFonts w:cs="Arial"/>
          <w:iCs/>
          <w:szCs w:val="24"/>
        </w:rPr>
      </w:pPr>
      <w:r w:rsidRPr="00264802">
        <w:rPr>
          <w:rFonts w:cs="Arial"/>
          <w:iCs/>
          <w:szCs w:val="24"/>
        </w:rPr>
        <w:t>The grounds of appeal include:</w:t>
      </w:r>
    </w:p>
    <w:p w14:paraId="6D95DF67" w14:textId="77777777" w:rsidR="00264802" w:rsidRPr="00264802" w:rsidRDefault="00264802" w:rsidP="00264802">
      <w:pPr>
        <w:pStyle w:val="ListParagraph"/>
        <w:numPr>
          <w:ilvl w:val="0"/>
          <w:numId w:val="11"/>
        </w:numPr>
        <w:spacing w:after="180"/>
        <w:ind w:left="426" w:hanging="426"/>
        <w:jc w:val="both"/>
        <w:rPr>
          <w:rFonts w:cs="Arial"/>
          <w:iCs/>
          <w:sz w:val="24"/>
          <w:szCs w:val="24"/>
        </w:rPr>
      </w:pPr>
      <w:r w:rsidRPr="00264802">
        <w:rPr>
          <w:rFonts w:cs="Arial"/>
          <w:iCs/>
          <w:sz w:val="24"/>
          <w:szCs w:val="24"/>
        </w:rPr>
        <w:t xml:space="preserve">Having found that the detaining officer held a reasonable suspicion that the Respondent was an unlawful non-citizen, the primary judge erred in holding that the detention of the Respondent was not authorised and required by s 189 of the Act unless the detaining officer also held a reasonable suspicion that the Respondent was not an Aboriginal Australian within the meaning of the tripartite test in </w:t>
      </w:r>
      <w:r w:rsidRPr="00264802">
        <w:rPr>
          <w:rFonts w:cs="Arial"/>
          <w:i/>
          <w:iCs/>
          <w:sz w:val="24"/>
          <w:szCs w:val="24"/>
        </w:rPr>
        <w:t>Mabo v Queensland (No 2)</w:t>
      </w:r>
      <w:r w:rsidRPr="00264802">
        <w:rPr>
          <w:rFonts w:cs="Arial"/>
          <w:iCs/>
          <w:sz w:val="24"/>
          <w:szCs w:val="24"/>
        </w:rPr>
        <w:t xml:space="preserve"> (1992) 175 CLR 1 at 70 (“the tripartite test”) because:</w:t>
      </w:r>
    </w:p>
    <w:p w14:paraId="29A86210" w14:textId="77777777" w:rsidR="00264802" w:rsidRPr="00264802" w:rsidRDefault="00264802" w:rsidP="00264802">
      <w:pPr>
        <w:pStyle w:val="ListParagraph"/>
        <w:numPr>
          <w:ilvl w:val="1"/>
          <w:numId w:val="11"/>
        </w:numPr>
        <w:spacing w:after="180"/>
        <w:ind w:left="851" w:hanging="425"/>
        <w:jc w:val="both"/>
        <w:rPr>
          <w:rFonts w:cs="Arial"/>
          <w:iCs/>
          <w:sz w:val="24"/>
          <w:szCs w:val="24"/>
        </w:rPr>
      </w:pPr>
      <w:r w:rsidRPr="00264802">
        <w:rPr>
          <w:rFonts w:cs="Arial"/>
          <w:i/>
          <w:iCs/>
          <w:sz w:val="24"/>
          <w:szCs w:val="24"/>
        </w:rPr>
        <w:t>Love v Commonwealth</w:t>
      </w:r>
      <w:r w:rsidRPr="00264802">
        <w:rPr>
          <w:rFonts w:cs="Arial"/>
          <w:iCs/>
          <w:sz w:val="24"/>
          <w:szCs w:val="24"/>
        </w:rPr>
        <w:t xml:space="preserve"> (2020) 270 CLR 152 was wrongly decided, with the result that no reading down or partial disapplication of s 189 of the Act is required in order to prevent it from exceeding the limits of Commonwealth legislative power under s 51(xix) of the </w:t>
      </w:r>
      <w:r w:rsidRPr="00264802">
        <w:rPr>
          <w:rFonts w:cs="Arial"/>
          <w:i/>
          <w:iCs/>
          <w:sz w:val="24"/>
          <w:szCs w:val="24"/>
        </w:rPr>
        <w:t>Constitution</w:t>
      </w:r>
      <w:r w:rsidRPr="00264802">
        <w:rPr>
          <w:rFonts w:cs="Arial"/>
          <w:iCs/>
          <w:sz w:val="24"/>
          <w:szCs w:val="24"/>
        </w:rPr>
        <w:t>;</w:t>
      </w:r>
    </w:p>
    <w:p w14:paraId="3BC6CC2A" w14:textId="77777777" w:rsidR="00264802" w:rsidRPr="00264802" w:rsidRDefault="00264802" w:rsidP="00264802">
      <w:pPr>
        <w:pStyle w:val="ListParagraph"/>
        <w:numPr>
          <w:ilvl w:val="1"/>
          <w:numId w:val="11"/>
        </w:numPr>
        <w:spacing w:after="180"/>
        <w:ind w:left="851" w:hanging="425"/>
        <w:jc w:val="both"/>
        <w:rPr>
          <w:rFonts w:cs="Arial"/>
          <w:iCs/>
          <w:sz w:val="24"/>
          <w:szCs w:val="24"/>
        </w:rPr>
      </w:pPr>
      <w:r w:rsidRPr="00264802">
        <w:rPr>
          <w:rFonts w:cs="Arial"/>
          <w:iCs/>
          <w:sz w:val="24"/>
          <w:szCs w:val="24"/>
        </w:rPr>
        <w:t xml:space="preserve">Alternatively, even if </w:t>
      </w:r>
      <w:r w:rsidRPr="00264802">
        <w:rPr>
          <w:rFonts w:cs="Arial"/>
          <w:i/>
          <w:iCs/>
          <w:sz w:val="24"/>
          <w:szCs w:val="24"/>
        </w:rPr>
        <w:t>Love v Commonwealth</w:t>
      </w:r>
      <w:r w:rsidRPr="00264802">
        <w:rPr>
          <w:rFonts w:cs="Arial"/>
          <w:iCs/>
          <w:sz w:val="24"/>
          <w:szCs w:val="24"/>
        </w:rPr>
        <w:t xml:space="preserve"> (2020) 270 CLR 152 was correctly decided:</w:t>
      </w:r>
    </w:p>
    <w:p w14:paraId="5493449E" w14:textId="77777777" w:rsidR="00264802" w:rsidRPr="00264802" w:rsidRDefault="00264802" w:rsidP="00264802">
      <w:pPr>
        <w:pStyle w:val="ListParagraph"/>
        <w:numPr>
          <w:ilvl w:val="2"/>
          <w:numId w:val="11"/>
        </w:numPr>
        <w:spacing w:after="180"/>
        <w:ind w:left="1260" w:hanging="280"/>
        <w:jc w:val="both"/>
        <w:rPr>
          <w:rFonts w:cs="Arial"/>
          <w:iCs/>
          <w:sz w:val="24"/>
          <w:szCs w:val="24"/>
        </w:rPr>
      </w:pPr>
      <w:r w:rsidRPr="00264802">
        <w:rPr>
          <w:rFonts w:cs="Arial"/>
          <w:iCs/>
          <w:sz w:val="24"/>
          <w:szCs w:val="24"/>
        </w:rPr>
        <w:t xml:space="preserve">s 189 of the Act should have been applied in accordance with its terms to the Respondent in the absence of evidence that he is biologically descended from the </w:t>
      </w:r>
      <w:proofErr w:type="spellStart"/>
      <w:r w:rsidRPr="00264802">
        <w:rPr>
          <w:rFonts w:cs="Arial"/>
          <w:iCs/>
          <w:sz w:val="24"/>
          <w:szCs w:val="24"/>
        </w:rPr>
        <w:t>Munanjali</w:t>
      </w:r>
      <w:proofErr w:type="spellEnd"/>
      <w:r w:rsidRPr="00264802">
        <w:rPr>
          <w:rFonts w:cs="Arial"/>
          <w:iCs/>
          <w:sz w:val="24"/>
          <w:szCs w:val="24"/>
        </w:rPr>
        <w:t xml:space="preserve"> people (or, alternatively, from any indigenous person);</w:t>
      </w:r>
    </w:p>
    <w:p w14:paraId="30BC47AD" w14:textId="77777777" w:rsidR="00264802" w:rsidRPr="00264802" w:rsidRDefault="00264802" w:rsidP="00264802">
      <w:pPr>
        <w:pStyle w:val="ListParagraph"/>
        <w:numPr>
          <w:ilvl w:val="2"/>
          <w:numId w:val="11"/>
        </w:numPr>
        <w:ind w:left="1260" w:hanging="280"/>
        <w:jc w:val="both"/>
        <w:rPr>
          <w:rFonts w:cs="Arial"/>
          <w:iCs/>
          <w:sz w:val="24"/>
          <w:szCs w:val="24"/>
        </w:rPr>
      </w:pPr>
      <w:r w:rsidRPr="00264802">
        <w:rPr>
          <w:rFonts w:cs="Arial"/>
          <w:iCs/>
          <w:sz w:val="24"/>
          <w:szCs w:val="24"/>
        </w:rPr>
        <w:t xml:space="preserve">neither s 3A of the Act nor s 15A of the </w:t>
      </w:r>
      <w:r w:rsidRPr="00264802">
        <w:rPr>
          <w:rFonts w:cs="Arial"/>
          <w:i/>
          <w:iCs/>
          <w:sz w:val="24"/>
          <w:szCs w:val="24"/>
        </w:rPr>
        <w:t>Acts Interpretation Act 1901</w:t>
      </w:r>
      <w:r w:rsidRPr="00264802">
        <w:rPr>
          <w:rFonts w:cs="Arial"/>
          <w:iCs/>
          <w:sz w:val="24"/>
          <w:szCs w:val="24"/>
        </w:rPr>
        <w:t xml:space="preserve"> (</w:t>
      </w:r>
      <w:proofErr w:type="spellStart"/>
      <w:r w:rsidRPr="00264802">
        <w:rPr>
          <w:rFonts w:cs="Arial"/>
          <w:iCs/>
          <w:sz w:val="24"/>
          <w:szCs w:val="24"/>
        </w:rPr>
        <w:t>Cth</w:t>
      </w:r>
      <w:proofErr w:type="spellEnd"/>
      <w:r w:rsidRPr="00264802">
        <w:rPr>
          <w:rFonts w:cs="Arial"/>
          <w:iCs/>
          <w:sz w:val="24"/>
          <w:szCs w:val="24"/>
        </w:rPr>
        <w:t>) justified reading down of ss 13 and 14 of the Act so that persons who satisfy the tripartite test are not “non-citizens” for the purposes of the Act, even if they are not Australian citizens.</w:t>
      </w:r>
    </w:p>
    <w:p w14:paraId="42168F5D" w14:textId="77777777" w:rsidR="00264802" w:rsidRPr="00264802" w:rsidRDefault="00264802" w:rsidP="00264802">
      <w:pPr>
        <w:jc w:val="both"/>
        <w:rPr>
          <w:rFonts w:cs="Arial"/>
          <w:iCs/>
          <w:szCs w:val="24"/>
        </w:rPr>
      </w:pPr>
    </w:p>
    <w:p w14:paraId="7686C29E" w14:textId="77777777" w:rsidR="00264802" w:rsidRPr="00264802" w:rsidRDefault="00264802" w:rsidP="00264802">
      <w:pPr>
        <w:spacing w:after="180"/>
        <w:jc w:val="both"/>
        <w:rPr>
          <w:rFonts w:cs="Arial"/>
          <w:iCs/>
          <w:szCs w:val="24"/>
        </w:rPr>
      </w:pPr>
      <w:r w:rsidRPr="00264802">
        <w:rPr>
          <w:rFonts w:cs="Arial"/>
          <w:iCs/>
          <w:szCs w:val="24"/>
        </w:rPr>
        <w:t xml:space="preserve">A notice of contention filed by </w:t>
      </w:r>
      <w:proofErr w:type="spellStart"/>
      <w:r w:rsidRPr="00264802">
        <w:rPr>
          <w:rFonts w:cs="Arial"/>
          <w:iCs/>
          <w:szCs w:val="24"/>
        </w:rPr>
        <w:t>Mr</w:t>
      </w:r>
      <w:proofErr w:type="spellEnd"/>
      <w:r w:rsidRPr="00264802">
        <w:rPr>
          <w:rFonts w:cs="Arial"/>
          <w:iCs/>
          <w:szCs w:val="24"/>
        </w:rPr>
        <w:t xml:space="preserve"> Montgomery raises the following ground: </w:t>
      </w:r>
    </w:p>
    <w:p w14:paraId="2AE50D74" w14:textId="77777777" w:rsidR="00264802" w:rsidRPr="00264802" w:rsidRDefault="00264802" w:rsidP="00264802">
      <w:pPr>
        <w:pStyle w:val="ListParagraph"/>
        <w:numPr>
          <w:ilvl w:val="0"/>
          <w:numId w:val="11"/>
        </w:numPr>
        <w:ind w:left="426" w:hanging="426"/>
        <w:jc w:val="both"/>
        <w:rPr>
          <w:rFonts w:cs="Arial"/>
          <w:iCs/>
          <w:sz w:val="24"/>
          <w:szCs w:val="24"/>
        </w:rPr>
      </w:pPr>
      <w:r w:rsidRPr="00264802">
        <w:rPr>
          <w:rFonts w:cs="Arial"/>
          <w:iCs/>
          <w:sz w:val="24"/>
          <w:szCs w:val="24"/>
        </w:rPr>
        <w:t>In determining the ultimate question (Reasons at [55]) whether the Appellants had discharged their burden of proof to show positive authority or lawful authority at the time of trial for the Respondent’s detention, the primary judge erred (Reasons at [66]) in excluding from consideration the fact that the officer responsible for the Respondent’s detention (Mrs McBroom) had for a period of over 120 days failed to read or consider sworn expert report from Dr Fiona Powell dated 21 May 2021 (Reasons at [23]) which contained detailed opinion on matters relevant to the question before the officer.</w:t>
      </w:r>
    </w:p>
    <w:p w14:paraId="2D54BBC9" w14:textId="77777777" w:rsidR="00264802" w:rsidRPr="00444C3A" w:rsidRDefault="00264802" w:rsidP="00264802">
      <w:pPr>
        <w:pStyle w:val="ListParagraph"/>
        <w:ind w:left="1440"/>
        <w:rPr>
          <w:rFonts w:cs="Arial"/>
          <w:sz w:val="24"/>
          <w:szCs w:val="24"/>
        </w:rPr>
      </w:pPr>
    </w:p>
    <w:p w14:paraId="42F2B461" w14:textId="77777777" w:rsidR="004B7828" w:rsidRPr="00913869" w:rsidRDefault="004B7828" w:rsidP="00913869"/>
    <w:sectPr w:rsidR="004B7828" w:rsidRPr="00913869"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300F9" w14:textId="77777777" w:rsidR="006235D8" w:rsidRDefault="006235D8">
      <w:r>
        <w:separator/>
      </w:r>
    </w:p>
  </w:endnote>
  <w:endnote w:type="continuationSeparator" w:id="0">
    <w:p w14:paraId="50AE416D"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919F"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9AEAA" w14:textId="77777777" w:rsidR="006235D8" w:rsidRDefault="006235D8">
      <w:r>
        <w:separator/>
      </w:r>
    </w:p>
  </w:footnote>
  <w:footnote w:type="continuationSeparator" w:id="0">
    <w:p w14:paraId="2B64F576"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B615A"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188E" w14:textId="77777777" w:rsidR="004B7828" w:rsidRDefault="004B7828">
    <w:pPr>
      <w:pStyle w:val="Title"/>
    </w:pPr>
  </w:p>
  <w:p w14:paraId="4AE4C3D8" w14:textId="77777777" w:rsidR="004B7828" w:rsidRDefault="004B7828">
    <w:pPr>
      <w:pStyle w:val="Title"/>
    </w:pPr>
    <w:r>
      <w:t>SHORT PARTICULARS OF CASES</w:t>
    </w:r>
  </w:p>
  <w:p w14:paraId="62249BF1" w14:textId="77777777" w:rsidR="004B7828" w:rsidRDefault="004B7828">
    <w:pPr>
      <w:tabs>
        <w:tab w:val="left" w:pos="851"/>
        <w:tab w:val="right" w:pos="8505"/>
      </w:tabs>
      <w:jc w:val="center"/>
      <w:rPr>
        <w:b/>
        <w:u w:val="single"/>
      </w:rPr>
    </w:pPr>
  </w:p>
  <w:p w14:paraId="317F6855" w14:textId="6EC68B41" w:rsidR="004B7828" w:rsidRDefault="00ED18CF">
    <w:pPr>
      <w:tabs>
        <w:tab w:val="left" w:pos="851"/>
        <w:tab w:val="right" w:pos="8505"/>
      </w:tabs>
      <w:jc w:val="center"/>
      <w:rPr>
        <w:b/>
        <w:u w:val="single"/>
      </w:rPr>
    </w:pPr>
    <w:r>
      <w:rPr>
        <w:b/>
        <w:u w:val="single"/>
      </w:rPr>
      <w:t>APRIL 2022</w:t>
    </w:r>
  </w:p>
  <w:p w14:paraId="7FD26169" w14:textId="77777777" w:rsidR="004B7828" w:rsidRDefault="004B7828">
    <w:pPr>
      <w:tabs>
        <w:tab w:val="left" w:pos="851"/>
        <w:tab w:val="right" w:pos="8505"/>
      </w:tabs>
    </w:pPr>
  </w:p>
  <w:p w14:paraId="44F005DC" w14:textId="77777777" w:rsidR="004B7828" w:rsidRDefault="004B7828">
    <w:pPr>
      <w:tabs>
        <w:tab w:val="left" w:pos="851"/>
        <w:tab w:val="right" w:pos="8505"/>
      </w:tabs>
      <w:jc w:val="both"/>
    </w:pPr>
    <w:r>
      <w:t>_______________________________________________________________</w:t>
    </w:r>
    <w:r w:rsidR="00E442CA">
      <w:t>_</w:t>
    </w:r>
  </w:p>
  <w:p w14:paraId="471DA78E" w14:textId="77777777" w:rsidR="004B7828" w:rsidRDefault="004B7828">
    <w:pPr>
      <w:tabs>
        <w:tab w:val="left" w:pos="851"/>
        <w:tab w:val="right" w:pos="8505"/>
      </w:tabs>
      <w:jc w:val="both"/>
    </w:pPr>
  </w:p>
  <w:p w14:paraId="57B1DC3C" w14:textId="77777777" w:rsidR="004B7828" w:rsidRDefault="004B7828">
    <w:pPr>
      <w:tabs>
        <w:tab w:val="left" w:pos="851"/>
        <w:tab w:val="right" w:pos="8505"/>
      </w:tabs>
      <w:jc w:val="both"/>
    </w:pPr>
    <w:r>
      <w:t>No.</w:t>
    </w:r>
    <w:r>
      <w:tab/>
      <w:t>Name of Matter</w:t>
    </w:r>
    <w:r>
      <w:tab/>
      <w:t>Page No</w:t>
    </w:r>
  </w:p>
  <w:p w14:paraId="5D5AC7FB" w14:textId="77777777" w:rsidR="004B7828" w:rsidRDefault="004B7828" w:rsidP="00E442CA">
    <w:pPr>
      <w:tabs>
        <w:tab w:val="left" w:pos="851"/>
        <w:tab w:val="right" w:pos="8505"/>
      </w:tabs>
      <w:jc w:val="both"/>
    </w:pPr>
    <w:r>
      <w:t>_______________________________________________________________</w:t>
    </w:r>
    <w:r w:rsidR="00E442CA">
      <w:t>_</w:t>
    </w:r>
  </w:p>
  <w:p w14:paraId="7EB6CE62"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D8802ED"/>
    <w:multiLevelType w:val="multilevel"/>
    <w:tmpl w:val="A350BD4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AB45B79"/>
    <w:multiLevelType w:val="hybridMultilevel"/>
    <w:tmpl w:val="3BD2716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0"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num w:numId="1">
    <w:abstractNumId w:val="10"/>
  </w:num>
  <w:num w:numId="2">
    <w:abstractNumId w:val="4"/>
  </w:num>
  <w:num w:numId="3">
    <w:abstractNumId w:val="3"/>
  </w:num>
  <w:num w:numId="4">
    <w:abstractNumId w:val="5"/>
  </w:num>
  <w:num w:numId="5">
    <w:abstractNumId w:val="9"/>
  </w:num>
  <w:num w:numId="6">
    <w:abstractNumId w:val="7"/>
  </w:num>
  <w:num w:numId="7">
    <w:abstractNumId w:val="1"/>
  </w:num>
  <w:num w:numId="8">
    <w:abstractNumId w:val="0"/>
  </w:num>
  <w:num w:numId="9">
    <w:abstractNumId w:val="2"/>
  </w:num>
  <w:num w:numId="10">
    <w:abstractNumId w:val="6"/>
  </w:num>
  <w:num w:numId="11">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2123536167"/>
  </wne:recipientData>
  <wne:recipientData>
    <wne:active wne:val="1"/>
    <wne:hash wne:val="-992089742"/>
  </wne:recipientData>
  <wne:recipientData>
    <wne:active wne:val="1"/>
    <wne:hash wne:val="595786699"/>
  </wne:recipientData>
  <wne:recipientData>
    <wne:active wne:val="1"/>
    <wne:hash wne:val="-1855877525"/>
  </wne:recipientData>
  <wne:recipientData>
    <wne:active wne:val="1"/>
    <wne:hash wne:val="-719009151"/>
  </wne:recipientData>
  <wne:recipientData>
    <wne:active wne:val="1"/>
    <wne:hash wne:val="108202491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linkToQuery/>
    <w:dataType w:val="textFile"/>
    <w:query w:val="SELECT * FROM G:\REGISTRY\CAN\Sittings Files\2021 Sittings\05-May\AppealData May 2021.doc"/>
    <w:dataSource r:id="rId1"/>
    <w:odso>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recipientData r:id="rId2"/>
    </w:odso>
  </w:mailMerge>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72A61"/>
    <w:rsid w:val="000B7BD8"/>
    <w:rsid w:val="00164640"/>
    <w:rsid w:val="0017627F"/>
    <w:rsid w:val="001A29AE"/>
    <w:rsid w:val="002549F7"/>
    <w:rsid w:val="00264802"/>
    <w:rsid w:val="002C3080"/>
    <w:rsid w:val="002E45D0"/>
    <w:rsid w:val="002F55FB"/>
    <w:rsid w:val="003C2828"/>
    <w:rsid w:val="004B7828"/>
    <w:rsid w:val="00537173"/>
    <w:rsid w:val="00570096"/>
    <w:rsid w:val="006235D8"/>
    <w:rsid w:val="00721F64"/>
    <w:rsid w:val="0073446B"/>
    <w:rsid w:val="00737693"/>
    <w:rsid w:val="007D102D"/>
    <w:rsid w:val="00811E2E"/>
    <w:rsid w:val="00876107"/>
    <w:rsid w:val="00913869"/>
    <w:rsid w:val="00A414D3"/>
    <w:rsid w:val="00A87A9A"/>
    <w:rsid w:val="00A94C30"/>
    <w:rsid w:val="00B7695E"/>
    <w:rsid w:val="00BA02B7"/>
    <w:rsid w:val="00BF56EA"/>
    <w:rsid w:val="00C04581"/>
    <w:rsid w:val="00C14228"/>
    <w:rsid w:val="00C17244"/>
    <w:rsid w:val="00C65A07"/>
    <w:rsid w:val="00C70B79"/>
    <w:rsid w:val="00C94F23"/>
    <w:rsid w:val="00DC21A0"/>
    <w:rsid w:val="00E442CA"/>
    <w:rsid w:val="00E90858"/>
    <w:rsid w:val="00ED18CF"/>
    <w:rsid w:val="00F03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F8BAF"/>
  <w15:chartTrackingRefBased/>
  <w15:docId w15:val="{08133633-C8AA-4F81-A0C5-A5CA6D7E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244"/>
    <w:pPr>
      <w:ind w:left="720"/>
    </w:pPr>
    <w:rPr>
      <w:sz w:val="22"/>
      <w:lang w:val="en-AU" w:eastAsia="en-US"/>
    </w:rPr>
  </w:style>
  <w:style w:type="paragraph" w:styleId="NoSpacing">
    <w:name w:val="No Spacing"/>
    <w:uiPriority w:val="1"/>
    <w:qFormat/>
    <w:rsid w:val="00C172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G:\REGISTRY\CAN\Sittings%20Files\2021%20Sittings\05-May\AppealData%20May%20202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EABF4-A5DE-4E7E-8864-C7A387C3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1544</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28</cp:revision>
  <cp:lastPrinted>1999-08-03T02:31:00Z</cp:lastPrinted>
  <dcterms:created xsi:type="dcterms:W3CDTF">2022-03-28T23:00:00Z</dcterms:created>
  <dcterms:modified xsi:type="dcterms:W3CDTF">2022-03-31T23:02:00Z</dcterms:modified>
</cp:coreProperties>
</file>