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C36D" w14:textId="181DC7B7" w:rsidR="0025250A" w:rsidRDefault="00681C48" w:rsidP="00C32FCD">
      <w:pPr>
        <w:pStyle w:val="BodyText"/>
        <w:spacing w:before="220"/>
        <w:ind w:left="0"/>
        <w:jc w:val="center"/>
        <w:rPr>
          <w:sz w:val="26"/>
        </w:rPr>
      </w:pPr>
      <w:r>
        <w:rPr>
          <w:noProof/>
          <w:sz w:val="20"/>
        </w:rPr>
        <w:drawing>
          <wp:inline distT="0" distB="0" distL="0" distR="0" wp14:anchorId="49836E07" wp14:editId="5220E55F">
            <wp:extent cx="915232" cy="652272"/>
            <wp:effectExtent l="0" t="0" r="0" b="0"/>
            <wp:docPr id="1" name="Image 1" descr="þÿ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þÿ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232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21262" w14:textId="6B97F901" w:rsidR="005A12D1" w:rsidRPr="005A12D1" w:rsidRDefault="00AC6E03" w:rsidP="00C32FCD">
      <w:pPr>
        <w:pStyle w:val="Title"/>
        <w:ind w:left="0"/>
        <w:rPr>
          <w:smallCaps/>
          <w:color w:val="1F4E79"/>
          <w:spacing w:val="-2"/>
        </w:rPr>
      </w:pPr>
      <w:bookmarkStart w:id="0" w:name="High_Court_of_Australia"/>
      <w:bookmarkStart w:id="1" w:name="Filing_documents"/>
      <w:bookmarkEnd w:id="0"/>
      <w:bookmarkEnd w:id="1"/>
      <w:r>
        <w:rPr>
          <w:smallCaps/>
          <w:color w:val="1F4E79"/>
          <w:spacing w:val="-2"/>
        </w:rPr>
        <w:t>High</w:t>
      </w:r>
      <w:r>
        <w:rPr>
          <w:smallCaps/>
          <w:color w:val="1F4E79"/>
          <w:spacing w:val="-6"/>
        </w:rPr>
        <w:t xml:space="preserve"> </w:t>
      </w:r>
      <w:r>
        <w:rPr>
          <w:smallCaps/>
          <w:color w:val="1F4E79"/>
          <w:spacing w:val="-2"/>
        </w:rPr>
        <w:t>Court</w:t>
      </w:r>
      <w:r>
        <w:rPr>
          <w:smallCaps/>
          <w:color w:val="1F4E79"/>
          <w:spacing w:val="-8"/>
        </w:rPr>
        <w:t xml:space="preserve"> </w:t>
      </w:r>
      <w:r>
        <w:rPr>
          <w:smallCaps/>
          <w:color w:val="1F4E79"/>
          <w:spacing w:val="-2"/>
        </w:rPr>
        <w:t>of</w:t>
      </w:r>
      <w:r>
        <w:rPr>
          <w:smallCaps/>
          <w:color w:val="1F4E79"/>
          <w:spacing w:val="-22"/>
        </w:rPr>
        <w:t xml:space="preserve"> </w:t>
      </w:r>
      <w:r>
        <w:rPr>
          <w:smallCaps/>
          <w:color w:val="1F4E79"/>
          <w:spacing w:val="-2"/>
        </w:rPr>
        <w:t>Australia</w:t>
      </w:r>
    </w:p>
    <w:p w14:paraId="571C56C4" w14:textId="77777777" w:rsidR="005A12D1" w:rsidRDefault="005A12D1" w:rsidP="00C32FCD">
      <w:pPr>
        <w:pStyle w:val="BodyText"/>
        <w:spacing w:line="237" w:lineRule="auto"/>
        <w:ind w:left="0"/>
      </w:pPr>
    </w:p>
    <w:p w14:paraId="753982A7" w14:textId="77777777" w:rsidR="005A12D1" w:rsidRDefault="005A12D1" w:rsidP="00C32FCD">
      <w:pPr>
        <w:pStyle w:val="Heading1"/>
        <w:spacing w:line="240" w:lineRule="auto"/>
        <w:ind w:left="0"/>
      </w:pPr>
      <w:r>
        <w:rPr>
          <w:color w:val="2E74B5"/>
        </w:rPr>
        <w:t>Filing</w:t>
      </w:r>
      <w:r>
        <w:rPr>
          <w:color w:val="2E74B5"/>
          <w:spacing w:val="-5"/>
        </w:rPr>
        <w:t xml:space="preserve"> </w:t>
      </w:r>
      <w:r>
        <w:rPr>
          <w:color w:val="2E74B5"/>
          <w:spacing w:val="-2"/>
        </w:rPr>
        <w:t>documents</w:t>
      </w:r>
    </w:p>
    <w:p w14:paraId="037AC371" w14:textId="40389E43" w:rsidR="0025250A" w:rsidRDefault="00AC6E03" w:rsidP="00C32FCD">
      <w:pPr>
        <w:pStyle w:val="BodyText"/>
        <w:spacing w:line="237" w:lineRule="auto"/>
        <w:ind w:left="0"/>
      </w:pPr>
      <w:r>
        <w:t>Documents lodged 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DLS Portal</w:t>
      </w:r>
      <w:r>
        <w:rPr>
          <w:spacing w:val="-10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 filed</w:t>
      </w:r>
      <w:r>
        <w:rPr>
          <w:spacing w:val="-1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HCA</w:t>
      </w:r>
      <w:r>
        <w:rPr>
          <w:spacing w:val="-6"/>
        </w:rPr>
        <w:t xml:space="preserve"> </w:t>
      </w:r>
      <w:r>
        <w:t>Registry (and any payment is received by the Court).</w:t>
      </w:r>
    </w:p>
    <w:p w14:paraId="037AC372" w14:textId="77777777" w:rsidR="0025250A" w:rsidRDefault="0025250A" w:rsidP="00C32FCD">
      <w:pPr>
        <w:pStyle w:val="BodyText"/>
        <w:spacing w:before="45"/>
        <w:ind w:left="0"/>
      </w:pPr>
    </w:p>
    <w:p w14:paraId="037AC376" w14:textId="77777777" w:rsidR="0025250A" w:rsidRDefault="00AC6E03" w:rsidP="00C32FCD">
      <w:pPr>
        <w:pStyle w:val="Heading1"/>
        <w:ind w:left="0"/>
      </w:pPr>
      <w:bookmarkStart w:id="2" w:name="The_sealed_order"/>
      <w:bookmarkStart w:id="3" w:name="The_notice_of_appeal"/>
      <w:bookmarkEnd w:id="2"/>
      <w:bookmarkEnd w:id="3"/>
      <w:r>
        <w:rPr>
          <w:color w:val="2E74B5"/>
        </w:rPr>
        <w:t>The</w:t>
      </w:r>
      <w:r>
        <w:rPr>
          <w:color w:val="2E74B5"/>
          <w:spacing w:val="-2"/>
        </w:rPr>
        <w:t xml:space="preserve"> </w:t>
      </w:r>
      <w:r>
        <w:rPr>
          <w:color w:val="2E74B5"/>
        </w:rPr>
        <w:t>notice</w:t>
      </w:r>
      <w:r>
        <w:rPr>
          <w:color w:val="2E74B5"/>
          <w:spacing w:val="-1"/>
        </w:rPr>
        <w:t xml:space="preserve"> </w:t>
      </w:r>
      <w:r>
        <w:rPr>
          <w:color w:val="2E74B5"/>
        </w:rPr>
        <w:t>of</w:t>
      </w:r>
      <w:r>
        <w:rPr>
          <w:color w:val="2E74B5"/>
          <w:spacing w:val="-10"/>
        </w:rPr>
        <w:t xml:space="preserve"> </w:t>
      </w:r>
      <w:r>
        <w:rPr>
          <w:color w:val="2E74B5"/>
          <w:spacing w:val="-2"/>
        </w:rPr>
        <w:t>appeal</w:t>
      </w:r>
    </w:p>
    <w:p w14:paraId="037AC378" w14:textId="48C739EC" w:rsidR="0025250A" w:rsidRDefault="00AC6E03" w:rsidP="00C32FCD">
      <w:pPr>
        <w:pStyle w:val="BodyText"/>
        <w:spacing w:line="274" w:lineRule="exact"/>
        <w:ind w:left="0"/>
      </w:pPr>
      <w:r>
        <w:t>An</w:t>
      </w:r>
      <w:r>
        <w:rPr>
          <w:spacing w:val="-6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properly</w:t>
      </w:r>
      <w:r>
        <w:rPr>
          <w:spacing w:val="-1"/>
        </w:rPr>
        <w:t xml:space="preserve"> </w:t>
      </w:r>
      <w:r>
        <w:t>instituted</w:t>
      </w:r>
      <w:r>
        <w:rPr>
          <w:spacing w:val="-6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appeal</w:t>
      </w:r>
      <w:r>
        <w:rPr>
          <w:spacing w:val="-1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filed.</w:t>
      </w:r>
      <w:r>
        <w:rPr>
          <w:spacing w:val="1"/>
        </w:rPr>
        <w:t xml:space="preserve"> </w:t>
      </w:r>
      <w:r>
        <w:t>Pursuant</w:t>
      </w:r>
      <w:r>
        <w:rPr>
          <w:spacing w:val="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4"/>
        </w:rPr>
        <w:t>Rule</w:t>
      </w:r>
      <w:r w:rsidR="00C32FCD">
        <w:rPr>
          <w:spacing w:val="-4"/>
        </w:rPr>
        <w:t> </w:t>
      </w:r>
      <w:r>
        <w:t>42.03 of</w:t>
      </w:r>
      <w:r>
        <w:rPr>
          <w:spacing w:val="-2"/>
        </w:rPr>
        <w:t xml:space="preserve"> </w:t>
      </w:r>
      <w:r>
        <w:t xml:space="preserve">the </w:t>
      </w:r>
      <w:r>
        <w:rPr>
          <w:i/>
        </w:rPr>
        <w:t xml:space="preserve">High Court Rules 2004 </w:t>
      </w:r>
      <w:r>
        <w:t>("the Rules") an appellant has 14 days from</w:t>
      </w:r>
      <w:r>
        <w:rPr>
          <w:spacing w:val="-4"/>
        </w:rPr>
        <w:t xml:space="preserve"> </w:t>
      </w:r>
      <w:r>
        <w:t>the date of the</w:t>
      </w:r>
      <w:r>
        <w:rPr>
          <w:spacing w:val="-1"/>
        </w:rPr>
        <w:t xml:space="preserve"> </w:t>
      </w:r>
      <w:r>
        <w:t>grant of</w:t>
      </w:r>
      <w:r>
        <w:rPr>
          <w:spacing w:val="-3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or special</w:t>
      </w:r>
      <w:r>
        <w:rPr>
          <w:spacing w:val="-4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to do</w:t>
      </w:r>
      <w:r>
        <w:rPr>
          <w:spacing w:val="-5"/>
        </w:rPr>
        <w:t xml:space="preserve"> </w:t>
      </w:r>
      <w:r>
        <w:t>this. Please forward a</w:t>
      </w:r>
      <w:r>
        <w:rPr>
          <w:spacing w:val="-1"/>
        </w:rPr>
        <w:t xml:space="preserve"> </w:t>
      </w:r>
      <w:r>
        <w:t>copy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appeal</w:t>
      </w:r>
      <w:r>
        <w:rPr>
          <w:spacing w:val="-9"/>
        </w:rPr>
        <w:t xml:space="preserve"> </w:t>
      </w:r>
      <w:r>
        <w:t>to the Registry for checking before it is lodged.</w:t>
      </w:r>
    </w:p>
    <w:p w14:paraId="037AC379" w14:textId="0407E2D5" w:rsidR="0025250A" w:rsidRDefault="00C32FCD" w:rsidP="00C32FCD">
      <w:pPr>
        <w:pStyle w:val="BodyText"/>
        <w:spacing w:before="275"/>
        <w:ind w:left="0"/>
      </w:pPr>
      <w:r>
        <w:t xml:space="preserve">A filing </w:t>
      </w:r>
      <w:r w:rsidR="00AC6E03">
        <w:t>fee is</w:t>
      </w:r>
      <w:r w:rsidR="00AC6E03">
        <w:rPr>
          <w:spacing w:val="-4"/>
        </w:rPr>
        <w:t xml:space="preserve"> </w:t>
      </w:r>
      <w:r w:rsidR="00AC6E03">
        <w:t>payable</w:t>
      </w:r>
      <w:r>
        <w:t xml:space="preserve"> for the notice of appeal</w:t>
      </w:r>
      <w:r w:rsidR="00AC6E03">
        <w:t>.</w:t>
      </w:r>
      <w:r w:rsidR="00AC6E03">
        <w:rPr>
          <w:spacing w:val="-1"/>
        </w:rPr>
        <w:t xml:space="preserve"> </w:t>
      </w:r>
      <w:r w:rsidR="005B3EF1">
        <w:rPr>
          <w:spacing w:val="-1"/>
        </w:rPr>
        <w:t>An invoice for</w:t>
      </w:r>
      <w:r w:rsidR="001E6C77">
        <w:rPr>
          <w:spacing w:val="-1"/>
        </w:rPr>
        <w:t xml:space="preserve"> the </w:t>
      </w:r>
      <w:r w:rsidR="00AC6E03">
        <w:t>hearing fee</w:t>
      </w:r>
      <w:r w:rsidR="00AC6E03">
        <w:rPr>
          <w:spacing w:val="-4"/>
        </w:rPr>
        <w:t xml:space="preserve"> </w:t>
      </w:r>
      <w:r w:rsidR="00AC6E03">
        <w:t>will</w:t>
      </w:r>
      <w:r w:rsidR="00AC6E03">
        <w:rPr>
          <w:spacing w:val="-3"/>
        </w:rPr>
        <w:t xml:space="preserve"> </w:t>
      </w:r>
      <w:r w:rsidR="00AC6E03">
        <w:t>be</w:t>
      </w:r>
      <w:r w:rsidR="00AC6E03">
        <w:rPr>
          <w:spacing w:val="-4"/>
        </w:rPr>
        <w:t xml:space="preserve"> </w:t>
      </w:r>
      <w:r w:rsidR="001E6C77">
        <w:t xml:space="preserve">issued shortly after </w:t>
      </w:r>
      <w:r w:rsidR="00CE597D">
        <w:t>filing and</w:t>
      </w:r>
      <w:r w:rsidR="00FA7067">
        <w:t xml:space="preserve"> is due for payment immediately</w:t>
      </w:r>
      <w:r w:rsidR="001E6C77">
        <w:t xml:space="preserve">.  </w:t>
      </w:r>
      <w:r w:rsidR="00AC6E03">
        <w:t xml:space="preserve">A separate </w:t>
      </w:r>
      <w:r w:rsidR="00881D24">
        <w:t xml:space="preserve">daily hearing fee </w:t>
      </w:r>
      <w:r w:rsidR="00AC6E03">
        <w:t xml:space="preserve">may also apply </w:t>
      </w:r>
      <w:r w:rsidR="00881D24">
        <w:t>i</w:t>
      </w:r>
      <w:r w:rsidR="00FA7067">
        <w:t xml:space="preserve">f the matter is </w:t>
      </w:r>
      <w:r w:rsidR="00D04A2E">
        <w:t>listed</w:t>
      </w:r>
      <w:r w:rsidR="001E6C77">
        <w:t xml:space="preserve"> for more than one day</w:t>
      </w:r>
      <w:r w:rsidR="00AC6E03">
        <w:t xml:space="preserve">.  The Registry will generate a further </w:t>
      </w:r>
      <w:r w:rsidR="00FA7067">
        <w:t xml:space="preserve">invoice for </w:t>
      </w:r>
      <w:r w:rsidR="00AC6E03">
        <w:t xml:space="preserve">any </w:t>
      </w:r>
      <w:r w:rsidR="00BB3BFD">
        <w:t xml:space="preserve">additional </w:t>
      </w:r>
      <w:r w:rsidR="00AC6E03">
        <w:t>daily hearing fee</w:t>
      </w:r>
      <w:r w:rsidR="00881D24">
        <w:t xml:space="preserve"> </w:t>
      </w:r>
      <w:r w:rsidR="00AC6E03">
        <w:t xml:space="preserve">at the time </w:t>
      </w:r>
      <w:r w:rsidR="00FA7067">
        <w:t xml:space="preserve">when </w:t>
      </w:r>
      <w:r w:rsidR="00881D24">
        <w:t xml:space="preserve">the matter </w:t>
      </w:r>
      <w:r w:rsidR="00FA7067">
        <w:t>is listed</w:t>
      </w:r>
      <w:r w:rsidR="00AC6E03">
        <w:t xml:space="preserve"> for hearing</w:t>
      </w:r>
      <w:r w:rsidR="001E6C77">
        <w:t>.</w:t>
      </w:r>
      <w:r w:rsidR="00AC6E03">
        <w:t xml:space="preserve"> See section 12A of the </w:t>
      </w:r>
      <w:r w:rsidR="002D251B" w:rsidRPr="00B61398">
        <w:rPr>
          <w:i/>
          <w:iCs/>
        </w:rPr>
        <w:t xml:space="preserve">High </w:t>
      </w:r>
      <w:r w:rsidR="00AC6E03" w:rsidRPr="00B61398">
        <w:rPr>
          <w:i/>
          <w:iCs/>
        </w:rPr>
        <w:t>Court of Australia (Fees) Regulations 2022</w:t>
      </w:r>
      <w:r w:rsidR="00AC6E03">
        <w:t>.</w:t>
      </w:r>
    </w:p>
    <w:p w14:paraId="037AC37A" w14:textId="77777777" w:rsidR="0025250A" w:rsidRDefault="0025250A" w:rsidP="00C32FCD">
      <w:pPr>
        <w:pStyle w:val="BodyText"/>
        <w:ind w:left="0"/>
      </w:pPr>
    </w:p>
    <w:p w14:paraId="037AC37B" w14:textId="77777777" w:rsidR="0025250A" w:rsidRDefault="00AC6E03" w:rsidP="00C32FCD">
      <w:pPr>
        <w:pStyle w:val="BodyText"/>
        <w:ind w:left="0"/>
      </w:pPr>
      <w:r>
        <w:t>Please</w:t>
      </w:r>
      <w:r>
        <w:rPr>
          <w:spacing w:val="-3"/>
        </w:rPr>
        <w:t xml:space="preserve"> </w:t>
      </w:r>
      <w:r>
        <w:t>note</w:t>
      </w:r>
      <w:r>
        <w:rPr>
          <w:spacing w:val="-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partial</w:t>
      </w:r>
      <w:r>
        <w:rPr>
          <w:spacing w:val="-10"/>
        </w:rPr>
        <w:t xml:space="preserve"> </w:t>
      </w:r>
      <w:r>
        <w:t>waiver or exemption</w:t>
      </w:r>
      <w:r>
        <w:rPr>
          <w:spacing w:val="-2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these fees may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sought in</w:t>
      </w:r>
      <w:r>
        <w:rPr>
          <w:spacing w:val="-6"/>
        </w:rPr>
        <w:t xml:space="preserve"> </w:t>
      </w:r>
      <w:r>
        <w:t>certain circumstances. Information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 fees can</w:t>
      </w:r>
      <w:r>
        <w:rPr>
          <w:spacing w:val="-2"/>
        </w:rPr>
        <w:t xml:space="preserve"> </w:t>
      </w:r>
      <w:r>
        <w:t>be viewed on</w:t>
      </w:r>
      <w:r>
        <w:rPr>
          <w:spacing w:val="-2"/>
        </w:rPr>
        <w:t xml:space="preserve"> </w:t>
      </w:r>
      <w:r>
        <w:t>the High</w:t>
      </w:r>
      <w:r>
        <w:rPr>
          <w:spacing w:val="-2"/>
        </w:rPr>
        <w:t xml:space="preserve"> </w:t>
      </w:r>
      <w:r>
        <w:t xml:space="preserve">Court website at </w:t>
      </w:r>
      <w:hyperlink r:id="rId8">
        <w:r>
          <w:rPr>
            <w:color w:val="0563C1"/>
            <w:spacing w:val="-2"/>
            <w:u w:val="single" w:color="0563C1"/>
          </w:rPr>
          <w:t>http://www.hcourt.gov.au/registry/filing-documents/high-court-of-australia-fees</w:t>
        </w:r>
        <w:r>
          <w:rPr>
            <w:spacing w:val="-2"/>
          </w:rPr>
          <w:t>.</w:t>
        </w:r>
      </w:hyperlink>
    </w:p>
    <w:p w14:paraId="037AC37C" w14:textId="77777777" w:rsidR="0025250A" w:rsidRDefault="0025250A" w:rsidP="00C32FCD">
      <w:pPr>
        <w:pStyle w:val="BodyText"/>
        <w:spacing w:before="21"/>
        <w:ind w:left="0"/>
        <w:rPr>
          <w:sz w:val="26"/>
        </w:rPr>
      </w:pPr>
    </w:p>
    <w:p w14:paraId="037AC37D" w14:textId="77777777" w:rsidR="0025250A" w:rsidRDefault="00AC6E03" w:rsidP="00C32FCD">
      <w:pPr>
        <w:pStyle w:val="Heading1"/>
        <w:ind w:left="0"/>
      </w:pPr>
      <w:bookmarkStart w:id="4" w:name="The_exhibits"/>
      <w:bookmarkEnd w:id="4"/>
      <w:r>
        <w:rPr>
          <w:color w:val="2E74B5"/>
        </w:rPr>
        <w:t>The</w:t>
      </w:r>
      <w:r>
        <w:rPr>
          <w:color w:val="2E74B5"/>
          <w:spacing w:val="-8"/>
        </w:rPr>
        <w:t xml:space="preserve"> </w:t>
      </w:r>
      <w:r>
        <w:rPr>
          <w:color w:val="2E74B5"/>
          <w:spacing w:val="-2"/>
        </w:rPr>
        <w:t>exhibits</w:t>
      </w:r>
    </w:p>
    <w:p w14:paraId="037AC37E" w14:textId="6F24ECCB" w:rsidR="0025250A" w:rsidRDefault="00AC6E03" w:rsidP="00C32FCD">
      <w:pPr>
        <w:pStyle w:val="BodyText"/>
        <w:spacing w:before="2" w:line="237" w:lineRule="auto"/>
        <w:ind w:left="0"/>
      </w:pPr>
      <w:r>
        <w:t>A</w:t>
      </w:r>
      <w:r>
        <w:rPr>
          <w:spacing w:val="-2"/>
        </w:rPr>
        <w:t xml:space="preserve"> </w:t>
      </w:r>
      <w:r>
        <w:t>list of</w:t>
      </w:r>
      <w:r>
        <w:rPr>
          <w:spacing w:val="-9"/>
        </w:rPr>
        <w:t xml:space="preserve"> </w:t>
      </w:r>
      <w:proofErr w:type="gramStart"/>
      <w:r>
        <w:t>all</w:t>
      </w:r>
      <w:r>
        <w:rPr>
          <w:spacing w:val="-5"/>
        </w:rPr>
        <w:t xml:space="preserve"> </w:t>
      </w:r>
      <w:r>
        <w:t>of</w:t>
      </w:r>
      <w:proofErr w:type="gramEnd"/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exhibits</w:t>
      </w:r>
      <w:r>
        <w:rPr>
          <w:spacing w:val="-3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t>judge</w:t>
      </w:r>
      <w:r>
        <w:rPr>
          <w:spacing w:val="-2"/>
        </w:rPr>
        <w:t xml:space="preserve"> </w:t>
      </w:r>
      <w:r w:rsidR="00C32FCD">
        <w:rPr>
          <w:spacing w:val="-2"/>
        </w:rPr>
        <w:t xml:space="preserve">and the </w:t>
      </w:r>
      <w:r>
        <w:t>court</w:t>
      </w:r>
      <w:r>
        <w:rPr>
          <w:spacing w:val="-1"/>
        </w:rPr>
        <w:t xml:space="preserve"> </w:t>
      </w:r>
      <w:r>
        <w:t>below must be lodged</w:t>
      </w:r>
      <w:r>
        <w:rPr>
          <w:spacing w:val="-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 notice of appeal.</w:t>
      </w:r>
    </w:p>
    <w:p w14:paraId="037AC37F" w14:textId="77777777" w:rsidR="0025250A" w:rsidRDefault="0025250A" w:rsidP="00C32FCD">
      <w:pPr>
        <w:pStyle w:val="BodyText"/>
        <w:spacing w:before="44"/>
        <w:ind w:left="0"/>
      </w:pPr>
    </w:p>
    <w:p w14:paraId="037AC380" w14:textId="77777777" w:rsidR="0025250A" w:rsidRDefault="00AC6E03" w:rsidP="00C32FCD">
      <w:pPr>
        <w:pStyle w:val="Heading1"/>
        <w:ind w:left="0"/>
      </w:pPr>
      <w:bookmarkStart w:id="5" w:name="Core_appeal_book"/>
      <w:bookmarkEnd w:id="5"/>
      <w:r>
        <w:rPr>
          <w:color w:val="2E74B5"/>
        </w:rPr>
        <w:t>Core</w:t>
      </w:r>
      <w:r>
        <w:rPr>
          <w:color w:val="2E74B5"/>
          <w:spacing w:val="-8"/>
        </w:rPr>
        <w:t xml:space="preserve"> </w:t>
      </w:r>
      <w:r>
        <w:rPr>
          <w:color w:val="2E74B5"/>
        </w:rPr>
        <w:t>appeal</w:t>
      </w:r>
      <w:r>
        <w:rPr>
          <w:color w:val="2E74B5"/>
          <w:spacing w:val="-4"/>
        </w:rPr>
        <w:t xml:space="preserve"> book</w:t>
      </w:r>
    </w:p>
    <w:p w14:paraId="037AC381" w14:textId="104700A0" w:rsidR="0025250A" w:rsidRDefault="00AC6E03" w:rsidP="00C32FCD">
      <w:pPr>
        <w:pStyle w:val="BodyText"/>
        <w:spacing w:line="242" w:lineRule="auto"/>
        <w:ind w:left="0"/>
      </w:pPr>
      <w:r>
        <w:t>Pursuant</w:t>
      </w:r>
      <w:r>
        <w:rPr>
          <w:spacing w:val="-2"/>
        </w:rPr>
        <w:t xml:space="preserve"> </w:t>
      </w:r>
      <w:r>
        <w:t>to Rule</w:t>
      </w:r>
      <w:r>
        <w:rPr>
          <w:spacing w:val="-3"/>
        </w:rPr>
        <w:t xml:space="preserve"> </w:t>
      </w:r>
      <w:r>
        <w:t>42.13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appellant must lodge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core</w:t>
      </w:r>
      <w:r>
        <w:rPr>
          <w:spacing w:val="-3"/>
        </w:rPr>
        <w:t xml:space="preserve"> </w:t>
      </w:r>
      <w:r>
        <w:t>appeal</w:t>
      </w:r>
      <w:r>
        <w:rPr>
          <w:spacing w:val="-11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(</w:t>
      </w:r>
      <w:r w:rsidR="002D251B">
        <w:t>“</w:t>
      </w:r>
      <w:r>
        <w:t>CAB</w:t>
      </w:r>
      <w:r w:rsidR="002D251B">
        <w:t>”</w:t>
      </w:r>
      <w:r>
        <w:t>) within</w:t>
      </w:r>
      <w:r>
        <w:rPr>
          <w:spacing w:val="-7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 the filing of the notice of appeal.</w:t>
      </w:r>
    </w:p>
    <w:p w14:paraId="037AC382" w14:textId="13BA9BD5" w:rsidR="0025250A" w:rsidRDefault="00AC6E03" w:rsidP="00C32FCD">
      <w:pPr>
        <w:pStyle w:val="BodyText"/>
        <w:spacing w:before="272"/>
        <w:ind w:left="0"/>
      </w:pPr>
      <w:r>
        <w:t>The</w:t>
      </w:r>
      <w:r>
        <w:rPr>
          <w:spacing w:val="-4"/>
        </w:rPr>
        <w:t xml:space="preserve"> </w:t>
      </w:r>
      <w:r>
        <w:t>CAB must contain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 in</w:t>
      </w:r>
      <w:r>
        <w:rPr>
          <w:spacing w:val="-8"/>
        </w:rPr>
        <w:t xml:space="preserve"> </w:t>
      </w:r>
      <w:r>
        <w:t>Rule</w:t>
      </w:r>
      <w:r>
        <w:rPr>
          <w:spacing w:val="-4"/>
        </w:rPr>
        <w:t xml:space="preserve"> </w:t>
      </w:r>
      <w:r>
        <w:t>42.13.</w:t>
      </w:r>
      <w:r>
        <w:rPr>
          <w:spacing w:val="-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sample index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 xml:space="preserve">available at </w:t>
      </w:r>
      <w:hyperlink r:id="rId9">
        <w:r w:rsidR="00FC5259" w:rsidRPr="00FC5259">
          <w:t xml:space="preserve"> </w:t>
        </w:r>
        <w:r w:rsidR="00FC5259" w:rsidRPr="00FC5259">
          <w:rPr>
            <w:color w:val="0563C1"/>
            <w:u w:val="single" w:color="0563C1"/>
          </w:rPr>
          <w:t>https://www.hcourt.gov.au/registry/filing-documents/registry_forms2023</w:t>
        </w:r>
        <w:r>
          <w:t>.</w:t>
        </w:r>
      </w:hyperlink>
      <w:r>
        <w:rPr>
          <w:spacing w:val="-2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 the Registrar if</w:t>
      </w:r>
      <w:r>
        <w:rPr>
          <w:spacing w:val="-1"/>
        </w:rPr>
        <w:t xml:space="preserve"> </w:t>
      </w:r>
      <w:r>
        <w:t>you would like to have the draft index</w:t>
      </w:r>
      <w:r>
        <w:rPr>
          <w:spacing w:val="-3"/>
        </w:rPr>
        <w:t xml:space="preserve"> </w:t>
      </w:r>
      <w:r>
        <w:t>checked prior</w:t>
      </w:r>
      <w:r>
        <w:rPr>
          <w:spacing w:val="-1"/>
        </w:rPr>
        <w:t xml:space="preserve"> </w:t>
      </w:r>
      <w:r>
        <w:t>to compiling the CAB.</w:t>
      </w:r>
    </w:p>
    <w:p w14:paraId="037AC383" w14:textId="77777777" w:rsidR="0025250A" w:rsidRDefault="0025250A" w:rsidP="00C32FCD">
      <w:pPr>
        <w:pStyle w:val="BodyText"/>
        <w:ind w:left="0"/>
      </w:pPr>
    </w:p>
    <w:p w14:paraId="037AC384" w14:textId="3BF30C07" w:rsidR="0025250A" w:rsidRDefault="00AC6E03" w:rsidP="00C32FCD">
      <w:pPr>
        <w:pStyle w:val="BodyText"/>
        <w:ind w:left="0"/>
        <w:rPr>
          <w:spacing w:val="-2"/>
        </w:rPr>
      </w:pPr>
      <w:r>
        <w:t>Please provide a draft CAB for checking by</w:t>
      </w:r>
      <w:r>
        <w:rPr>
          <w:spacing w:val="-9"/>
        </w:rPr>
        <w:t xml:space="preserve"> </w:t>
      </w:r>
      <w:r>
        <w:t>the Registrar prior</w:t>
      </w:r>
      <w:r>
        <w:rPr>
          <w:spacing w:val="-2"/>
        </w:rPr>
        <w:t xml:space="preserve"> </w:t>
      </w:r>
      <w:r>
        <w:t>to lodging. An information sheet on preparing the core appeal book, books of further materials and the joint book</w:t>
      </w:r>
      <w:r>
        <w:rPr>
          <w:spacing w:val="-1"/>
        </w:rPr>
        <w:t xml:space="preserve"> </w:t>
      </w:r>
      <w:r>
        <w:t>of authorities</w:t>
      </w:r>
      <w:r>
        <w:rPr>
          <w:spacing w:val="-11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available</w:t>
      </w:r>
      <w:r>
        <w:rPr>
          <w:spacing w:val="-14"/>
        </w:rPr>
        <w:t xml:space="preserve"> </w:t>
      </w:r>
      <w:hyperlink r:id="rId10">
        <w:r>
          <w:rPr>
            <w:color w:val="0563C1"/>
            <w:u w:val="single" w:color="0563C1"/>
          </w:rPr>
          <w:t>https://www.hcourt.gov.au/registry/information-sheets/information-</w:t>
        </w:r>
      </w:hyperlink>
      <w:r>
        <w:rPr>
          <w:color w:val="0563C1"/>
        </w:rPr>
        <w:t xml:space="preserve"> </w:t>
      </w:r>
      <w:hyperlink r:id="rId11">
        <w:r>
          <w:rPr>
            <w:color w:val="0563C1"/>
            <w:spacing w:val="-2"/>
            <w:u w:val="single" w:color="0563C1"/>
          </w:rPr>
          <w:t>sheets</w:t>
        </w:r>
        <w:r>
          <w:rPr>
            <w:spacing w:val="-2"/>
          </w:rPr>
          <w:t>.</w:t>
        </w:r>
      </w:hyperlink>
    </w:p>
    <w:p w14:paraId="76213604" w14:textId="77777777" w:rsidR="00C32FCD" w:rsidRDefault="00C32FCD" w:rsidP="00C32FCD">
      <w:pPr>
        <w:pStyle w:val="BodyText"/>
        <w:ind w:left="0"/>
      </w:pPr>
    </w:p>
    <w:p w14:paraId="24F3BE6E" w14:textId="77777777" w:rsidR="00C32FCD" w:rsidRDefault="00C32FCD" w:rsidP="00C32FCD">
      <w:pPr>
        <w:jc w:val="left"/>
        <w:rPr>
          <w:b/>
          <w:bCs/>
          <w:color w:val="2E74B5"/>
          <w:sz w:val="26"/>
          <w:szCs w:val="26"/>
        </w:rPr>
      </w:pPr>
      <w:bookmarkStart w:id="6" w:name="The_written_submissions"/>
      <w:bookmarkEnd w:id="6"/>
      <w:r>
        <w:rPr>
          <w:color w:val="2E74B5"/>
        </w:rPr>
        <w:br w:type="page"/>
      </w:r>
    </w:p>
    <w:p w14:paraId="037AC386" w14:textId="212BB60C" w:rsidR="0025250A" w:rsidRDefault="00AC6E03" w:rsidP="00C32FCD">
      <w:pPr>
        <w:pStyle w:val="Heading1"/>
        <w:spacing w:before="59" w:line="296" w:lineRule="exact"/>
        <w:ind w:left="0"/>
      </w:pPr>
      <w:r>
        <w:rPr>
          <w:color w:val="2E74B5"/>
        </w:rPr>
        <w:lastRenderedPageBreak/>
        <w:t>The</w:t>
      </w:r>
      <w:r>
        <w:rPr>
          <w:color w:val="2E74B5"/>
          <w:spacing w:val="-5"/>
        </w:rPr>
        <w:t xml:space="preserve"> </w:t>
      </w:r>
      <w:r>
        <w:rPr>
          <w:color w:val="2E74B5"/>
        </w:rPr>
        <w:t>written</w:t>
      </w:r>
      <w:r>
        <w:rPr>
          <w:color w:val="2E74B5"/>
          <w:spacing w:val="-5"/>
        </w:rPr>
        <w:t xml:space="preserve"> </w:t>
      </w:r>
      <w:r>
        <w:rPr>
          <w:color w:val="2E74B5"/>
          <w:spacing w:val="-2"/>
        </w:rPr>
        <w:t>submissions</w:t>
      </w:r>
    </w:p>
    <w:p w14:paraId="037AC387" w14:textId="349CD96E" w:rsidR="0025250A" w:rsidRDefault="00AC6E03" w:rsidP="00C32FCD">
      <w:pPr>
        <w:pStyle w:val="BodyText"/>
        <w:spacing w:line="273" w:lineRule="exact"/>
        <w:ind w:left="0"/>
      </w:pPr>
      <w:r>
        <w:t>Please</w:t>
      </w:r>
      <w:r>
        <w:rPr>
          <w:spacing w:val="-5"/>
        </w:rPr>
        <w:t xml:space="preserve"> </w:t>
      </w:r>
      <w:r>
        <w:t>note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filing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submissions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2"/>
        </w:rPr>
        <w:t>matter</w:t>
      </w:r>
      <w:r w:rsidR="000F36C6">
        <w:rPr>
          <w:spacing w:val="-2"/>
        </w:rPr>
        <w:t>, unless otherwise directed by the Court</w:t>
      </w:r>
      <w:r>
        <w:rPr>
          <w:spacing w:val="-2"/>
        </w:rPr>
        <w:t>:</w:t>
      </w:r>
    </w:p>
    <w:p w14:paraId="037AC388" w14:textId="63721D6C" w:rsidR="0025250A" w:rsidRDefault="00AC6E03" w:rsidP="00B61398">
      <w:pPr>
        <w:pStyle w:val="ListParagraph"/>
        <w:numPr>
          <w:ilvl w:val="0"/>
          <w:numId w:val="1"/>
        </w:numPr>
        <w:tabs>
          <w:tab w:val="left" w:pos="840"/>
        </w:tabs>
        <w:ind w:right="0" w:hanging="414"/>
        <w:rPr>
          <w:sz w:val="24"/>
        </w:rPr>
      </w:pPr>
      <w:r>
        <w:rPr>
          <w:sz w:val="24"/>
        </w:rPr>
        <w:t>Rule</w:t>
      </w:r>
      <w:r>
        <w:rPr>
          <w:spacing w:val="-3"/>
          <w:sz w:val="24"/>
        </w:rPr>
        <w:t xml:space="preserve"> </w:t>
      </w:r>
      <w:r>
        <w:rPr>
          <w:sz w:val="24"/>
        </w:rPr>
        <w:t>44.02</w:t>
      </w:r>
      <w:r>
        <w:rPr>
          <w:spacing w:val="-2"/>
          <w:sz w:val="24"/>
        </w:rPr>
        <w:t xml:space="preserve"> </w:t>
      </w:r>
      <w:r>
        <w:rPr>
          <w:sz w:val="24"/>
        </w:rPr>
        <w:t>requires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appellant to</w:t>
      </w:r>
      <w:r>
        <w:rPr>
          <w:spacing w:val="-2"/>
          <w:sz w:val="24"/>
        </w:rPr>
        <w:t xml:space="preserve"> </w:t>
      </w:r>
      <w:r>
        <w:rPr>
          <w:sz w:val="24"/>
        </w:rPr>
        <w:t>lodge its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7"/>
          <w:sz w:val="24"/>
        </w:rPr>
        <w:t xml:space="preserve"> </w:t>
      </w:r>
      <w:r>
        <w:rPr>
          <w:sz w:val="24"/>
        </w:rPr>
        <w:t>submissions</w:t>
      </w:r>
      <w:r>
        <w:rPr>
          <w:spacing w:val="-4"/>
          <w:sz w:val="24"/>
        </w:rPr>
        <w:t xml:space="preserve"> </w:t>
      </w:r>
      <w:r>
        <w:rPr>
          <w:sz w:val="24"/>
        </w:rPr>
        <w:t>(Form</w:t>
      </w:r>
      <w:r>
        <w:rPr>
          <w:spacing w:val="-10"/>
          <w:sz w:val="24"/>
        </w:rPr>
        <w:t xml:space="preserve"> </w:t>
      </w:r>
      <w:r>
        <w:rPr>
          <w:sz w:val="24"/>
        </w:rPr>
        <w:t>27A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not exceeding 20 pages) and a chronology (Form 27B) within 49 days of the grant of special leave</w:t>
      </w:r>
      <w:r w:rsidR="002D251B">
        <w:rPr>
          <w:sz w:val="24"/>
        </w:rPr>
        <w:t>.</w:t>
      </w:r>
    </w:p>
    <w:p w14:paraId="037AC389" w14:textId="3F3DC32C" w:rsidR="0025250A" w:rsidRDefault="00AC6E03" w:rsidP="00B61398">
      <w:pPr>
        <w:pStyle w:val="ListParagraph"/>
        <w:numPr>
          <w:ilvl w:val="0"/>
          <w:numId w:val="1"/>
        </w:numPr>
        <w:tabs>
          <w:tab w:val="left" w:pos="840"/>
        </w:tabs>
        <w:spacing w:before="0"/>
        <w:ind w:right="0" w:hanging="414"/>
        <w:rPr>
          <w:sz w:val="24"/>
        </w:rPr>
      </w:pPr>
      <w:r>
        <w:rPr>
          <w:sz w:val="24"/>
        </w:rPr>
        <w:t>Rule</w:t>
      </w:r>
      <w:r>
        <w:rPr>
          <w:spacing w:val="-3"/>
          <w:sz w:val="24"/>
        </w:rPr>
        <w:t xml:space="preserve"> </w:t>
      </w:r>
      <w:r>
        <w:rPr>
          <w:sz w:val="24"/>
        </w:rPr>
        <w:t>44.03</w:t>
      </w:r>
      <w:r>
        <w:rPr>
          <w:spacing w:val="-2"/>
          <w:sz w:val="24"/>
        </w:rPr>
        <w:t xml:space="preserve"> </w:t>
      </w:r>
      <w:r>
        <w:rPr>
          <w:sz w:val="24"/>
        </w:rPr>
        <w:t>requires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respondent to</w:t>
      </w:r>
      <w:r>
        <w:rPr>
          <w:spacing w:val="-2"/>
          <w:sz w:val="24"/>
        </w:rPr>
        <w:t xml:space="preserve"> </w:t>
      </w:r>
      <w:r>
        <w:rPr>
          <w:sz w:val="24"/>
        </w:rPr>
        <w:t>lodge its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7"/>
          <w:sz w:val="24"/>
        </w:rPr>
        <w:t xml:space="preserve"> </w:t>
      </w:r>
      <w:r>
        <w:rPr>
          <w:sz w:val="24"/>
        </w:rPr>
        <w:t>submissions</w:t>
      </w:r>
      <w:r>
        <w:rPr>
          <w:spacing w:val="-4"/>
          <w:sz w:val="24"/>
        </w:rPr>
        <w:t xml:space="preserve"> </w:t>
      </w:r>
      <w:r>
        <w:rPr>
          <w:sz w:val="24"/>
        </w:rPr>
        <w:t>(Form</w:t>
      </w:r>
      <w:r>
        <w:rPr>
          <w:spacing w:val="-11"/>
          <w:sz w:val="24"/>
        </w:rPr>
        <w:t xml:space="preserve"> </w:t>
      </w:r>
      <w:r>
        <w:rPr>
          <w:sz w:val="24"/>
        </w:rPr>
        <w:t>27D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and not exceeding 20 pages) within 28 days of service of the appellant's written </w:t>
      </w:r>
      <w:r>
        <w:rPr>
          <w:spacing w:val="-2"/>
          <w:sz w:val="24"/>
        </w:rPr>
        <w:t>submissions</w:t>
      </w:r>
      <w:r w:rsidR="002D251B">
        <w:rPr>
          <w:spacing w:val="-2"/>
          <w:sz w:val="24"/>
        </w:rPr>
        <w:t>.</w:t>
      </w:r>
    </w:p>
    <w:p w14:paraId="037AC38A" w14:textId="769D11B1" w:rsidR="0025250A" w:rsidRDefault="00AC6E03" w:rsidP="00B61398">
      <w:pPr>
        <w:pStyle w:val="ListParagraph"/>
        <w:numPr>
          <w:ilvl w:val="0"/>
          <w:numId w:val="1"/>
        </w:numPr>
        <w:tabs>
          <w:tab w:val="left" w:pos="840"/>
        </w:tabs>
        <w:spacing w:line="237" w:lineRule="auto"/>
        <w:ind w:right="0" w:hanging="414"/>
        <w:rPr>
          <w:sz w:val="24"/>
        </w:rPr>
      </w:pPr>
      <w:r>
        <w:rPr>
          <w:sz w:val="24"/>
        </w:rPr>
        <w:t>Rule 44.05 provides that an appellant may</w:t>
      </w:r>
      <w:r>
        <w:rPr>
          <w:spacing w:val="-1"/>
          <w:sz w:val="24"/>
        </w:rPr>
        <w:t xml:space="preserve"> </w:t>
      </w:r>
      <w:r>
        <w:rPr>
          <w:sz w:val="24"/>
        </w:rPr>
        <w:t>also lodge a reply (Form 27E and not exceeding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pages)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7"/>
          <w:sz w:val="24"/>
        </w:rPr>
        <w:t xml:space="preserve"> </w:t>
      </w:r>
      <w:r>
        <w:rPr>
          <w:sz w:val="24"/>
        </w:rPr>
        <w:t>21</w:t>
      </w:r>
      <w:r>
        <w:rPr>
          <w:spacing w:val="-3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respondent's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7"/>
          <w:sz w:val="24"/>
        </w:rPr>
        <w:t xml:space="preserve"> </w:t>
      </w:r>
      <w:r>
        <w:rPr>
          <w:sz w:val="24"/>
        </w:rPr>
        <w:t>submissions being filed.</w:t>
      </w:r>
    </w:p>
    <w:p w14:paraId="02BCAD83" w14:textId="1E759D99" w:rsidR="00C32FCD" w:rsidRDefault="00C32FCD" w:rsidP="00B61398">
      <w:pPr>
        <w:pStyle w:val="ListParagraph"/>
        <w:numPr>
          <w:ilvl w:val="0"/>
          <w:numId w:val="1"/>
        </w:numPr>
        <w:tabs>
          <w:tab w:val="left" w:pos="840"/>
        </w:tabs>
        <w:spacing w:line="237" w:lineRule="auto"/>
        <w:ind w:right="0" w:hanging="414"/>
        <w:rPr>
          <w:sz w:val="24"/>
        </w:rPr>
      </w:pPr>
      <w:r>
        <w:rPr>
          <w:sz w:val="24"/>
        </w:rPr>
        <w:t>Practice Direction 1 of 2019 requires an annexure to written submissions.</w:t>
      </w:r>
    </w:p>
    <w:p w14:paraId="037AC38B" w14:textId="77777777" w:rsidR="0025250A" w:rsidRDefault="0025250A" w:rsidP="00C32FCD">
      <w:pPr>
        <w:pStyle w:val="BodyText"/>
        <w:spacing w:before="1"/>
        <w:ind w:left="0"/>
      </w:pPr>
    </w:p>
    <w:p w14:paraId="037AC38C" w14:textId="70BDF9CD" w:rsidR="0025250A" w:rsidRDefault="00AC6E03" w:rsidP="00C32FCD">
      <w:pPr>
        <w:pStyle w:val="BodyText"/>
        <w:ind w:left="0"/>
      </w:pPr>
      <w:r>
        <w:t>The</w:t>
      </w:r>
      <w:r>
        <w:rPr>
          <w:spacing w:val="-2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regards</w:t>
      </w:r>
      <w:r>
        <w:rPr>
          <w:spacing w:val="-3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44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extremely</w:t>
      </w:r>
      <w:r>
        <w:rPr>
          <w:spacing w:val="-1"/>
        </w:rPr>
        <w:t xml:space="preserve"> </w:t>
      </w:r>
      <w:r>
        <w:t>important and variations to</w:t>
      </w:r>
      <w:r>
        <w:rPr>
          <w:spacing w:val="-2"/>
        </w:rPr>
        <w:t xml:space="preserve"> </w:t>
      </w:r>
      <w:r>
        <w:t>those requirements will</w:t>
      </w:r>
      <w:r w:rsidR="00902BC4">
        <w:t xml:space="preserve"> only </w:t>
      </w:r>
      <w:r>
        <w:t>be made in</w:t>
      </w:r>
      <w:r>
        <w:rPr>
          <w:spacing w:val="-1"/>
        </w:rPr>
        <w:t xml:space="preserve"> </w:t>
      </w:r>
      <w:r>
        <w:t>limited circumstances. Applications for extensions of time (or to increase page limit</w:t>
      </w:r>
      <w:r w:rsidR="00902BC4">
        <w:t>s</w:t>
      </w:r>
      <w:r>
        <w:t>) should therefore only be made in</w:t>
      </w:r>
      <w:r>
        <w:rPr>
          <w:spacing w:val="40"/>
        </w:rPr>
        <w:t xml:space="preserve"> </w:t>
      </w:r>
      <w:r>
        <w:t>exceptional</w:t>
      </w:r>
      <w:r>
        <w:rPr>
          <w:spacing w:val="-2"/>
        </w:rPr>
        <w:t xml:space="preserve"> </w:t>
      </w:r>
      <w:r w:rsidR="00902BC4">
        <w:t>circumstances</w:t>
      </w:r>
      <w:r>
        <w:t>. They will be considered by</w:t>
      </w:r>
      <w:r>
        <w:rPr>
          <w:spacing w:val="-3"/>
        </w:rPr>
        <w:t xml:space="preserve"> </w:t>
      </w:r>
      <w:r>
        <w:t>the Court or a Justice and may be listed for hearing in open Court. Applications for extensions of time (or to increase page limit</w:t>
      </w:r>
      <w:r w:rsidR="00902BC4">
        <w:t>s</w:t>
      </w:r>
      <w:r>
        <w:t xml:space="preserve">) should be made </w:t>
      </w:r>
      <w:r w:rsidR="00902BC4">
        <w:t xml:space="preserve">by </w:t>
      </w:r>
      <w:r>
        <w:t>lodging an</w:t>
      </w:r>
      <w:r>
        <w:rPr>
          <w:spacing w:val="-5"/>
        </w:rPr>
        <w:t xml:space="preserve"> </w:t>
      </w:r>
      <w:r>
        <w:t>affidavit setting out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grounds 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extension</w:t>
      </w:r>
      <w:r>
        <w:rPr>
          <w:spacing w:val="-5"/>
        </w:rPr>
        <w:t xml:space="preserve"> </w:t>
      </w:r>
      <w:r w:rsidR="00902BC4">
        <w:rPr>
          <w:spacing w:val="-5"/>
        </w:rPr>
        <w:t xml:space="preserve">(or page limit increase) </w:t>
      </w:r>
      <w:r>
        <w:t>and the</w:t>
      </w:r>
      <w:r>
        <w:rPr>
          <w:spacing w:val="-1"/>
        </w:rPr>
        <w:t xml:space="preserve"> </w:t>
      </w:r>
      <w:r>
        <w:t>reasons, if</w:t>
      </w:r>
      <w:r>
        <w:rPr>
          <w:spacing w:val="-9"/>
        </w:rPr>
        <w:t xml:space="preserve"> </w:t>
      </w:r>
      <w:r>
        <w:t>any,</w:t>
      </w:r>
      <w:r>
        <w:rPr>
          <w:spacing w:val="3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the costs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application</w:t>
      </w:r>
      <w:r>
        <w:rPr>
          <w:spacing w:val="-4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borne</w:t>
      </w:r>
      <w:r>
        <w:rPr>
          <w:spacing w:val="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 party</w:t>
      </w:r>
      <w:r>
        <w:rPr>
          <w:spacing w:val="-8"/>
        </w:rPr>
        <w:t xml:space="preserve"> </w:t>
      </w:r>
      <w:r>
        <w:t>seeking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variation.</w:t>
      </w:r>
    </w:p>
    <w:p w14:paraId="037AC38D" w14:textId="77777777" w:rsidR="0025250A" w:rsidRDefault="0025250A" w:rsidP="00C32FCD">
      <w:pPr>
        <w:pStyle w:val="BodyText"/>
        <w:ind w:left="0"/>
      </w:pPr>
    </w:p>
    <w:p w14:paraId="037AC38E" w14:textId="77777777" w:rsidR="0025250A" w:rsidRDefault="00AC6E03" w:rsidP="00C32FCD">
      <w:pPr>
        <w:pStyle w:val="BodyText"/>
        <w:spacing w:before="1"/>
        <w:ind w:left="0"/>
      </w:pPr>
      <w:r>
        <w:t>Please</w:t>
      </w:r>
      <w:r>
        <w:rPr>
          <w:spacing w:val="-2"/>
        </w:rPr>
        <w:t xml:space="preserve"> </w:t>
      </w:r>
      <w:r>
        <w:t>note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Court publishes</w:t>
      </w:r>
      <w:r>
        <w:rPr>
          <w:spacing w:val="-3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submissions lodged in</w:t>
      </w:r>
      <w:r>
        <w:rPr>
          <w:spacing w:val="-6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Court matters. Rule 44.07 therefore requires that the written submissions and chronology include a certification that each is in a form suitable for publication.</w:t>
      </w:r>
    </w:p>
    <w:p w14:paraId="037AC38F" w14:textId="77777777" w:rsidR="0025250A" w:rsidRDefault="0025250A" w:rsidP="00C32FCD">
      <w:pPr>
        <w:pStyle w:val="BodyText"/>
        <w:spacing w:before="43"/>
        <w:ind w:left="0"/>
      </w:pPr>
    </w:p>
    <w:p w14:paraId="037AC390" w14:textId="77777777" w:rsidR="0025250A" w:rsidRDefault="00AC6E03" w:rsidP="00C32FCD">
      <w:pPr>
        <w:pStyle w:val="Heading1"/>
        <w:ind w:left="0"/>
      </w:pPr>
      <w:bookmarkStart w:id="7" w:name="Redacted_documents"/>
      <w:bookmarkEnd w:id="7"/>
      <w:r>
        <w:rPr>
          <w:color w:val="2E74B5"/>
        </w:rPr>
        <w:t>Redacted</w:t>
      </w:r>
      <w:r>
        <w:rPr>
          <w:color w:val="2E74B5"/>
          <w:spacing w:val="-10"/>
        </w:rPr>
        <w:t xml:space="preserve"> </w:t>
      </w:r>
      <w:r>
        <w:rPr>
          <w:color w:val="2E74B5"/>
          <w:spacing w:val="-2"/>
        </w:rPr>
        <w:t>documents</w:t>
      </w:r>
    </w:p>
    <w:p w14:paraId="037AC391" w14:textId="77777777" w:rsidR="0025250A" w:rsidRDefault="00AC6E03" w:rsidP="00C32FCD">
      <w:pPr>
        <w:pStyle w:val="BodyText"/>
        <w:ind w:left="0"/>
      </w:pPr>
      <w:r>
        <w:t>A</w:t>
      </w:r>
      <w:r>
        <w:rPr>
          <w:spacing w:val="-6"/>
        </w:rPr>
        <w:t xml:space="preserve"> </w:t>
      </w:r>
      <w:r>
        <w:t>redacted</w:t>
      </w:r>
      <w:r>
        <w:rPr>
          <w:spacing w:val="-1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document suitable for publication</w:t>
      </w:r>
      <w:r>
        <w:rPr>
          <w:spacing w:val="-6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accompany</w:t>
      </w:r>
      <w:r>
        <w:rPr>
          <w:spacing w:val="-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submissions and chronology if required.</w:t>
      </w:r>
      <w:r>
        <w:rPr>
          <w:spacing w:val="80"/>
        </w:rPr>
        <w:t xml:space="preserve"> </w:t>
      </w:r>
      <w:r>
        <w:t>The parties should consider whether it is necessary</w:t>
      </w:r>
      <w:r>
        <w:rPr>
          <w:spacing w:val="-3"/>
        </w:rPr>
        <w:t xml:space="preserve"> </w:t>
      </w:r>
      <w:r>
        <w:t>to provide any redacted books suitable for inspection at the time of filing any books.</w:t>
      </w:r>
    </w:p>
    <w:p w14:paraId="037AC392" w14:textId="77777777" w:rsidR="0025250A" w:rsidRDefault="0025250A" w:rsidP="00C32FCD">
      <w:pPr>
        <w:pStyle w:val="BodyText"/>
        <w:spacing w:before="43"/>
        <w:ind w:left="0"/>
      </w:pPr>
    </w:p>
    <w:p w14:paraId="037AC393" w14:textId="77777777" w:rsidR="0025250A" w:rsidRDefault="00AC6E03" w:rsidP="00C32FCD">
      <w:pPr>
        <w:pStyle w:val="Heading1"/>
        <w:spacing w:line="296" w:lineRule="exact"/>
        <w:ind w:left="0"/>
      </w:pPr>
      <w:bookmarkStart w:id="8" w:name="Book_of_further_materials"/>
      <w:bookmarkEnd w:id="8"/>
      <w:r>
        <w:rPr>
          <w:color w:val="2E74B5"/>
        </w:rPr>
        <w:t>Book</w:t>
      </w:r>
      <w:r>
        <w:rPr>
          <w:color w:val="2E74B5"/>
          <w:spacing w:val="-6"/>
        </w:rPr>
        <w:t xml:space="preserve"> </w:t>
      </w:r>
      <w:r>
        <w:rPr>
          <w:color w:val="2E74B5"/>
        </w:rPr>
        <w:t>of</w:t>
      </w:r>
      <w:r>
        <w:rPr>
          <w:color w:val="2E74B5"/>
          <w:spacing w:val="-5"/>
        </w:rPr>
        <w:t xml:space="preserve"> </w:t>
      </w:r>
      <w:r>
        <w:rPr>
          <w:color w:val="2E74B5"/>
        </w:rPr>
        <w:t>further</w:t>
      </w:r>
      <w:r>
        <w:rPr>
          <w:color w:val="2E74B5"/>
          <w:spacing w:val="-1"/>
        </w:rPr>
        <w:t xml:space="preserve"> </w:t>
      </w:r>
      <w:r>
        <w:rPr>
          <w:color w:val="2E74B5"/>
          <w:spacing w:val="-2"/>
        </w:rPr>
        <w:t>materials</w:t>
      </w:r>
    </w:p>
    <w:p w14:paraId="037AC394" w14:textId="5BC61F30" w:rsidR="0025250A" w:rsidRDefault="00AC6E03" w:rsidP="00C32FCD">
      <w:pPr>
        <w:pStyle w:val="BodyText"/>
        <w:ind w:left="0"/>
      </w:pPr>
      <w:r>
        <w:t>The appellant and the respondent will each lodge with their written submissions an indexed book of further material comprising any additional lower court material (including oral and documentary</w:t>
      </w:r>
      <w:r>
        <w:rPr>
          <w:spacing w:val="-11"/>
        </w:rPr>
        <w:t xml:space="preserve"> </w:t>
      </w:r>
      <w:r>
        <w:t>evidence) to which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intends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refer 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hearing. Written</w:t>
      </w:r>
      <w:r>
        <w:rPr>
          <w:spacing w:val="-7"/>
        </w:rPr>
        <w:t xml:space="preserve"> </w:t>
      </w:r>
      <w:r>
        <w:t>submissions will be annotated to refer to the documents reproduced in the core appeal book and to the books</w:t>
      </w:r>
      <w:r>
        <w:rPr>
          <w:spacing w:val="-1"/>
        </w:rPr>
        <w:t xml:space="preserve"> </w:t>
      </w:r>
      <w:r>
        <w:t>of further materials lodged by</w:t>
      </w:r>
      <w:r>
        <w:rPr>
          <w:spacing w:val="-5"/>
        </w:rPr>
        <w:t xml:space="preserve"> </w:t>
      </w:r>
      <w:r>
        <w:t xml:space="preserve">the parties. </w:t>
      </w:r>
      <w:r w:rsidR="00902BC4">
        <w:t xml:space="preserve">An </w:t>
      </w:r>
      <w:r>
        <w:t xml:space="preserve">information sheet on preparing the core appeal book, books of further materials and the joint book of authorities is available </w:t>
      </w:r>
      <w:hyperlink r:id="rId12" w:history="1">
        <w:r w:rsidR="002D251B" w:rsidRPr="007E7AF3">
          <w:rPr>
            <w:rStyle w:val="Hyperlink"/>
          </w:rPr>
          <w:t>https://www.hcourt.gov.au/registry/information-sheets/information-sheets</w:t>
        </w:r>
      </w:hyperlink>
      <w:r w:rsidR="002D251B">
        <w:t xml:space="preserve"> a</w:t>
      </w:r>
      <w:r>
        <w:t xml:space="preserve">nd provides some guidance </w:t>
      </w:r>
      <w:r w:rsidR="00902BC4">
        <w:t xml:space="preserve">on </w:t>
      </w:r>
      <w:r>
        <w:t>how to prepare the books of further materials.</w:t>
      </w:r>
    </w:p>
    <w:p w14:paraId="037AC395" w14:textId="77777777" w:rsidR="0025250A" w:rsidRDefault="0025250A" w:rsidP="00C32FCD">
      <w:pPr>
        <w:pStyle w:val="BodyText"/>
        <w:spacing w:before="43"/>
        <w:ind w:left="0"/>
      </w:pPr>
    </w:p>
    <w:p w14:paraId="037AC396" w14:textId="77777777" w:rsidR="0025250A" w:rsidRDefault="00AC6E03" w:rsidP="00C32FCD">
      <w:pPr>
        <w:pStyle w:val="Heading1"/>
        <w:spacing w:line="296" w:lineRule="exact"/>
        <w:ind w:left="0"/>
      </w:pPr>
      <w:bookmarkStart w:id="9" w:name="Joint_book_of_authorities"/>
      <w:bookmarkEnd w:id="9"/>
      <w:r>
        <w:rPr>
          <w:color w:val="2E74B5"/>
        </w:rPr>
        <w:t>Joint</w:t>
      </w:r>
      <w:r>
        <w:rPr>
          <w:color w:val="2E74B5"/>
          <w:spacing w:val="-1"/>
        </w:rPr>
        <w:t xml:space="preserve"> </w:t>
      </w:r>
      <w:r>
        <w:rPr>
          <w:color w:val="2E74B5"/>
        </w:rPr>
        <w:t>book</w:t>
      </w:r>
      <w:r>
        <w:rPr>
          <w:color w:val="2E74B5"/>
          <w:spacing w:val="-5"/>
        </w:rPr>
        <w:t xml:space="preserve"> </w:t>
      </w:r>
      <w:r>
        <w:rPr>
          <w:color w:val="2E74B5"/>
        </w:rPr>
        <w:t>of</w:t>
      </w:r>
      <w:r>
        <w:rPr>
          <w:color w:val="2E74B5"/>
          <w:spacing w:val="-9"/>
        </w:rPr>
        <w:t xml:space="preserve"> </w:t>
      </w:r>
      <w:r>
        <w:rPr>
          <w:color w:val="2E74B5"/>
          <w:spacing w:val="-2"/>
        </w:rPr>
        <w:t>authorities</w:t>
      </w:r>
    </w:p>
    <w:p w14:paraId="037AC397" w14:textId="77777777" w:rsidR="0025250A" w:rsidRDefault="00AC6E03" w:rsidP="00C32FCD">
      <w:pPr>
        <w:pStyle w:val="BodyText"/>
        <w:ind w:left="0"/>
      </w:pPr>
      <w:r>
        <w:t>Practice Direction No 1 of 2019 prescribes the form and content of the joint book</w:t>
      </w:r>
      <w:r>
        <w:rPr>
          <w:spacing w:val="-1"/>
        </w:rPr>
        <w:t xml:space="preserve"> </w:t>
      </w:r>
      <w:r>
        <w:t>of authorities.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Practice</w:t>
      </w:r>
      <w:r>
        <w:rPr>
          <w:spacing w:val="-7"/>
        </w:rPr>
        <w:t xml:space="preserve"> </w:t>
      </w:r>
      <w:r>
        <w:t>Direction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here:</w:t>
      </w:r>
      <w:r>
        <w:rPr>
          <w:spacing w:val="-5"/>
        </w:rPr>
        <w:t xml:space="preserve"> </w:t>
      </w:r>
      <w:hyperlink r:id="rId13">
        <w:r>
          <w:rPr>
            <w:color w:val="0563C1"/>
            <w:u w:val="single" w:color="0563C1"/>
          </w:rPr>
          <w:t>http://www.hcourt.gov.au/registry/filing-</w:t>
        </w:r>
      </w:hyperlink>
      <w:r>
        <w:rPr>
          <w:color w:val="0563C1"/>
        </w:rPr>
        <w:t xml:space="preserve"> </w:t>
      </w:r>
      <w:hyperlink r:id="rId14">
        <w:r>
          <w:rPr>
            <w:color w:val="0563C1"/>
            <w:u w:val="single" w:color="0563C1"/>
          </w:rPr>
          <w:t>documents/practice-directions</w:t>
        </w:r>
        <w:r>
          <w:t>.</w:t>
        </w:r>
      </w:hyperlink>
      <w:r>
        <w:rPr>
          <w:spacing w:val="40"/>
        </w:rPr>
        <w:t xml:space="preserve"> </w:t>
      </w:r>
      <w:r>
        <w:t>The appellant must prepare, in consultation with the respondent and any interveners, a joint book of authorities to which reference will be made during the course of oral argument at the hearing of the appeal.</w:t>
      </w:r>
    </w:p>
    <w:p w14:paraId="037AC398" w14:textId="77777777" w:rsidR="0025250A" w:rsidRDefault="00AC6E03" w:rsidP="00C32FCD">
      <w:pPr>
        <w:pStyle w:val="BodyText"/>
        <w:spacing w:before="273" w:line="242" w:lineRule="auto"/>
        <w:ind w:left="0"/>
      </w:pPr>
      <w:r>
        <w:t>The</w:t>
      </w:r>
      <w:r>
        <w:rPr>
          <w:spacing w:val="-3"/>
        </w:rPr>
        <w:t xml:space="preserve"> </w:t>
      </w:r>
      <w:r>
        <w:t>appellant must lodge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book</w:t>
      </w:r>
      <w:r>
        <w:rPr>
          <w:spacing w:val="-7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 limited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44.05.2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 filing of a reply.</w:t>
      </w:r>
    </w:p>
    <w:sectPr w:rsidR="0025250A" w:rsidSect="00C32FCD">
      <w:footerReference w:type="default" r:id="rId15"/>
      <w:pgSz w:w="11910" w:h="16840"/>
      <w:pgMar w:top="1134" w:right="1340" w:bottom="567" w:left="1320" w:header="720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3A8B9" w14:textId="77777777" w:rsidR="00931DA0" w:rsidRDefault="00931DA0" w:rsidP="00C84C00">
      <w:r>
        <w:separator/>
      </w:r>
    </w:p>
  </w:endnote>
  <w:endnote w:type="continuationSeparator" w:id="0">
    <w:p w14:paraId="357DF878" w14:textId="77777777" w:rsidR="00931DA0" w:rsidRDefault="00931DA0" w:rsidP="00C8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D697" w14:textId="151217B6" w:rsidR="00C84C00" w:rsidRPr="008C10BF" w:rsidRDefault="008C10BF">
    <w:pPr>
      <w:pStyle w:val="Footer"/>
      <w:rPr>
        <w:sz w:val="16"/>
        <w:szCs w:val="16"/>
      </w:rPr>
    </w:pPr>
    <w:r w:rsidRPr="008C10BF">
      <w:rPr>
        <w:sz w:val="16"/>
        <w:szCs w:val="16"/>
      </w:rPr>
      <w:fldChar w:fldCharType="begin"/>
    </w:r>
    <w:r w:rsidRPr="008C10BF">
      <w:rPr>
        <w:sz w:val="16"/>
        <w:szCs w:val="16"/>
      </w:rPr>
      <w:instrText xml:space="preserve"> FILENAME  \p  \* MERGEFORMAT </w:instrText>
    </w:r>
    <w:r w:rsidRPr="008C10BF">
      <w:rPr>
        <w:sz w:val="16"/>
        <w:szCs w:val="16"/>
      </w:rPr>
      <w:fldChar w:fldCharType="separate"/>
    </w:r>
    <w:r w:rsidRPr="008C10BF">
      <w:rPr>
        <w:noProof/>
        <w:sz w:val="16"/>
        <w:szCs w:val="16"/>
      </w:rPr>
      <w:t>https://highcourt1-my.sharepoint.com/personal/ewill_hcourt_gov_au/Documents/Desktop/Info-SLA-Grant-ReferralDec2023.docx</w:t>
    </w:r>
    <w:r w:rsidRPr="008C10B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5BB3" w14:textId="77777777" w:rsidR="00931DA0" w:rsidRDefault="00931DA0" w:rsidP="00C84C00">
      <w:r>
        <w:separator/>
      </w:r>
    </w:p>
  </w:footnote>
  <w:footnote w:type="continuationSeparator" w:id="0">
    <w:p w14:paraId="7B45B896" w14:textId="77777777" w:rsidR="00931DA0" w:rsidRDefault="00931DA0" w:rsidP="00C8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0C6B"/>
    <w:multiLevelType w:val="hybridMultilevel"/>
    <w:tmpl w:val="40B60932"/>
    <w:lvl w:ilvl="0" w:tplc="2E5CE09A">
      <w:numFmt w:val="bullet"/>
      <w:lvlText w:val=""/>
      <w:lvlJc w:val="left"/>
      <w:pPr>
        <w:ind w:left="840" w:hanging="4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C36C7BE">
      <w:numFmt w:val="bullet"/>
      <w:lvlText w:val="•"/>
      <w:lvlJc w:val="left"/>
      <w:pPr>
        <w:ind w:left="1680" w:hanging="437"/>
      </w:pPr>
      <w:rPr>
        <w:rFonts w:hint="default"/>
        <w:lang w:val="en-US" w:eastAsia="en-US" w:bidi="ar-SA"/>
      </w:rPr>
    </w:lvl>
    <w:lvl w:ilvl="2" w:tplc="4B2E8332">
      <w:numFmt w:val="bullet"/>
      <w:lvlText w:val="•"/>
      <w:lvlJc w:val="left"/>
      <w:pPr>
        <w:ind w:left="2520" w:hanging="437"/>
      </w:pPr>
      <w:rPr>
        <w:rFonts w:hint="default"/>
        <w:lang w:val="en-US" w:eastAsia="en-US" w:bidi="ar-SA"/>
      </w:rPr>
    </w:lvl>
    <w:lvl w:ilvl="3" w:tplc="8CE48CAA">
      <w:numFmt w:val="bullet"/>
      <w:lvlText w:val="•"/>
      <w:lvlJc w:val="left"/>
      <w:pPr>
        <w:ind w:left="3361" w:hanging="437"/>
      </w:pPr>
      <w:rPr>
        <w:rFonts w:hint="default"/>
        <w:lang w:val="en-US" w:eastAsia="en-US" w:bidi="ar-SA"/>
      </w:rPr>
    </w:lvl>
    <w:lvl w:ilvl="4" w:tplc="B89E22E4">
      <w:numFmt w:val="bullet"/>
      <w:lvlText w:val="•"/>
      <w:lvlJc w:val="left"/>
      <w:pPr>
        <w:ind w:left="4201" w:hanging="437"/>
      </w:pPr>
      <w:rPr>
        <w:rFonts w:hint="default"/>
        <w:lang w:val="en-US" w:eastAsia="en-US" w:bidi="ar-SA"/>
      </w:rPr>
    </w:lvl>
    <w:lvl w:ilvl="5" w:tplc="02A6DE04">
      <w:numFmt w:val="bullet"/>
      <w:lvlText w:val="•"/>
      <w:lvlJc w:val="left"/>
      <w:pPr>
        <w:ind w:left="5042" w:hanging="437"/>
      </w:pPr>
      <w:rPr>
        <w:rFonts w:hint="default"/>
        <w:lang w:val="en-US" w:eastAsia="en-US" w:bidi="ar-SA"/>
      </w:rPr>
    </w:lvl>
    <w:lvl w:ilvl="6" w:tplc="D8DE6198">
      <w:numFmt w:val="bullet"/>
      <w:lvlText w:val="•"/>
      <w:lvlJc w:val="left"/>
      <w:pPr>
        <w:ind w:left="5882" w:hanging="437"/>
      </w:pPr>
      <w:rPr>
        <w:rFonts w:hint="default"/>
        <w:lang w:val="en-US" w:eastAsia="en-US" w:bidi="ar-SA"/>
      </w:rPr>
    </w:lvl>
    <w:lvl w:ilvl="7" w:tplc="6F0482EA">
      <w:numFmt w:val="bullet"/>
      <w:lvlText w:val="•"/>
      <w:lvlJc w:val="left"/>
      <w:pPr>
        <w:ind w:left="6722" w:hanging="437"/>
      </w:pPr>
      <w:rPr>
        <w:rFonts w:hint="default"/>
        <w:lang w:val="en-US" w:eastAsia="en-US" w:bidi="ar-SA"/>
      </w:rPr>
    </w:lvl>
    <w:lvl w:ilvl="8" w:tplc="E9306A26">
      <w:numFmt w:val="bullet"/>
      <w:lvlText w:val="•"/>
      <w:lvlJc w:val="left"/>
      <w:pPr>
        <w:ind w:left="7563" w:hanging="437"/>
      </w:pPr>
      <w:rPr>
        <w:rFonts w:hint="default"/>
        <w:lang w:val="en-US" w:eastAsia="en-US" w:bidi="ar-SA"/>
      </w:rPr>
    </w:lvl>
  </w:abstractNum>
  <w:num w:numId="1" w16cid:durableId="2068334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0A"/>
    <w:rsid w:val="000836EE"/>
    <w:rsid w:val="000F36C6"/>
    <w:rsid w:val="001840A3"/>
    <w:rsid w:val="001E6C77"/>
    <w:rsid w:val="0025250A"/>
    <w:rsid w:val="002D251B"/>
    <w:rsid w:val="00525DBC"/>
    <w:rsid w:val="005A12D1"/>
    <w:rsid w:val="005B3EF1"/>
    <w:rsid w:val="00681C48"/>
    <w:rsid w:val="00881D24"/>
    <w:rsid w:val="008C10BF"/>
    <w:rsid w:val="00902BC4"/>
    <w:rsid w:val="00931DA0"/>
    <w:rsid w:val="00AC6E03"/>
    <w:rsid w:val="00B61398"/>
    <w:rsid w:val="00BB3BFD"/>
    <w:rsid w:val="00C32FCD"/>
    <w:rsid w:val="00C84C00"/>
    <w:rsid w:val="00CE597D"/>
    <w:rsid w:val="00D04A2E"/>
    <w:rsid w:val="00E93A76"/>
    <w:rsid w:val="00F14947"/>
    <w:rsid w:val="00FA7067"/>
    <w:rsid w:val="00FC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AC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C00"/>
    <w:pPr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98" w:lineRule="exact"/>
      <w:ind w:left="12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4C00"/>
    <w:pPr>
      <w:ind w:left="120"/>
    </w:pPr>
    <w:rPr>
      <w:sz w:val="24"/>
      <w:szCs w:val="24"/>
    </w:rPr>
  </w:style>
  <w:style w:type="paragraph" w:styleId="Title">
    <w:name w:val="Title"/>
    <w:basedOn w:val="Normal"/>
    <w:uiPriority w:val="10"/>
    <w:qFormat/>
    <w:rsid w:val="00E93A76"/>
    <w:pPr>
      <w:spacing w:before="88"/>
      <w:ind w:left="12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"/>
      <w:ind w:left="840" w:right="10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4C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C0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4C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C0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D25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ourt.gov.au/registry/filing-documents/high-court-of-australia-fees" TargetMode="External"/><Relationship Id="rId13" Type="http://schemas.openxmlformats.org/officeDocument/2006/relationships/hyperlink" Target="http://www.hcourt.gov.au/registry/filing-documents/practice-direc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hcourt.gov.au/registry/information-sheets/information-sheets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court.gov.au/registry/information-sheets/information-sheet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hcourt.gov.au/registry/information-sheets/information-she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court.gov.au/registry/filing-documents/registry_forms-2020" TargetMode="External"/><Relationship Id="rId14" Type="http://schemas.openxmlformats.org/officeDocument/2006/relationships/hyperlink" Target="http://www.hcourt.gov.au/registry/filing-documents/practice-dire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2023-12-22T00:36:00Z</dcterms:created>
  <dcterms:modified xsi:type="dcterms:W3CDTF">2023-12-22T00:36:00Z</dcterms:modified>
</cp:coreProperties>
</file>