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E8" w:rsidRPr="00B546B2" w:rsidRDefault="00C130E0" w:rsidP="009D0CE8">
      <w:pPr>
        <w:jc w:val="left"/>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rsidR="009D0CE8" w:rsidRPr="00B546B2" w:rsidRDefault="009D0CE8" w:rsidP="009D0CE8">
      <w:pPr>
        <w:jc w:val="center"/>
      </w:pPr>
    </w:p>
    <w:p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rsidR="009D0CE8" w:rsidRPr="00B546B2" w:rsidRDefault="009D0CE8" w:rsidP="009D0CE8"/>
    <w:p w:rsidR="009D0CE8" w:rsidRPr="00B546B2" w:rsidRDefault="009D0CE8" w:rsidP="009D0CE8">
      <w:pPr>
        <w:pStyle w:val="BullTitle2"/>
      </w:pPr>
      <w:r w:rsidRPr="00B546B2">
        <w:t xml:space="preserve">Produced by the Legal Research Officer, </w:t>
      </w:r>
      <w:r w:rsidRPr="00B546B2">
        <w:br/>
        <w:t>High Court of Australia Library</w:t>
      </w:r>
    </w:p>
    <w:p w:rsidR="009D0CE8" w:rsidRPr="00B546B2" w:rsidRDefault="009D0CE8" w:rsidP="009D0CE8">
      <w:pPr>
        <w:pStyle w:val="BullTitle3"/>
      </w:pPr>
    </w:p>
    <w:p w:rsidR="009D0CE8" w:rsidRPr="00B546B2" w:rsidRDefault="009D0CE8" w:rsidP="009D0CE8">
      <w:pPr>
        <w:pStyle w:val="BullTitle3"/>
      </w:pPr>
      <w:r w:rsidRPr="009B1B3F">
        <w:t>Volume 1</w:t>
      </w:r>
      <w:r w:rsidR="002936F6" w:rsidRPr="009B1B3F">
        <w:t>8</w:t>
      </w:r>
      <w:r w:rsidRPr="009B1B3F">
        <w:t xml:space="preserve"> Number </w:t>
      </w:r>
      <w:r w:rsidR="00D26387" w:rsidRPr="009B1B3F">
        <w:t>3</w:t>
      </w:r>
      <w:r w:rsidRPr="009B1B3F">
        <w:t xml:space="preserve"> (</w:t>
      </w:r>
      <w:r w:rsidR="00A7097D" w:rsidRPr="009B1B3F">
        <w:t xml:space="preserve">1 </w:t>
      </w:r>
      <w:r w:rsidR="00D26387" w:rsidRPr="009B1B3F">
        <w:t>May</w:t>
      </w:r>
      <w:r w:rsidR="007E4E01" w:rsidRPr="009B1B3F">
        <w:t xml:space="preserve"> –</w:t>
      </w:r>
      <w:r w:rsidR="00727206" w:rsidRPr="009B1B3F">
        <w:t xml:space="preserve"> </w:t>
      </w:r>
      <w:r w:rsidR="00D26387" w:rsidRPr="009B1B3F">
        <w:t>30 June</w:t>
      </w:r>
      <w:r w:rsidR="002B1A95" w:rsidRPr="009B1B3F">
        <w:t xml:space="preserve"> 20</w:t>
      </w:r>
      <w:r w:rsidR="00CE0463" w:rsidRPr="009B1B3F">
        <w:t>2</w:t>
      </w:r>
      <w:r w:rsidR="00725F4B" w:rsidRPr="009B1B3F">
        <w:t>1</w:t>
      </w:r>
      <w:r w:rsidRPr="009B1B3F">
        <w:t>)</w:t>
      </w:r>
    </w:p>
    <w:p w:rsidR="009D0CE8" w:rsidRPr="00B546B2" w:rsidRDefault="009D0CE8" w:rsidP="009D0CE8"/>
    <w:p w:rsidR="009D0CE8" w:rsidRPr="00B546B2" w:rsidRDefault="009D0CE8" w:rsidP="009D0CE8">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rsidR="009D0CE8" w:rsidRPr="00B546B2" w:rsidRDefault="009D0CE8" w:rsidP="009D0CE8">
      <w:pPr>
        <w:pStyle w:val="BullDivider2"/>
        <w:rPr>
          <w:rFonts w:cs="Arial"/>
          <w:highlight w:val="yellow"/>
        </w:rPr>
      </w:pPr>
    </w:p>
    <w:p w:rsidR="0089498B" w:rsidRDefault="0089498B" w:rsidP="0089498B"/>
    <w:p w:rsidR="0089498B" w:rsidRPr="00B20BAC" w:rsidRDefault="0089498B" w:rsidP="0089498B">
      <w:pPr>
        <w:pStyle w:val="Heading1"/>
      </w:pPr>
      <w:r>
        <w:t>Administrative Law</w:t>
      </w:r>
    </w:p>
    <w:p w:rsidR="004F1FFA" w:rsidRPr="003C6E2B" w:rsidRDefault="004F1FFA" w:rsidP="004F1FFA">
      <w:pPr>
        <w:rPr>
          <w:lang w:eastAsia="en-AU"/>
        </w:rPr>
      </w:pPr>
    </w:p>
    <w:p w:rsidR="004F1FFA" w:rsidRPr="00992ECF" w:rsidRDefault="00EA1E4E" w:rsidP="004F1FFA">
      <w:pPr>
        <w:pStyle w:val="Heading2"/>
        <w:rPr>
          <w:i w:val="0"/>
        </w:rPr>
      </w:pPr>
      <w:r>
        <w:t>Garland v Ming Dai; Garland v Alcaraz-Enriquez</w:t>
      </w:r>
    </w:p>
    <w:p w:rsidR="004F1FFA" w:rsidRPr="002F4F7E" w:rsidRDefault="004F1FFA" w:rsidP="004F1FFA">
      <w:pPr>
        <w:rPr>
          <w:lang w:eastAsia="en-AU"/>
        </w:rPr>
      </w:pPr>
      <w:r>
        <w:rPr>
          <w:b/>
          <w:lang w:eastAsia="en-AU"/>
        </w:rPr>
        <w:t>Supreme Court of the United States</w:t>
      </w:r>
      <w:r w:rsidRPr="002F4F7E">
        <w:rPr>
          <w:b/>
          <w:lang w:eastAsia="en-AU"/>
        </w:rPr>
        <w:t xml:space="preserve">: </w:t>
      </w:r>
      <w:hyperlink r:id="rId9" w:history="1">
        <w:r w:rsidR="00A00246">
          <w:rPr>
            <w:rStyle w:val="Hyperlink"/>
            <w:lang w:eastAsia="en-AU"/>
          </w:rPr>
          <w:t>Docket No.</w:t>
        </w:r>
        <w:r w:rsidR="00EA1E4E" w:rsidRPr="00EA1E4E">
          <w:rPr>
            <w:rStyle w:val="Hyperlink"/>
            <w:lang w:eastAsia="en-AU"/>
          </w:rPr>
          <w:t xml:space="preserve"> 19-115</w:t>
        </w:r>
        <w:r w:rsidR="00A00246">
          <w:rPr>
            <w:rStyle w:val="Hyperlink"/>
            <w:lang w:eastAsia="en-AU"/>
          </w:rPr>
          <w:t>5; 19-1156</w:t>
        </w:r>
      </w:hyperlink>
      <w:r w:rsidR="00A00246">
        <w:rPr>
          <w:lang w:eastAsia="en-AU"/>
        </w:rPr>
        <w:t xml:space="preserve"> </w:t>
      </w:r>
    </w:p>
    <w:p w:rsidR="004F1FFA" w:rsidRPr="002F4F7E" w:rsidRDefault="004F1FFA" w:rsidP="004F1FFA">
      <w:pPr>
        <w:rPr>
          <w:lang w:eastAsia="en-AU"/>
        </w:rPr>
      </w:pPr>
    </w:p>
    <w:p w:rsidR="004F1FFA" w:rsidRPr="002F4F7E" w:rsidRDefault="004F1FFA" w:rsidP="004F1FFA">
      <w:pPr>
        <w:rPr>
          <w:lang w:eastAsia="en-AU"/>
        </w:rPr>
      </w:pPr>
      <w:r w:rsidRPr="002F4F7E">
        <w:rPr>
          <w:b/>
          <w:lang w:eastAsia="en-AU"/>
        </w:rPr>
        <w:t>Judgment delivered:</w:t>
      </w:r>
      <w:r>
        <w:rPr>
          <w:lang w:eastAsia="en-AU"/>
        </w:rPr>
        <w:t xml:space="preserve"> </w:t>
      </w:r>
      <w:r w:rsidR="00EA1E4E">
        <w:rPr>
          <w:lang w:eastAsia="en-AU"/>
        </w:rPr>
        <w:t>1 June</w:t>
      </w:r>
      <w:r>
        <w:rPr>
          <w:lang w:eastAsia="en-AU"/>
        </w:rPr>
        <w:t xml:space="preserve"> 2021</w:t>
      </w:r>
    </w:p>
    <w:p w:rsidR="004F1FFA" w:rsidRPr="002F4F7E" w:rsidRDefault="004F1FFA" w:rsidP="004F1FFA">
      <w:pPr>
        <w:rPr>
          <w:lang w:eastAsia="en-AU"/>
        </w:rPr>
      </w:pPr>
    </w:p>
    <w:p w:rsidR="004F1FFA" w:rsidRPr="002F4F7E" w:rsidRDefault="004F1FFA" w:rsidP="004F1FFA">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4F1FFA" w:rsidRPr="002F4F7E" w:rsidRDefault="004F1FFA" w:rsidP="004F1FFA">
      <w:pPr>
        <w:rPr>
          <w:lang w:eastAsia="en-AU"/>
        </w:rPr>
      </w:pPr>
    </w:p>
    <w:p w:rsidR="004F1FFA" w:rsidRPr="002F4F7E" w:rsidRDefault="004F1FFA" w:rsidP="004F1FFA">
      <w:pPr>
        <w:rPr>
          <w:b/>
          <w:lang w:eastAsia="en-AU"/>
        </w:rPr>
      </w:pPr>
      <w:r>
        <w:rPr>
          <w:b/>
          <w:lang w:eastAsia="en-AU"/>
        </w:rPr>
        <w:t>Catchwords:</w:t>
      </w:r>
    </w:p>
    <w:p w:rsidR="004F1FFA" w:rsidRPr="00856E9C" w:rsidRDefault="004F1FFA" w:rsidP="004F1FFA">
      <w:pPr>
        <w:rPr>
          <w:b/>
          <w:highlight w:val="yellow"/>
          <w:lang w:eastAsia="en-AU"/>
        </w:rPr>
      </w:pPr>
    </w:p>
    <w:p w:rsidR="004F1FFA" w:rsidRPr="003C6E2B" w:rsidRDefault="004F1FFA" w:rsidP="004F1FFA">
      <w:pPr>
        <w:ind w:left="720"/>
        <w:rPr>
          <w:lang w:eastAsia="en-AU"/>
        </w:rPr>
      </w:pPr>
      <w:r>
        <w:rPr>
          <w:lang w:eastAsia="en-AU"/>
        </w:rPr>
        <w:t xml:space="preserve">Administrative law – </w:t>
      </w:r>
      <w:r w:rsidR="00EA1E4E">
        <w:rPr>
          <w:lang w:eastAsia="en-AU"/>
        </w:rPr>
        <w:t xml:space="preserve">Judicial review – </w:t>
      </w:r>
      <w:r w:rsidR="001C0207">
        <w:rPr>
          <w:lang w:eastAsia="en-AU"/>
        </w:rPr>
        <w:t>A</w:t>
      </w:r>
      <w:r w:rsidR="00EA1E4E">
        <w:rPr>
          <w:lang w:eastAsia="en-AU"/>
        </w:rPr>
        <w:t xml:space="preserve">dverse credibility determination – </w:t>
      </w:r>
      <w:r w:rsidR="0099424B">
        <w:rPr>
          <w:lang w:eastAsia="en-AU"/>
        </w:rPr>
        <w:t>“</w:t>
      </w:r>
      <w:r w:rsidR="001C0207">
        <w:rPr>
          <w:lang w:eastAsia="en-AU"/>
        </w:rPr>
        <w:t>Deemed credible or true</w:t>
      </w:r>
      <w:r w:rsidR="0099424B">
        <w:rPr>
          <w:lang w:eastAsia="en-AU"/>
        </w:rPr>
        <w:t>”</w:t>
      </w:r>
      <w:r w:rsidR="001C0207">
        <w:rPr>
          <w:lang w:eastAsia="en-AU"/>
        </w:rPr>
        <w:t xml:space="preserve"> rule – </w:t>
      </w:r>
      <w:r w:rsidR="00EA1E4E">
        <w:rPr>
          <w:lang w:eastAsia="en-AU"/>
        </w:rPr>
        <w:t xml:space="preserve">Where, in each case, foreign national sought relief from removal proceedings on ground that life or freedom would be threatened if returned to country of origin – Where immigration judge </w:t>
      </w:r>
      <w:r w:rsidR="001C0207">
        <w:rPr>
          <w:lang w:eastAsia="en-AU"/>
        </w:rPr>
        <w:t xml:space="preserve">held respondents ineligible for relief because of inconsistencies in testimony and evidence – Where Board of Immigration of Appeals affirmed – Where respondents sought judicial review – Where Ninth Circuit, applying own rule, granted relief, holding that reviewing court must treat non-citizen’s testimony as credible and true, absent explicit adverse credibility determination by immigration judge or Board – Whether Ninth Circuit’s </w:t>
      </w:r>
      <w:r w:rsidR="0099424B">
        <w:rPr>
          <w:lang w:eastAsia="en-AU"/>
        </w:rPr>
        <w:t>“</w:t>
      </w:r>
      <w:r w:rsidR="001C0207">
        <w:rPr>
          <w:lang w:eastAsia="en-AU"/>
        </w:rPr>
        <w:t>deemed credible or true</w:t>
      </w:r>
      <w:r w:rsidR="0099424B">
        <w:rPr>
          <w:lang w:eastAsia="en-AU"/>
        </w:rPr>
        <w:t>”</w:t>
      </w:r>
      <w:r w:rsidR="001C0207">
        <w:rPr>
          <w:lang w:eastAsia="en-AU"/>
        </w:rPr>
        <w:t xml:space="preserve"> rule consistent with common law or statute. </w:t>
      </w:r>
    </w:p>
    <w:p w:rsidR="004F1FFA" w:rsidRPr="00856E9C" w:rsidRDefault="004F1FFA" w:rsidP="004F1FFA">
      <w:pPr>
        <w:ind w:left="720"/>
        <w:rPr>
          <w:highlight w:val="yellow"/>
          <w:lang w:eastAsia="en-AU"/>
        </w:rPr>
      </w:pPr>
    </w:p>
    <w:p w:rsidR="004F1FFA" w:rsidRDefault="004F1FFA" w:rsidP="004F1FFA">
      <w:pPr>
        <w:rPr>
          <w:lang w:eastAsia="en-AU"/>
        </w:rPr>
      </w:pPr>
      <w:r w:rsidRPr="002F4F7E">
        <w:rPr>
          <w:b/>
          <w:lang w:eastAsia="en-AU"/>
        </w:rPr>
        <w:t>Held (</w:t>
      </w:r>
      <w:r>
        <w:rPr>
          <w:b/>
          <w:lang w:eastAsia="en-AU"/>
        </w:rPr>
        <w:t>9:0</w:t>
      </w:r>
      <w:r w:rsidRPr="002F4F7E">
        <w:rPr>
          <w:b/>
          <w:lang w:eastAsia="en-AU"/>
        </w:rPr>
        <w:t xml:space="preserve">): </w:t>
      </w:r>
      <w:r w:rsidR="00EA1E4E">
        <w:rPr>
          <w:lang w:eastAsia="en-AU"/>
        </w:rPr>
        <w:t>Vacated</w:t>
      </w:r>
      <w:r>
        <w:rPr>
          <w:lang w:eastAsia="en-AU"/>
        </w:rPr>
        <w:t xml:space="preserve"> and remanded. </w:t>
      </w:r>
    </w:p>
    <w:p w:rsidR="00992453" w:rsidRDefault="00992453" w:rsidP="00992453">
      <w:pPr>
        <w:pStyle w:val="BullDivider1"/>
        <w:pBdr>
          <w:bottom w:val="dotted" w:sz="4" w:space="0" w:color="auto"/>
        </w:pBdr>
      </w:pPr>
    </w:p>
    <w:p w:rsidR="00992453" w:rsidRPr="003C6E2B" w:rsidRDefault="00992453" w:rsidP="00992453">
      <w:pPr>
        <w:rPr>
          <w:lang w:eastAsia="en-AU"/>
        </w:rPr>
      </w:pPr>
    </w:p>
    <w:p w:rsidR="003C6E2B" w:rsidRPr="00992ECF" w:rsidRDefault="003C6E2B" w:rsidP="003C6E2B">
      <w:pPr>
        <w:pStyle w:val="Heading2"/>
        <w:rPr>
          <w:i w:val="0"/>
        </w:rPr>
      </w:pPr>
      <w:r>
        <w:lastRenderedPageBreak/>
        <w:t xml:space="preserve">CIC Services, LLC v Internal Revenue Service </w:t>
      </w:r>
      <w:r w:rsidR="002D309D">
        <w:t xml:space="preserve">&amp; </w:t>
      </w:r>
      <w:proofErr w:type="spellStart"/>
      <w:r w:rsidR="002D309D">
        <w:t>Ors</w:t>
      </w:r>
      <w:proofErr w:type="spellEnd"/>
      <w:r>
        <w:t xml:space="preserve"> </w:t>
      </w:r>
    </w:p>
    <w:p w:rsidR="003C6E2B" w:rsidRPr="002F4F7E" w:rsidRDefault="003C6E2B" w:rsidP="0024748B">
      <w:pPr>
        <w:rPr>
          <w:lang w:eastAsia="en-AU"/>
        </w:rPr>
      </w:pPr>
      <w:r>
        <w:rPr>
          <w:b/>
          <w:lang w:eastAsia="en-AU"/>
        </w:rPr>
        <w:t>Supreme Court of the United States</w:t>
      </w:r>
      <w:r w:rsidRPr="002F4F7E">
        <w:rPr>
          <w:b/>
          <w:lang w:eastAsia="en-AU"/>
        </w:rPr>
        <w:t xml:space="preserve">: </w:t>
      </w:r>
      <w:hyperlink r:id="rId10" w:history="1">
        <w:r w:rsidR="00A00246">
          <w:rPr>
            <w:rStyle w:val="Hyperlink"/>
            <w:lang w:eastAsia="en-AU"/>
          </w:rPr>
          <w:t>Docket No.</w:t>
        </w:r>
        <w:r w:rsidRPr="00F76718">
          <w:rPr>
            <w:rStyle w:val="Hyperlink"/>
            <w:lang w:eastAsia="en-AU"/>
          </w:rPr>
          <w:t xml:space="preserve"> </w:t>
        </w:r>
        <w:r>
          <w:rPr>
            <w:rStyle w:val="Hyperlink"/>
            <w:lang w:eastAsia="en-AU"/>
          </w:rPr>
          <w:t>19-930</w:t>
        </w:r>
      </w:hyperlink>
    </w:p>
    <w:p w:rsidR="003C6E2B" w:rsidRPr="002F4F7E" w:rsidRDefault="003C6E2B" w:rsidP="003C6E2B">
      <w:pPr>
        <w:rPr>
          <w:lang w:eastAsia="en-AU"/>
        </w:rPr>
      </w:pPr>
    </w:p>
    <w:p w:rsidR="003C6E2B" w:rsidRPr="002F4F7E" w:rsidRDefault="003C6E2B" w:rsidP="003C6E2B">
      <w:pPr>
        <w:rPr>
          <w:lang w:eastAsia="en-AU"/>
        </w:rPr>
      </w:pPr>
      <w:r w:rsidRPr="002F4F7E">
        <w:rPr>
          <w:b/>
          <w:lang w:eastAsia="en-AU"/>
        </w:rPr>
        <w:t>Judgment delivered:</w:t>
      </w:r>
      <w:r>
        <w:rPr>
          <w:lang w:eastAsia="en-AU"/>
        </w:rPr>
        <w:t xml:space="preserve"> 17 May 2021</w:t>
      </w:r>
    </w:p>
    <w:p w:rsidR="003C6E2B" w:rsidRPr="002F4F7E" w:rsidRDefault="003C6E2B" w:rsidP="003C6E2B">
      <w:pPr>
        <w:rPr>
          <w:lang w:eastAsia="en-AU"/>
        </w:rPr>
      </w:pPr>
    </w:p>
    <w:p w:rsidR="003C6E2B" w:rsidRPr="002F4F7E" w:rsidRDefault="003C6E2B" w:rsidP="003C6E2B">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3C6E2B" w:rsidRPr="002F4F7E" w:rsidRDefault="003C6E2B" w:rsidP="003C6E2B">
      <w:pPr>
        <w:rPr>
          <w:lang w:eastAsia="en-AU"/>
        </w:rPr>
      </w:pPr>
    </w:p>
    <w:p w:rsidR="003C6E2B" w:rsidRPr="002F4F7E" w:rsidRDefault="003C6E2B" w:rsidP="003C6E2B">
      <w:pPr>
        <w:rPr>
          <w:b/>
          <w:lang w:eastAsia="en-AU"/>
        </w:rPr>
      </w:pPr>
      <w:r>
        <w:rPr>
          <w:b/>
          <w:lang w:eastAsia="en-AU"/>
        </w:rPr>
        <w:t>Catchwords:</w:t>
      </w:r>
    </w:p>
    <w:p w:rsidR="003C6E2B" w:rsidRPr="00856E9C" w:rsidRDefault="003C6E2B" w:rsidP="003C6E2B">
      <w:pPr>
        <w:rPr>
          <w:b/>
          <w:highlight w:val="yellow"/>
          <w:lang w:eastAsia="en-AU"/>
        </w:rPr>
      </w:pPr>
    </w:p>
    <w:p w:rsidR="003C6E2B" w:rsidRPr="003C6E2B" w:rsidRDefault="003C6E2B" w:rsidP="003C6E2B">
      <w:pPr>
        <w:ind w:left="720"/>
        <w:rPr>
          <w:lang w:eastAsia="en-AU"/>
        </w:rPr>
      </w:pPr>
      <w:r>
        <w:rPr>
          <w:lang w:eastAsia="en-AU"/>
        </w:rPr>
        <w:t xml:space="preserve">Administrative law – </w:t>
      </w:r>
      <w:r w:rsidRPr="003C6E2B">
        <w:rPr>
          <w:lang w:eastAsia="en-AU"/>
        </w:rPr>
        <w:t>Anti-Injunction Act</w:t>
      </w:r>
      <w:r>
        <w:rPr>
          <w:lang w:eastAsia="en-AU"/>
        </w:rPr>
        <w:t xml:space="preserve"> – Taxation – Where </w:t>
      </w:r>
      <w:r>
        <w:rPr>
          <w:i/>
          <w:lang w:eastAsia="en-AU"/>
        </w:rPr>
        <w:t xml:space="preserve">Anti-Injunction Act </w:t>
      </w:r>
      <w:r>
        <w:t>26 USC §7421(a) provided lawsuits challenging validity of tax assessment barred unless tax paid prior to filing – Where IRS Notice 2016-66 require</w:t>
      </w:r>
      <w:r w:rsidR="00E866B1">
        <w:t>d</w:t>
      </w:r>
      <w:r>
        <w:t xml:space="preserve"> taxpayers to report information about certain insurance agreements – Where non-compliance with Notice may incur civil tax penalty – Where petitioner challenged validity of notice and sought injunction setting aside Notice – Where District Court dismissed action as barred by </w:t>
      </w:r>
      <w:r>
        <w:rPr>
          <w:i/>
        </w:rPr>
        <w:t>Anti-Injunction Act</w:t>
      </w:r>
      <w:r>
        <w:t xml:space="preserve"> – Where majority of Sixth Circuit affirmed – Whether suit </w:t>
      </w:r>
      <w:r w:rsidR="00404E24">
        <w:t>restraining</w:t>
      </w:r>
      <w:r>
        <w:t xml:space="preserve"> requirement to report information equivalent to suit </w:t>
      </w:r>
      <w:r w:rsidR="00404E24">
        <w:t xml:space="preserve">restraining assessment or collection of tax – Whether petitioner’s suit barred. </w:t>
      </w:r>
    </w:p>
    <w:p w:rsidR="003C6E2B" w:rsidRPr="00856E9C" w:rsidRDefault="003C6E2B" w:rsidP="003C6E2B">
      <w:pPr>
        <w:ind w:left="720"/>
        <w:rPr>
          <w:highlight w:val="yellow"/>
          <w:lang w:eastAsia="en-AU"/>
        </w:rPr>
      </w:pPr>
    </w:p>
    <w:p w:rsidR="003C6E2B" w:rsidRDefault="003C6E2B" w:rsidP="003C6E2B">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Reversed and remanded. </w:t>
      </w:r>
    </w:p>
    <w:p w:rsidR="003C6E2B" w:rsidRDefault="003C6E2B" w:rsidP="003C6E2B">
      <w:pPr>
        <w:pStyle w:val="BullDivider1"/>
        <w:pBdr>
          <w:bottom w:val="dotted" w:sz="4" w:space="0" w:color="auto"/>
        </w:pBdr>
      </w:pPr>
    </w:p>
    <w:p w:rsidR="003C6E2B" w:rsidRPr="003C6E2B" w:rsidRDefault="003C6E2B" w:rsidP="003C6E2B">
      <w:pPr>
        <w:rPr>
          <w:lang w:eastAsia="en-AU"/>
        </w:rPr>
      </w:pPr>
    </w:p>
    <w:p w:rsidR="0089498B" w:rsidRPr="002F4F7E" w:rsidRDefault="0089498B" w:rsidP="0089498B">
      <w:pPr>
        <w:pStyle w:val="Heading2"/>
      </w:pPr>
      <w:r>
        <w:t xml:space="preserve">R (Fylde Coast Farms Ltd (formerly </w:t>
      </w:r>
      <w:proofErr w:type="spellStart"/>
      <w:r>
        <w:t>Oyston</w:t>
      </w:r>
      <w:proofErr w:type="spellEnd"/>
      <w:r>
        <w:t xml:space="preserve"> Estates Ltd)) v Fylde Borough Council</w:t>
      </w:r>
    </w:p>
    <w:p w:rsidR="0089498B" w:rsidRPr="002F4F7E" w:rsidRDefault="0089498B" w:rsidP="0089498B">
      <w:pPr>
        <w:rPr>
          <w:lang w:eastAsia="en-AU"/>
        </w:rPr>
      </w:pPr>
      <w:r>
        <w:rPr>
          <w:b/>
          <w:lang w:eastAsia="en-AU"/>
        </w:rPr>
        <w:t>Supreme Court of the United Kingdom</w:t>
      </w:r>
      <w:r w:rsidRPr="002F4F7E">
        <w:rPr>
          <w:b/>
          <w:lang w:eastAsia="en-AU"/>
        </w:rPr>
        <w:t xml:space="preserve">: </w:t>
      </w:r>
      <w:hyperlink r:id="rId11" w:history="1">
        <w:r w:rsidRPr="0089498B">
          <w:rPr>
            <w:rStyle w:val="Hyperlink"/>
            <w:lang w:eastAsia="en-AU"/>
          </w:rPr>
          <w:t>[2021] UKSC 18</w:t>
        </w:r>
      </w:hyperlink>
    </w:p>
    <w:p w:rsidR="0089498B" w:rsidRPr="002F4F7E" w:rsidRDefault="0089498B" w:rsidP="0089498B">
      <w:pPr>
        <w:rPr>
          <w:lang w:eastAsia="en-AU"/>
        </w:rPr>
      </w:pPr>
    </w:p>
    <w:p w:rsidR="0089498B" w:rsidRPr="002F4F7E" w:rsidRDefault="0089498B" w:rsidP="0089498B">
      <w:pPr>
        <w:rPr>
          <w:lang w:eastAsia="en-AU"/>
        </w:rPr>
      </w:pPr>
      <w:r w:rsidRPr="002F4F7E">
        <w:rPr>
          <w:b/>
          <w:lang w:eastAsia="en-AU"/>
        </w:rPr>
        <w:t>Judgment delivered:</w:t>
      </w:r>
      <w:r w:rsidRPr="002F4F7E">
        <w:rPr>
          <w:lang w:eastAsia="en-AU"/>
        </w:rPr>
        <w:t xml:space="preserve"> </w:t>
      </w:r>
      <w:r w:rsidR="00DB77C4">
        <w:rPr>
          <w:lang w:eastAsia="en-AU"/>
        </w:rPr>
        <w:t>14 May 2021</w:t>
      </w:r>
    </w:p>
    <w:p w:rsidR="0089498B" w:rsidRPr="002F4F7E" w:rsidRDefault="0089498B" w:rsidP="0089498B">
      <w:pPr>
        <w:rPr>
          <w:lang w:eastAsia="en-AU"/>
        </w:rPr>
      </w:pPr>
    </w:p>
    <w:p w:rsidR="0089498B" w:rsidRPr="002F4F7E" w:rsidRDefault="0089498B" w:rsidP="0089498B">
      <w:pPr>
        <w:rPr>
          <w:lang w:eastAsia="en-AU"/>
        </w:rPr>
      </w:pPr>
      <w:r w:rsidRPr="002F4F7E">
        <w:rPr>
          <w:b/>
          <w:lang w:eastAsia="en-AU"/>
        </w:rPr>
        <w:t>Coram:</w:t>
      </w:r>
      <w:r w:rsidR="00DB77C4">
        <w:rPr>
          <w:b/>
          <w:lang w:eastAsia="en-AU"/>
        </w:rPr>
        <w:t xml:space="preserve"> </w:t>
      </w:r>
      <w:r w:rsidR="00DB77C4">
        <w:rPr>
          <w:lang w:eastAsia="en-AU"/>
        </w:rPr>
        <w:t>Lord Lloyd-Jones, Lord Briggs, Lady Arden, Lord Sales, Lord Stephens</w:t>
      </w:r>
    </w:p>
    <w:p w:rsidR="0089498B" w:rsidRPr="002F4F7E" w:rsidRDefault="0089498B" w:rsidP="0089498B">
      <w:pPr>
        <w:rPr>
          <w:lang w:eastAsia="en-AU"/>
        </w:rPr>
      </w:pPr>
    </w:p>
    <w:p w:rsidR="0089498B" w:rsidRPr="002F4F7E" w:rsidRDefault="0089498B" w:rsidP="0089498B">
      <w:pPr>
        <w:rPr>
          <w:b/>
          <w:lang w:eastAsia="en-AU"/>
        </w:rPr>
      </w:pPr>
      <w:r>
        <w:rPr>
          <w:b/>
          <w:lang w:eastAsia="en-AU"/>
        </w:rPr>
        <w:t>Catchwords:</w:t>
      </w:r>
    </w:p>
    <w:p w:rsidR="0089498B" w:rsidRPr="00856E9C" w:rsidRDefault="0089498B" w:rsidP="0089498B">
      <w:pPr>
        <w:rPr>
          <w:b/>
          <w:highlight w:val="yellow"/>
          <w:lang w:eastAsia="en-AU"/>
        </w:rPr>
      </w:pPr>
    </w:p>
    <w:p w:rsidR="0089498B" w:rsidRPr="00B92080" w:rsidRDefault="00B92080" w:rsidP="0089498B">
      <w:pPr>
        <w:ind w:left="720"/>
        <w:rPr>
          <w:lang w:eastAsia="en-AU"/>
        </w:rPr>
      </w:pPr>
      <w:r>
        <w:rPr>
          <w:lang w:eastAsia="en-AU"/>
        </w:rPr>
        <w:t>Administrative law – Judicial review – Time limitation – Where neighbourhood development plan proposed – Where procedure for making plan involve</w:t>
      </w:r>
      <w:r w:rsidR="00E866B1">
        <w:rPr>
          <w:lang w:eastAsia="en-AU"/>
        </w:rPr>
        <w:t>d</w:t>
      </w:r>
      <w:r>
        <w:rPr>
          <w:lang w:eastAsia="en-AU"/>
        </w:rPr>
        <w:t xml:space="preserve"> multiple steps, including consideration of independent examiner’s report – Where, in March 2017, respondent local planning authority decided not to accept recommendation of independent</w:t>
      </w:r>
      <w:r w:rsidR="0089498B">
        <w:rPr>
          <w:lang w:eastAsia="en-AU"/>
        </w:rPr>
        <w:t xml:space="preserve"> </w:t>
      </w:r>
      <w:r>
        <w:rPr>
          <w:lang w:eastAsia="en-AU"/>
        </w:rPr>
        <w:t xml:space="preserve">examiner to amend plan – Where referendum held on unamended plan and approved – Where plan made in unamended form – Where appellant sought judicial review of making of plan, on ground respondent failed to accept examiner’s recommendation without good reason – Where s 61N(1) of </w:t>
      </w:r>
      <w:r>
        <w:rPr>
          <w:i/>
          <w:lang w:eastAsia="en-AU"/>
        </w:rPr>
        <w:t xml:space="preserve">Town and Country Planning Act 1990 </w:t>
      </w:r>
      <w:r>
        <w:rPr>
          <w:lang w:eastAsia="en-AU"/>
        </w:rPr>
        <w:t>provide</w:t>
      </w:r>
      <w:r w:rsidR="00E37C9B">
        <w:rPr>
          <w:lang w:eastAsia="en-AU"/>
        </w:rPr>
        <w:t>d</w:t>
      </w:r>
      <w:r>
        <w:rPr>
          <w:lang w:eastAsia="en-AU"/>
        </w:rPr>
        <w:t xml:space="preserve"> six week time limit for challenging final </w:t>
      </w:r>
      <w:r w:rsidR="002471BE">
        <w:rPr>
          <w:lang w:eastAsia="en-AU"/>
        </w:rPr>
        <w:t xml:space="preserve">decision to </w:t>
      </w:r>
      <w:r>
        <w:rPr>
          <w:lang w:eastAsia="en-AU"/>
        </w:rPr>
        <w:t>mak</w:t>
      </w:r>
      <w:r w:rsidR="002471BE">
        <w:rPr>
          <w:lang w:eastAsia="en-AU"/>
        </w:rPr>
        <w:t>e</w:t>
      </w:r>
      <w:r>
        <w:rPr>
          <w:lang w:eastAsia="en-AU"/>
        </w:rPr>
        <w:t xml:space="preserve"> plan – Where s 62N(2) provide</w:t>
      </w:r>
      <w:r w:rsidR="00E37C9B">
        <w:rPr>
          <w:lang w:eastAsia="en-AU"/>
        </w:rPr>
        <w:t>d</w:t>
      </w:r>
      <w:r>
        <w:rPr>
          <w:lang w:eastAsia="en-AU"/>
        </w:rPr>
        <w:t xml:space="preserve"> six week time limit in relation to challenges to consideration of examiner’s report – Where judicial review application inside time limit if s 61N(1) applied and outside time limit if s 61N(2) applied – Where Administrative Court and Court of Appeal held s 61N(2) applied</w:t>
      </w:r>
      <w:r w:rsidR="00E37C9B">
        <w:rPr>
          <w:lang w:eastAsia="en-AU"/>
        </w:rPr>
        <w:t xml:space="preserve"> and application brought outside of time</w:t>
      </w:r>
      <w:r>
        <w:rPr>
          <w:lang w:eastAsia="en-AU"/>
        </w:rPr>
        <w:t xml:space="preserve"> </w:t>
      </w:r>
      <w:r w:rsidR="002471BE">
        <w:rPr>
          <w:lang w:eastAsia="en-AU"/>
        </w:rPr>
        <w:t xml:space="preserve">– Whether appellant’s judicial review </w:t>
      </w:r>
      <w:r w:rsidR="002471BE">
        <w:rPr>
          <w:lang w:eastAsia="en-AU"/>
        </w:rPr>
        <w:lastRenderedPageBreak/>
        <w:t xml:space="preserve">application challenges final decision or consideration of examiner’s report – Whether s 61N(1) or s 61N(2) applies to exclude appellant’s application. </w:t>
      </w:r>
    </w:p>
    <w:p w:rsidR="0089498B" w:rsidRPr="00856E9C" w:rsidRDefault="0089498B" w:rsidP="0089498B">
      <w:pPr>
        <w:ind w:left="720"/>
        <w:rPr>
          <w:highlight w:val="yellow"/>
          <w:lang w:eastAsia="en-AU"/>
        </w:rPr>
      </w:pPr>
    </w:p>
    <w:p w:rsidR="0089498B" w:rsidRPr="000D3E8D" w:rsidRDefault="0089498B" w:rsidP="0089498B">
      <w:pPr>
        <w:rPr>
          <w:lang w:eastAsia="en-AU"/>
        </w:rPr>
      </w:pPr>
      <w:r w:rsidRPr="002F4F7E">
        <w:rPr>
          <w:b/>
          <w:lang w:eastAsia="en-AU"/>
        </w:rPr>
        <w:t>Held (</w:t>
      </w:r>
      <w:r w:rsidR="00DB77C4">
        <w:rPr>
          <w:b/>
          <w:lang w:eastAsia="en-AU"/>
        </w:rPr>
        <w:t>5</w:t>
      </w:r>
      <w:r>
        <w:rPr>
          <w:b/>
          <w:lang w:eastAsia="en-AU"/>
        </w:rPr>
        <w:t>:</w:t>
      </w:r>
      <w:r w:rsidR="00DB77C4">
        <w:rPr>
          <w:b/>
          <w:lang w:eastAsia="en-AU"/>
        </w:rPr>
        <w:t>0</w:t>
      </w:r>
      <w:r w:rsidRPr="002F4F7E">
        <w:rPr>
          <w:b/>
          <w:lang w:eastAsia="en-AU"/>
        </w:rPr>
        <w:t xml:space="preserve">): </w:t>
      </w:r>
      <w:r w:rsidR="00DB77C4">
        <w:rPr>
          <w:lang w:eastAsia="en-AU"/>
        </w:rPr>
        <w:t xml:space="preserve">Appeal dismissed. </w:t>
      </w:r>
    </w:p>
    <w:p w:rsidR="005048D5" w:rsidRPr="00B546B2" w:rsidRDefault="005048D5" w:rsidP="005048D5">
      <w:pPr>
        <w:pStyle w:val="BullDivider2"/>
        <w:rPr>
          <w:rFonts w:cs="Arial"/>
          <w:highlight w:val="yellow"/>
        </w:rPr>
      </w:pPr>
    </w:p>
    <w:p w:rsidR="005048D5" w:rsidRDefault="005048D5" w:rsidP="005048D5"/>
    <w:p w:rsidR="005048D5" w:rsidRPr="00B20BAC" w:rsidRDefault="005E39E2" w:rsidP="005048D5">
      <w:pPr>
        <w:pStyle w:val="Heading1"/>
      </w:pPr>
      <w:r>
        <w:t xml:space="preserve">American Indian Law </w:t>
      </w:r>
    </w:p>
    <w:p w:rsidR="006861EC" w:rsidRPr="003C6E2B" w:rsidRDefault="006861EC" w:rsidP="006861EC">
      <w:pPr>
        <w:rPr>
          <w:lang w:eastAsia="en-AU"/>
        </w:rPr>
      </w:pPr>
    </w:p>
    <w:p w:rsidR="006861EC" w:rsidRPr="00992ECF" w:rsidRDefault="006861EC" w:rsidP="006861EC">
      <w:pPr>
        <w:pStyle w:val="Heading2"/>
        <w:rPr>
          <w:i w:val="0"/>
        </w:rPr>
      </w:pPr>
      <w:r>
        <w:t xml:space="preserve">Yellen v Confederated Tribes of the Chehalis Reservation &amp; </w:t>
      </w:r>
      <w:proofErr w:type="spellStart"/>
      <w:r>
        <w:t>Ors</w:t>
      </w:r>
      <w:proofErr w:type="spellEnd"/>
      <w:r>
        <w:t xml:space="preserve">; Alaska Native Village Corp Association &amp; </w:t>
      </w:r>
      <w:proofErr w:type="spellStart"/>
      <w:r>
        <w:t>Ors</w:t>
      </w:r>
      <w:proofErr w:type="spellEnd"/>
      <w:r>
        <w:t xml:space="preserve"> v Confederated Tribes of the Chehalis Reservation &amp; </w:t>
      </w:r>
      <w:proofErr w:type="spellStart"/>
      <w:r>
        <w:t>Ors</w:t>
      </w:r>
      <w:proofErr w:type="spellEnd"/>
    </w:p>
    <w:p w:rsidR="006861EC" w:rsidRPr="002F4F7E" w:rsidRDefault="006861EC" w:rsidP="006861EC">
      <w:pPr>
        <w:rPr>
          <w:lang w:eastAsia="en-AU"/>
        </w:rPr>
      </w:pPr>
      <w:r>
        <w:rPr>
          <w:b/>
          <w:lang w:eastAsia="en-AU"/>
        </w:rPr>
        <w:t>Supreme Court of the United States</w:t>
      </w:r>
      <w:r w:rsidRPr="002F4F7E">
        <w:rPr>
          <w:b/>
          <w:lang w:eastAsia="en-AU"/>
        </w:rPr>
        <w:t xml:space="preserve">: </w:t>
      </w:r>
      <w:hyperlink r:id="rId12" w:history="1">
        <w:r>
          <w:rPr>
            <w:rStyle w:val="Hyperlink"/>
            <w:lang w:eastAsia="en-AU"/>
          </w:rPr>
          <w:t>Docket No.</w:t>
        </w:r>
        <w:r w:rsidRPr="00F76718">
          <w:rPr>
            <w:rStyle w:val="Hyperlink"/>
            <w:lang w:eastAsia="en-AU"/>
          </w:rPr>
          <w:t xml:space="preserve"> </w:t>
        </w:r>
        <w:r>
          <w:rPr>
            <w:rStyle w:val="Hyperlink"/>
            <w:lang w:eastAsia="en-AU"/>
          </w:rPr>
          <w:t>20-543; 20-544</w:t>
        </w:r>
      </w:hyperlink>
    </w:p>
    <w:p w:rsidR="006861EC" w:rsidRPr="002F4F7E" w:rsidRDefault="006861EC" w:rsidP="006861EC">
      <w:pPr>
        <w:rPr>
          <w:lang w:eastAsia="en-AU"/>
        </w:rPr>
      </w:pPr>
    </w:p>
    <w:p w:rsidR="006861EC" w:rsidRPr="002F4F7E" w:rsidRDefault="006861EC" w:rsidP="006861EC">
      <w:pPr>
        <w:rPr>
          <w:lang w:eastAsia="en-AU"/>
        </w:rPr>
      </w:pPr>
      <w:r w:rsidRPr="002F4F7E">
        <w:rPr>
          <w:b/>
          <w:lang w:eastAsia="en-AU"/>
        </w:rPr>
        <w:t>Judgment delivered:</w:t>
      </w:r>
      <w:r>
        <w:rPr>
          <w:lang w:eastAsia="en-AU"/>
        </w:rPr>
        <w:t xml:space="preserve"> 25 June 2021</w:t>
      </w:r>
    </w:p>
    <w:p w:rsidR="006861EC" w:rsidRPr="002F4F7E" w:rsidRDefault="006861EC" w:rsidP="006861EC">
      <w:pPr>
        <w:rPr>
          <w:lang w:eastAsia="en-AU"/>
        </w:rPr>
      </w:pPr>
    </w:p>
    <w:p w:rsidR="006861EC" w:rsidRPr="002F4F7E" w:rsidRDefault="006861EC" w:rsidP="006861EC">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6861EC" w:rsidRPr="002F4F7E" w:rsidRDefault="006861EC" w:rsidP="006861EC">
      <w:pPr>
        <w:rPr>
          <w:lang w:eastAsia="en-AU"/>
        </w:rPr>
      </w:pPr>
    </w:p>
    <w:p w:rsidR="006861EC" w:rsidRPr="002F4F7E" w:rsidRDefault="006861EC" w:rsidP="006861EC">
      <w:pPr>
        <w:rPr>
          <w:b/>
          <w:lang w:eastAsia="en-AU"/>
        </w:rPr>
      </w:pPr>
      <w:r>
        <w:rPr>
          <w:b/>
          <w:lang w:eastAsia="en-AU"/>
        </w:rPr>
        <w:t>Catchwords:</w:t>
      </w:r>
    </w:p>
    <w:p w:rsidR="006861EC" w:rsidRPr="00856E9C" w:rsidRDefault="006861EC" w:rsidP="006861EC">
      <w:pPr>
        <w:rPr>
          <w:b/>
          <w:highlight w:val="yellow"/>
          <w:lang w:eastAsia="en-AU"/>
        </w:rPr>
      </w:pPr>
    </w:p>
    <w:p w:rsidR="006861EC" w:rsidRPr="00B43DA9" w:rsidRDefault="00A942A1" w:rsidP="006861EC">
      <w:pPr>
        <w:ind w:left="720"/>
        <w:rPr>
          <w:lang w:eastAsia="en-AU"/>
        </w:rPr>
      </w:pPr>
      <w:r>
        <w:rPr>
          <w:lang w:eastAsia="en-AU"/>
        </w:rPr>
        <w:t xml:space="preserve">American Indian law </w:t>
      </w:r>
      <w:r w:rsidR="00B43DA9">
        <w:rPr>
          <w:lang w:eastAsia="en-AU"/>
        </w:rPr>
        <w:t xml:space="preserve">– Definition of “Indian tribe” – Alaska Native Corporations (ANCs) – Where </w:t>
      </w:r>
      <w:r w:rsidR="00B43DA9">
        <w:rPr>
          <w:i/>
          <w:lang w:eastAsia="en-AU"/>
        </w:rPr>
        <w:t xml:space="preserve">Coronavirus Aid, Relief and Economic Security Act </w:t>
      </w:r>
      <w:r w:rsidR="00B43DA9">
        <w:rPr>
          <w:lang w:eastAsia="en-AU"/>
        </w:rPr>
        <w:t xml:space="preserve">(CARES) provided monetary payments allocated to “Tribal governments” – Where “Tribal government” defined as government of “Indian tribe” as defined in </w:t>
      </w:r>
      <w:r w:rsidR="00B43DA9">
        <w:rPr>
          <w:i/>
          <w:lang w:eastAsia="en-AU"/>
        </w:rPr>
        <w:t xml:space="preserve">Indian Self-Determination and Education Assistance Act </w:t>
      </w:r>
      <w:r w:rsidR="00B43DA9">
        <w:rPr>
          <w:lang w:eastAsia="en-AU"/>
        </w:rPr>
        <w:t xml:space="preserve">– Where that Act defines “Indian tribe” as any Indian tribe or other organised group “including any Alaska Native village or regional or village corporation” – Where ANCs not </w:t>
      </w:r>
      <w:r w:rsidR="00D37DBB">
        <w:rPr>
          <w:lang w:eastAsia="en-AU"/>
        </w:rPr>
        <w:t>“</w:t>
      </w:r>
      <w:r w:rsidR="00B43DA9">
        <w:rPr>
          <w:lang w:eastAsia="en-AU"/>
        </w:rPr>
        <w:t>federally recognised tribes</w:t>
      </w:r>
      <w:r w:rsidR="00D37DBB">
        <w:rPr>
          <w:lang w:eastAsia="en-AU"/>
        </w:rPr>
        <w:t>”</w:t>
      </w:r>
      <w:r w:rsidR="00B43DA9">
        <w:rPr>
          <w:lang w:eastAsia="en-AU"/>
        </w:rPr>
        <w:t xml:space="preserve"> because US Government never entered into treaty with them – Where various </w:t>
      </w:r>
      <w:r w:rsidR="00160A55">
        <w:rPr>
          <w:lang w:eastAsia="en-AU"/>
        </w:rPr>
        <w:t xml:space="preserve">respondents </w:t>
      </w:r>
      <w:r w:rsidR="00B43DA9">
        <w:rPr>
          <w:lang w:eastAsia="en-AU"/>
        </w:rPr>
        <w:t xml:space="preserve">federally recognised tribes sued to prevent </w:t>
      </w:r>
      <w:r w:rsidR="00D7650A">
        <w:rPr>
          <w:lang w:eastAsia="en-AU"/>
        </w:rPr>
        <w:t xml:space="preserve">petitioner </w:t>
      </w:r>
      <w:r w:rsidR="00B43DA9">
        <w:rPr>
          <w:lang w:eastAsia="en-AU"/>
        </w:rPr>
        <w:t xml:space="preserve">ANCs from being allocated CARES funding on basis ANCs not “Indian tribe” – Where District Court dismissed claim and District of Columbia Circuit reversed – Whether only federally recognised tribes eligible for CARES funding – Whether ANCs “Indian tribe”. </w:t>
      </w:r>
    </w:p>
    <w:p w:rsidR="006861EC" w:rsidRPr="00856E9C" w:rsidRDefault="006861EC" w:rsidP="006861EC">
      <w:pPr>
        <w:ind w:left="720"/>
        <w:rPr>
          <w:highlight w:val="yellow"/>
          <w:lang w:eastAsia="en-AU"/>
        </w:rPr>
      </w:pPr>
    </w:p>
    <w:p w:rsidR="006861EC" w:rsidRDefault="006861EC" w:rsidP="006861EC">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Reversed and remanded. </w:t>
      </w:r>
    </w:p>
    <w:p w:rsidR="006861EC" w:rsidRDefault="006861EC" w:rsidP="006861EC">
      <w:pPr>
        <w:pStyle w:val="BullDivider1"/>
        <w:pBdr>
          <w:bottom w:val="dotted" w:sz="4" w:space="0" w:color="auto"/>
        </w:pBdr>
      </w:pPr>
    </w:p>
    <w:p w:rsidR="005048D5" w:rsidRDefault="005048D5" w:rsidP="005048D5"/>
    <w:p w:rsidR="005048D5" w:rsidRPr="00992ECF" w:rsidRDefault="005E39E2" w:rsidP="005048D5">
      <w:pPr>
        <w:pStyle w:val="Heading2"/>
        <w:rPr>
          <w:i w:val="0"/>
        </w:rPr>
      </w:pPr>
      <w:r>
        <w:t>United States v Cooley</w:t>
      </w:r>
    </w:p>
    <w:p w:rsidR="005048D5" w:rsidRPr="002F4F7E" w:rsidRDefault="005048D5" w:rsidP="005048D5">
      <w:pPr>
        <w:rPr>
          <w:lang w:eastAsia="en-AU"/>
        </w:rPr>
      </w:pPr>
      <w:r>
        <w:rPr>
          <w:b/>
          <w:lang w:eastAsia="en-AU"/>
        </w:rPr>
        <w:t>Supreme Court of the United States</w:t>
      </w:r>
      <w:r w:rsidRPr="002F4F7E">
        <w:rPr>
          <w:b/>
          <w:lang w:eastAsia="en-AU"/>
        </w:rPr>
        <w:t xml:space="preserve">: </w:t>
      </w:r>
      <w:hyperlink r:id="rId13" w:history="1">
        <w:r w:rsidR="00A00246">
          <w:rPr>
            <w:rStyle w:val="Hyperlink"/>
            <w:lang w:eastAsia="en-AU"/>
          </w:rPr>
          <w:t>Docket No.</w:t>
        </w:r>
        <w:r w:rsidRPr="00F76718">
          <w:rPr>
            <w:rStyle w:val="Hyperlink"/>
            <w:lang w:eastAsia="en-AU"/>
          </w:rPr>
          <w:t xml:space="preserve"> </w:t>
        </w:r>
        <w:r w:rsidR="005E39E2">
          <w:rPr>
            <w:rStyle w:val="Hyperlink"/>
            <w:lang w:eastAsia="en-AU"/>
          </w:rPr>
          <w:t>29-</w:t>
        </w:r>
        <w:r w:rsidR="00DC7BAD">
          <w:rPr>
            <w:rStyle w:val="Hyperlink"/>
            <w:lang w:eastAsia="en-AU"/>
          </w:rPr>
          <w:t>1414</w:t>
        </w:r>
      </w:hyperlink>
    </w:p>
    <w:p w:rsidR="005048D5" w:rsidRPr="002F4F7E" w:rsidRDefault="005048D5" w:rsidP="005048D5">
      <w:pPr>
        <w:rPr>
          <w:lang w:eastAsia="en-AU"/>
        </w:rPr>
      </w:pPr>
    </w:p>
    <w:p w:rsidR="005048D5" w:rsidRPr="002F4F7E" w:rsidRDefault="005048D5" w:rsidP="005048D5">
      <w:pPr>
        <w:rPr>
          <w:lang w:eastAsia="en-AU"/>
        </w:rPr>
      </w:pPr>
      <w:r w:rsidRPr="002F4F7E">
        <w:rPr>
          <w:b/>
          <w:lang w:eastAsia="en-AU"/>
        </w:rPr>
        <w:t>Judgment delivered:</w:t>
      </w:r>
      <w:r>
        <w:rPr>
          <w:lang w:eastAsia="en-AU"/>
        </w:rPr>
        <w:t xml:space="preserve"> </w:t>
      </w:r>
      <w:r w:rsidR="00DC7BAD">
        <w:rPr>
          <w:lang w:eastAsia="en-AU"/>
        </w:rPr>
        <w:t>1 June</w:t>
      </w:r>
      <w:r>
        <w:rPr>
          <w:lang w:eastAsia="en-AU"/>
        </w:rPr>
        <w:t xml:space="preserve"> 2021</w:t>
      </w:r>
    </w:p>
    <w:p w:rsidR="005048D5" w:rsidRPr="002F4F7E" w:rsidRDefault="005048D5" w:rsidP="005048D5">
      <w:pPr>
        <w:rPr>
          <w:lang w:eastAsia="en-AU"/>
        </w:rPr>
      </w:pPr>
    </w:p>
    <w:p w:rsidR="005048D5" w:rsidRPr="002F4F7E" w:rsidRDefault="005048D5" w:rsidP="005048D5">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5048D5" w:rsidRPr="002F4F7E" w:rsidRDefault="005048D5" w:rsidP="005048D5">
      <w:pPr>
        <w:rPr>
          <w:lang w:eastAsia="en-AU"/>
        </w:rPr>
      </w:pPr>
    </w:p>
    <w:p w:rsidR="005048D5" w:rsidRPr="002F4F7E" w:rsidRDefault="005048D5" w:rsidP="005048D5">
      <w:pPr>
        <w:rPr>
          <w:b/>
          <w:lang w:eastAsia="en-AU"/>
        </w:rPr>
      </w:pPr>
      <w:r>
        <w:rPr>
          <w:b/>
          <w:lang w:eastAsia="en-AU"/>
        </w:rPr>
        <w:t>Catchwords:</w:t>
      </w:r>
    </w:p>
    <w:p w:rsidR="005048D5" w:rsidRPr="00856E9C" w:rsidRDefault="005048D5" w:rsidP="005048D5">
      <w:pPr>
        <w:rPr>
          <w:b/>
          <w:highlight w:val="yellow"/>
          <w:lang w:eastAsia="en-AU"/>
        </w:rPr>
      </w:pPr>
    </w:p>
    <w:p w:rsidR="005048D5" w:rsidRPr="00501DA5" w:rsidRDefault="00DC7BAD" w:rsidP="005048D5">
      <w:pPr>
        <w:ind w:left="720"/>
        <w:rPr>
          <w:lang w:eastAsia="en-AU"/>
        </w:rPr>
      </w:pPr>
      <w:r>
        <w:rPr>
          <w:lang w:eastAsia="en-AU"/>
        </w:rPr>
        <w:t>American Indian law – Sovereign powers – Search and seizure – Authority over non-Indian</w:t>
      </w:r>
      <w:r w:rsidR="00145940">
        <w:rPr>
          <w:lang w:eastAsia="en-AU"/>
        </w:rPr>
        <w:t xml:space="preserve"> persons</w:t>
      </w:r>
      <w:r>
        <w:rPr>
          <w:lang w:eastAsia="en-AU"/>
        </w:rPr>
        <w:t xml:space="preserve"> </w:t>
      </w:r>
      <w:r w:rsidR="00620B33">
        <w:rPr>
          <w:lang w:eastAsia="en-AU"/>
        </w:rPr>
        <w:t>–</w:t>
      </w:r>
      <w:r>
        <w:rPr>
          <w:lang w:eastAsia="en-AU"/>
        </w:rPr>
        <w:t xml:space="preserve"> </w:t>
      </w:r>
      <w:r w:rsidR="00620B33">
        <w:rPr>
          <w:lang w:eastAsia="en-AU"/>
        </w:rPr>
        <w:t xml:space="preserve">Where tribal police officer approached truck </w:t>
      </w:r>
      <w:r w:rsidR="00620B33">
        <w:rPr>
          <w:lang w:eastAsia="en-AU"/>
        </w:rPr>
        <w:lastRenderedPageBreak/>
        <w:t xml:space="preserve">parked on public right of way within Indian reservation – Where officer spoke to respondent driver and observed semiautomatic rifles in front seat – </w:t>
      </w:r>
      <w:r w:rsidR="00145940">
        <w:rPr>
          <w:lang w:eastAsia="en-AU"/>
        </w:rPr>
        <w:t xml:space="preserve">Where respondent non-Indian – </w:t>
      </w:r>
      <w:r w:rsidR="00620B33">
        <w:rPr>
          <w:lang w:eastAsia="en-AU"/>
        </w:rPr>
        <w:t xml:space="preserve">Where officer conducted search, found and seized contraband drugs – Where respondent indicted on </w:t>
      </w:r>
      <w:r w:rsidR="00145940">
        <w:rPr>
          <w:lang w:eastAsia="en-AU"/>
        </w:rPr>
        <w:t xml:space="preserve">federal </w:t>
      </w:r>
      <w:r w:rsidR="00620B33">
        <w:rPr>
          <w:lang w:eastAsia="en-AU"/>
        </w:rPr>
        <w:t>drug and gun offen</w:t>
      </w:r>
      <w:r w:rsidR="00E866B1">
        <w:rPr>
          <w:lang w:eastAsia="en-AU"/>
        </w:rPr>
        <w:t>c</w:t>
      </w:r>
      <w:r w:rsidR="00620B33">
        <w:rPr>
          <w:lang w:eastAsia="en-AU"/>
        </w:rPr>
        <w:t xml:space="preserve">es </w:t>
      </w:r>
      <w:r w:rsidR="00501DA5">
        <w:rPr>
          <w:lang w:eastAsia="en-AU"/>
        </w:rPr>
        <w:t xml:space="preserve">– Where respondent sought to supress drug evidence – Where Ninth Court affirmed suppression – Whether tribal police officer authorised to stop and search non-Indian persons on public right of way through reservation for potential violation of state or federal law. </w:t>
      </w:r>
    </w:p>
    <w:p w:rsidR="00DC7BAD" w:rsidRPr="00856E9C" w:rsidRDefault="00DC7BAD" w:rsidP="005048D5">
      <w:pPr>
        <w:ind w:left="720"/>
        <w:rPr>
          <w:highlight w:val="yellow"/>
          <w:lang w:eastAsia="en-AU"/>
        </w:rPr>
      </w:pPr>
    </w:p>
    <w:p w:rsidR="005048D5" w:rsidRDefault="005048D5" w:rsidP="005048D5">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Vacated and remanded. </w:t>
      </w:r>
    </w:p>
    <w:p w:rsidR="0089498B" w:rsidRPr="00B546B2" w:rsidRDefault="0089498B" w:rsidP="0089498B">
      <w:pPr>
        <w:pStyle w:val="BullDivider2"/>
        <w:rPr>
          <w:rFonts w:cs="Arial"/>
          <w:highlight w:val="yellow"/>
        </w:rPr>
      </w:pPr>
    </w:p>
    <w:p w:rsidR="00992ECF" w:rsidRDefault="00992ECF" w:rsidP="00992ECF"/>
    <w:p w:rsidR="00992ECF" w:rsidRPr="00B20BAC" w:rsidRDefault="00992ECF" w:rsidP="00992ECF">
      <w:pPr>
        <w:pStyle w:val="Heading1"/>
      </w:pPr>
      <w:r>
        <w:t>Arbitration</w:t>
      </w:r>
    </w:p>
    <w:p w:rsidR="00992ECF" w:rsidRDefault="00992ECF" w:rsidP="00992ECF"/>
    <w:p w:rsidR="003A3BEE" w:rsidRPr="002F4F7E" w:rsidRDefault="002A7821" w:rsidP="003A3BEE">
      <w:pPr>
        <w:pStyle w:val="Heading2"/>
      </w:pPr>
      <w:r>
        <w:t>General Dynamics United Kingdom Ltd v State of Libya</w:t>
      </w:r>
    </w:p>
    <w:p w:rsidR="003A3BEE" w:rsidRPr="002F4F7E" w:rsidRDefault="003A3BEE" w:rsidP="003A3BEE">
      <w:pPr>
        <w:rPr>
          <w:lang w:eastAsia="en-AU"/>
        </w:rPr>
      </w:pPr>
      <w:r>
        <w:rPr>
          <w:b/>
          <w:lang w:eastAsia="en-AU"/>
        </w:rPr>
        <w:t>Supreme Court of the United Kingdom</w:t>
      </w:r>
      <w:r w:rsidRPr="002F4F7E">
        <w:rPr>
          <w:b/>
          <w:lang w:eastAsia="en-AU"/>
        </w:rPr>
        <w:t xml:space="preserve">: </w:t>
      </w:r>
      <w:hyperlink r:id="rId14" w:history="1">
        <w:r w:rsidRPr="00613043">
          <w:rPr>
            <w:rStyle w:val="Hyperlink"/>
            <w:lang w:eastAsia="en-AU"/>
          </w:rPr>
          <w:t xml:space="preserve">[2021] UKSC </w:t>
        </w:r>
        <w:r>
          <w:rPr>
            <w:rStyle w:val="Hyperlink"/>
            <w:lang w:eastAsia="en-AU"/>
          </w:rPr>
          <w:t>2</w:t>
        </w:r>
        <w:r w:rsidR="002A7821">
          <w:rPr>
            <w:rStyle w:val="Hyperlink"/>
            <w:lang w:eastAsia="en-AU"/>
          </w:rPr>
          <w:t>2</w:t>
        </w:r>
      </w:hyperlink>
    </w:p>
    <w:p w:rsidR="003A3BEE" w:rsidRPr="002F4F7E" w:rsidRDefault="003A3BEE" w:rsidP="003A3BEE">
      <w:pPr>
        <w:rPr>
          <w:lang w:eastAsia="en-AU"/>
        </w:rPr>
      </w:pPr>
    </w:p>
    <w:p w:rsidR="003A3BEE" w:rsidRPr="002F4F7E" w:rsidRDefault="003A3BEE" w:rsidP="003A3BEE">
      <w:pPr>
        <w:rPr>
          <w:lang w:eastAsia="en-AU"/>
        </w:rPr>
      </w:pPr>
      <w:r w:rsidRPr="002F4F7E">
        <w:rPr>
          <w:b/>
          <w:lang w:eastAsia="en-AU"/>
        </w:rPr>
        <w:t>Judgment delivered:</w:t>
      </w:r>
      <w:r w:rsidRPr="002F4F7E">
        <w:rPr>
          <w:lang w:eastAsia="en-AU"/>
        </w:rPr>
        <w:t xml:space="preserve"> </w:t>
      </w:r>
      <w:r>
        <w:rPr>
          <w:lang w:eastAsia="en-AU"/>
        </w:rPr>
        <w:t>25 June 2021</w:t>
      </w:r>
    </w:p>
    <w:p w:rsidR="003A3BEE" w:rsidRPr="002F4F7E" w:rsidRDefault="003A3BEE" w:rsidP="003A3BEE">
      <w:pPr>
        <w:rPr>
          <w:lang w:eastAsia="en-AU"/>
        </w:rPr>
      </w:pPr>
    </w:p>
    <w:p w:rsidR="003A3BEE" w:rsidRPr="002F4F7E" w:rsidRDefault="003A3BEE" w:rsidP="003A3BEE">
      <w:pPr>
        <w:rPr>
          <w:lang w:eastAsia="en-AU"/>
        </w:rPr>
      </w:pPr>
      <w:r w:rsidRPr="002F4F7E">
        <w:rPr>
          <w:b/>
          <w:lang w:eastAsia="en-AU"/>
        </w:rPr>
        <w:t xml:space="preserve">Coram: </w:t>
      </w:r>
      <w:r>
        <w:rPr>
          <w:lang w:eastAsia="en-AU"/>
        </w:rPr>
        <w:t xml:space="preserve">Lord </w:t>
      </w:r>
      <w:r w:rsidR="002A7821">
        <w:rPr>
          <w:lang w:eastAsia="en-AU"/>
        </w:rPr>
        <w:t>Lloyd-Jones, Lord Briggs, Lady Arden, Lord Burrows and Lord Stephens</w:t>
      </w:r>
    </w:p>
    <w:p w:rsidR="003A3BEE" w:rsidRPr="002F4F7E" w:rsidRDefault="003A3BEE" w:rsidP="003A3BEE">
      <w:pPr>
        <w:rPr>
          <w:lang w:eastAsia="en-AU"/>
        </w:rPr>
      </w:pPr>
    </w:p>
    <w:p w:rsidR="003A3BEE" w:rsidRPr="002F4F7E" w:rsidRDefault="003A3BEE" w:rsidP="003A3BEE">
      <w:pPr>
        <w:rPr>
          <w:b/>
          <w:lang w:eastAsia="en-AU"/>
        </w:rPr>
      </w:pPr>
      <w:r>
        <w:rPr>
          <w:b/>
          <w:lang w:eastAsia="en-AU"/>
        </w:rPr>
        <w:t>Catchwords:</w:t>
      </w:r>
    </w:p>
    <w:p w:rsidR="003A3BEE" w:rsidRPr="00856E9C" w:rsidRDefault="003A3BEE" w:rsidP="003A3BEE">
      <w:pPr>
        <w:rPr>
          <w:b/>
          <w:highlight w:val="yellow"/>
          <w:lang w:eastAsia="en-AU"/>
        </w:rPr>
      </w:pPr>
    </w:p>
    <w:p w:rsidR="003A3BEE" w:rsidRPr="002F4F7E" w:rsidRDefault="002A7821" w:rsidP="003A3BEE">
      <w:pPr>
        <w:ind w:left="720"/>
        <w:rPr>
          <w:lang w:eastAsia="en-AU"/>
        </w:rPr>
      </w:pPr>
      <w:r>
        <w:rPr>
          <w:lang w:eastAsia="en-AU"/>
        </w:rPr>
        <w:t xml:space="preserve">Arbitration – Enforcement – Foreign state immunity – Service – Where s 12(1) of </w:t>
      </w:r>
      <w:r>
        <w:rPr>
          <w:i/>
          <w:lang w:eastAsia="en-AU"/>
        </w:rPr>
        <w:t xml:space="preserve">State Immunity Act 1978 </w:t>
      </w:r>
      <w:r>
        <w:rPr>
          <w:lang w:eastAsia="en-AU"/>
        </w:rPr>
        <w:t xml:space="preserve">(UK) provided any writ or document required to be served for instituting proceedings against foreign State must be transmitted through Foreign, Commonwealth and Development Office (FCDO) to relevant State’s Ministry of Foreign Affairs – Where respondent sought to enforce arbitral award in UK against appellant foreign State – Where High Court exercised discretion to dispense with formal service requirements of enforcement proceedings due to political instability in Libya – Where appellant applied to set aside dispensation order but Court of Appeal dismissed application – Whether documents commencing arbitration enforcement proceedings required to be served via FCDO – If so, whether court has discretion to dispense with service requirement. </w:t>
      </w:r>
    </w:p>
    <w:p w:rsidR="003A3BEE" w:rsidRPr="00856E9C" w:rsidRDefault="003A3BEE" w:rsidP="003A3BEE">
      <w:pPr>
        <w:ind w:left="720"/>
        <w:rPr>
          <w:highlight w:val="yellow"/>
          <w:lang w:eastAsia="en-AU"/>
        </w:rPr>
      </w:pPr>
    </w:p>
    <w:p w:rsidR="003A3BEE" w:rsidRDefault="003A3BEE" w:rsidP="003A3BEE">
      <w:pPr>
        <w:rPr>
          <w:lang w:eastAsia="en-AU"/>
        </w:rPr>
      </w:pPr>
      <w:r w:rsidRPr="002F4F7E">
        <w:rPr>
          <w:b/>
          <w:lang w:eastAsia="en-AU"/>
        </w:rPr>
        <w:t>Held (</w:t>
      </w:r>
      <w:r w:rsidR="002A7821">
        <w:rPr>
          <w:b/>
          <w:lang w:eastAsia="en-AU"/>
        </w:rPr>
        <w:t>3</w:t>
      </w:r>
      <w:r>
        <w:rPr>
          <w:b/>
          <w:lang w:eastAsia="en-AU"/>
        </w:rPr>
        <w:t>:</w:t>
      </w:r>
      <w:r w:rsidR="002A7821">
        <w:rPr>
          <w:b/>
          <w:lang w:eastAsia="en-AU"/>
        </w:rPr>
        <w:t>2</w:t>
      </w:r>
      <w:r w:rsidRPr="002F4F7E">
        <w:rPr>
          <w:b/>
          <w:lang w:eastAsia="en-AU"/>
        </w:rPr>
        <w:t xml:space="preserve">): </w:t>
      </w:r>
      <w:r>
        <w:rPr>
          <w:lang w:eastAsia="en-AU"/>
        </w:rPr>
        <w:t xml:space="preserve">Appeal </w:t>
      </w:r>
      <w:r w:rsidR="002A7821">
        <w:rPr>
          <w:lang w:eastAsia="en-AU"/>
        </w:rPr>
        <w:t xml:space="preserve">allowed. </w:t>
      </w:r>
    </w:p>
    <w:p w:rsidR="00156968" w:rsidRPr="00B546B2" w:rsidRDefault="00156968" w:rsidP="00156968">
      <w:pPr>
        <w:pStyle w:val="BullDivider2"/>
        <w:rPr>
          <w:rFonts w:cs="Arial"/>
          <w:highlight w:val="yellow"/>
        </w:rPr>
      </w:pPr>
    </w:p>
    <w:p w:rsidR="00156968" w:rsidRDefault="00156968" w:rsidP="00156968"/>
    <w:p w:rsidR="00156968" w:rsidRPr="00B20BAC" w:rsidRDefault="00156968" w:rsidP="00156968">
      <w:pPr>
        <w:pStyle w:val="Heading1"/>
      </w:pPr>
      <w:r>
        <w:t>Competition Law</w:t>
      </w:r>
    </w:p>
    <w:p w:rsidR="00156968" w:rsidRDefault="00156968" w:rsidP="00156968"/>
    <w:p w:rsidR="00156968" w:rsidRPr="00992ECF" w:rsidRDefault="00156968" w:rsidP="00156968">
      <w:pPr>
        <w:pStyle w:val="Heading2"/>
        <w:rPr>
          <w:i w:val="0"/>
        </w:rPr>
      </w:pPr>
      <w:r>
        <w:t xml:space="preserve">National Collegiate Athletic Association v Alston </w:t>
      </w:r>
      <w:r w:rsidR="002D309D">
        <w:t xml:space="preserve">&amp; </w:t>
      </w:r>
      <w:proofErr w:type="spellStart"/>
      <w:r w:rsidR="002D309D">
        <w:t>Ors</w:t>
      </w:r>
      <w:proofErr w:type="spellEnd"/>
      <w:r>
        <w:t xml:space="preserve"> </w:t>
      </w:r>
    </w:p>
    <w:p w:rsidR="00156968" w:rsidRPr="002F4F7E" w:rsidRDefault="00156968" w:rsidP="00156968">
      <w:pPr>
        <w:rPr>
          <w:lang w:eastAsia="en-AU"/>
        </w:rPr>
      </w:pPr>
      <w:r>
        <w:rPr>
          <w:b/>
          <w:lang w:eastAsia="en-AU"/>
        </w:rPr>
        <w:t>Supreme Court of the United States</w:t>
      </w:r>
      <w:r w:rsidRPr="002F4F7E">
        <w:rPr>
          <w:b/>
          <w:lang w:eastAsia="en-AU"/>
        </w:rPr>
        <w:t xml:space="preserve">: </w:t>
      </w:r>
      <w:hyperlink r:id="rId15" w:history="1">
        <w:r w:rsidRPr="00156968">
          <w:rPr>
            <w:rStyle w:val="Hyperlink"/>
            <w:lang w:eastAsia="en-AU"/>
          </w:rPr>
          <w:t>Docket No. 20-512</w:t>
        </w:r>
      </w:hyperlink>
    </w:p>
    <w:p w:rsidR="00156968" w:rsidRPr="002F4F7E" w:rsidRDefault="00156968" w:rsidP="00156968">
      <w:pPr>
        <w:rPr>
          <w:lang w:eastAsia="en-AU"/>
        </w:rPr>
      </w:pPr>
    </w:p>
    <w:p w:rsidR="00156968" w:rsidRPr="002F4F7E" w:rsidRDefault="00156968" w:rsidP="00156968">
      <w:pPr>
        <w:rPr>
          <w:lang w:eastAsia="en-AU"/>
        </w:rPr>
      </w:pPr>
      <w:r w:rsidRPr="002F4F7E">
        <w:rPr>
          <w:b/>
          <w:lang w:eastAsia="en-AU"/>
        </w:rPr>
        <w:t>Judgment delivered:</w:t>
      </w:r>
      <w:r>
        <w:rPr>
          <w:lang w:eastAsia="en-AU"/>
        </w:rPr>
        <w:t xml:space="preserve"> 21 June 2021</w:t>
      </w:r>
    </w:p>
    <w:p w:rsidR="00156968" w:rsidRPr="002F4F7E" w:rsidRDefault="00156968" w:rsidP="00156968">
      <w:pPr>
        <w:rPr>
          <w:lang w:eastAsia="en-AU"/>
        </w:rPr>
      </w:pPr>
    </w:p>
    <w:p w:rsidR="00156968" w:rsidRPr="002F4F7E" w:rsidRDefault="00156968" w:rsidP="00156968">
      <w:pPr>
        <w:rPr>
          <w:lang w:eastAsia="en-AU"/>
        </w:rPr>
      </w:pPr>
      <w:r w:rsidRPr="002F4F7E">
        <w:rPr>
          <w:b/>
          <w:lang w:eastAsia="en-AU"/>
        </w:rPr>
        <w:lastRenderedPageBreak/>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156968" w:rsidRPr="002F4F7E" w:rsidRDefault="00156968" w:rsidP="00156968">
      <w:pPr>
        <w:rPr>
          <w:lang w:eastAsia="en-AU"/>
        </w:rPr>
      </w:pPr>
    </w:p>
    <w:p w:rsidR="00156968" w:rsidRPr="002F4F7E" w:rsidRDefault="00156968" w:rsidP="00156968">
      <w:pPr>
        <w:rPr>
          <w:b/>
          <w:lang w:eastAsia="en-AU"/>
        </w:rPr>
      </w:pPr>
      <w:r>
        <w:rPr>
          <w:b/>
          <w:lang w:eastAsia="en-AU"/>
        </w:rPr>
        <w:t>Catchwords:</w:t>
      </w:r>
    </w:p>
    <w:p w:rsidR="00156968" w:rsidRPr="00856E9C" w:rsidRDefault="00156968" w:rsidP="00156968">
      <w:pPr>
        <w:rPr>
          <w:b/>
          <w:highlight w:val="yellow"/>
          <w:lang w:eastAsia="en-AU"/>
        </w:rPr>
      </w:pPr>
    </w:p>
    <w:p w:rsidR="00156968" w:rsidRPr="00560C9C" w:rsidRDefault="00156968" w:rsidP="00156968">
      <w:pPr>
        <w:ind w:left="720"/>
        <w:rPr>
          <w:lang w:eastAsia="en-AU"/>
        </w:rPr>
      </w:pPr>
      <w:r>
        <w:rPr>
          <w:lang w:eastAsia="en-AU"/>
        </w:rPr>
        <w:t>Competition law – Anti-trust – Compensation limits – Student athletes – Where petitioner issue</w:t>
      </w:r>
      <w:r w:rsidR="0086214C">
        <w:rPr>
          <w:lang w:eastAsia="en-AU"/>
        </w:rPr>
        <w:t>d</w:t>
      </w:r>
      <w:r>
        <w:rPr>
          <w:lang w:eastAsia="en-AU"/>
        </w:rPr>
        <w:t xml:space="preserve"> and enforce</w:t>
      </w:r>
      <w:r w:rsidR="0086214C">
        <w:rPr>
          <w:lang w:eastAsia="en-AU"/>
        </w:rPr>
        <w:t>d</w:t>
      </w:r>
      <w:r>
        <w:rPr>
          <w:lang w:eastAsia="en-AU"/>
        </w:rPr>
        <w:t xml:space="preserve"> rules limiting amount of compensation colleges and universities may pay to </w:t>
      </w:r>
      <w:r w:rsidR="00E770B6">
        <w:rPr>
          <w:lang w:eastAsia="en-AU"/>
        </w:rPr>
        <w:t xml:space="preserve">“amateur” </w:t>
      </w:r>
      <w:r>
        <w:rPr>
          <w:lang w:eastAsia="en-AU"/>
        </w:rPr>
        <w:t xml:space="preserve">student athletes – </w:t>
      </w:r>
      <w:r w:rsidR="00E770B6">
        <w:rPr>
          <w:lang w:eastAsia="en-AU"/>
        </w:rPr>
        <w:t xml:space="preserve">Where student athletes compensated using scholarships or education-related benefits – </w:t>
      </w:r>
      <w:r>
        <w:rPr>
          <w:lang w:eastAsia="en-AU"/>
        </w:rPr>
        <w:t xml:space="preserve">Where respondent student athletes challenged petitioner’s restrictions on basis restriction violates anti-trust laws </w:t>
      </w:r>
      <w:r w:rsidR="00E770B6">
        <w:rPr>
          <w:lang w:eastAsia="en-AU"/>
        </w:rPr>
        <w:t xml:space="preserve">– Where District Court upheld certain rules and struck down other rules – Where both sides appealed and Ninth Circuit affirmed in full – Whether compensation limits violate anti-trust rules – If so, whether injunction appropriate remedy. </w:t>
      </w:r>
    </w:p>
    <w:p w:rsidR="00156968" w:rsidRPr="00856E9C" w:rsidRDefault="00156968" w:rsidP="00156968">
      <w:pPr>
        <w:ind w:left="720"/>
        <w:rPr>
          <w:highlight w:val="yellow"/>
          <w:lang w:eastAsia="en-AU"/>
        </w:rPr>
      </w:pPr>
    </w:p>
    <w:p w:rsidR="00156968" w:rsidRDefault="00156968" w:rsidP="00156968">
      <w:pPr>
        <w:rPr>
          <w:lang w:eastAsia="en-AU"/>
        </w:rPr>
      </w:pPr>
      <w:r w:rsidRPr="002F4F7E">
        <w:rPr>
          <w:b/>
          <w:lang w:eastAsia="en-AU"/>
        </w:rPr>
        <w:t>Held (</w:t>
      </w:r>
      <w:r>
        <w:rPr>
          <w:b/>
          <w:lang w:eastAsia="en-AU"/>
        </w:rPr>
        <w:t>9:0</w:t>
      </w:r>
      <w:r w:rsidRPr="002F4F7E">
        <w:rPr>
          <w:b/>
          <w:lang w:eastAsia="en-AU"/>
        </w:rPr>
        <w:t>):</w:t>
      </w:r>
      <w:r>
        <w:rPr>
          <w:lang w:eastAsia="en-AU"/>
        </w:rPr>
        <w:t xml:space="preserve"> Affirmed.      </w:t>
      </w:r>
    </w:p>
    <w:p w:rsidR="00F76718" w:rsidRPr="00B546B2" w:rsidRDefault="00F76718" w:rsidP="00F76718">
      <w:pPr>
        <w:pStyle w:val="BullDivider2"/>
        <w:rPr>
          <w:rFonts w:cs="Arial"/>
          <w:highlight w:val="yellow"/>
        </w:rPr>
      </w:pPr>
    </w:p>
    <w:p w:rsidR="00F76718" w:rsidRDefault="00F76718" w:rsidP="00F76718"/>
    <w:p w:rsidR="00F76718" w:rsidRPr="00B20BAC" w:rsidRDefault="00F76718" w:rsidP="00F76718">
      <w:pPr>
        <w:pStyle w:val="Heading1"/>
      </w:pPr>
      <w:r>
        <w:t>Constitutional Law</w:t>
      </w:r>
    </w:p>
    <w:p w:rsidR="00F76718" w:rsidRDefault="00F76718" w:rsidP="00F76718"/>
    <w:p w:rsidR="00064880" w:rsidRPr="00064880" w:rsidRDefault="00064880" w:rsidP="00064880">
      <w:pPr>
        <w:pStyle w:val="Heading2"/>
        <w:rPr>
          <w:i w:val="0"/>
        </w:rPr>
      </w:pPr>
      <w:r>
        <w:t xml:space="preserve">Reference re </w:t>
      </w:r>
      <w:r w:rsidRPr="00064880">
        <w:rPr>
          <w:i w:val="0"/>
        </w:rPr>
        <w:t>Code of Civil Procedure</w:t>
      </w:r>
      <w:r>
        <w:t xml:space="preserve"> (Que) </w:t>
      </w:r>
    </w:p>
    <w:p w:rsidR="00064880" w:rsidRPr="002F4F7E" w:rsidRDefault="00064880" w:rsidP="00064880">
      <w:pPr>
        <w:rPr>
          <w:lang w:eastAsia="en-AU"/>
        </w:rPr>
      </w:pPr>
      <w:r>
        <w:rPr>
          <w:b/>
          <w:lang w:eastAsia="en-AU"/>
        </w:rPr>
        <w:t>Supreme Court of Canada</w:t>
      </w:r>
      <w:r w:rsidRPr="002F4F7E">
        <w:rPr>
          <w:b/>
          <w:lang w:eastAsia="en-AU"/>
        </w:rPr>
        <w:t xml:space="preserve">: </w:t>
      </w:r>
      <w:hyperlink r:id="rId16" w:history="1">
        <w:r w:rsidRPr="00400757">
          <w:rPr>
            <w:rStyle w:val="Hyperlink"/>
            <w:lang w:eastAsia="en-AU"/>
          </w:rPr>
          <w:t>[2021] SCC</w:t>
        </w:r>
        <w:r>
          <w:rPr>
            <w:rStyle w:val="Hyperlink"/>
            <w:lang w:eastAsia="en-AU"/>
          </w:rPr>
          <w:t xml:space="preserve"> 27</w:t>
        </w:r>
      </w:hyperlink>
    </w:p>
    <w:p w:rsidR="00064880" w:rsidRPr="002F4F7E" w:rsidRDefault="00064880" w:rsidP="00064880">
      <w:pPr>
        <w:rPr>
          <w:lang w:eastAsia="en-AU"/>
        </w:rPr>
      </w:pPr>
    </w:p>
    <w:p w:rsidR="00064880" w:rsidRPr="002F4F7E" w:rsidRDefault="00064880" w:rsidP="00064880">
      <w:pPr>
        <w:rPr>
          <w:lang w:eastAsia="en-AU"/>
        </w:rPr>
      </w:pPr>
      <w:r w:rsidRPr="002F4F7E">
        <w:rPr>
          <w:b/>
          <w:lang w:eastAsia="en-AU"/>
        </w:rPr>
        <w:t>Judgment delivered:</w:t>
      </w:r>
      <w:r>
        <w:rPr>
          <w:lang w:eastAsia="en-AU"/>
        </w:rPr>
        <w:t xml:space="preserve"> 30 June 2021</w:t>
      </w:r>
    </w:p>
    <w:p w:rsidR="00064880" w:rsidRPr="002F4F7E" w:rsidRDefault="00064880" w:rsidP="00064880">
      <w:pPr>
        <w:rPr>
          <w:lang w:eastAsia="en-AU"/>
        </w:rPr>
      </w:pPr>
    </w:p>
    <w:p w:rsidR="00064880" w:rsidRPr="002F4F7E" w:rsidRDefault="00064880" w:rsidP="00064880">
      <w:pPr>
        <w:rPr>
          <w:lang w:eastAsia="en-AU"/>
        </w:rPr>
      </w:pPr>
      <w:r w:rsidRPr="002F4F7E">
        <w:rPr>
          <w:b/>
          <w:lang w:eastAsia="en-AU"/>
        </w:rPr>
        <w:t>Coram:</w:t>
      </w:r>
      <w:r>
        <w:rPr>
          <w:b/>
          <w:lang w:eastAsia="en-AU"/>
        </w:rPr>
        <w:t xml:space="preserve"> </w:t>
      </w:r>
      <w:r w:rsidRPr="00064880">
        <w:rPr>
          <w:lang w:eastAsia="en-AU"/>
        </w:rPr>
        <w:t>Wagner CJ</w:t>
      </w:r>
      <w:r>
        <w:rPr>
          <w:lang w:eastAsia="en-AU"/>
        </w:rPr>
        <w:t>,</w:t>
      </w:r>
      <w:r w:rsidRPr="00064880">
        <w:rPr>
          <w:lang w:eastAsia="en-AU"/>
        </w:rPr>
        <w:t xml:space="preserve"> </w:t>
      </w:r>
      <w:proofErr w:type="spellStart"/>
      <w:r w:rsidRPr="00064880">
        <w:rPr>
          <w:lang w:eastAsia="en-AU"/>
        </w:rPr>
        <w:t>Abella</w:t>
      </w:r>
      <w:proofErr w:type="spellEnd"/>
      <w:r w:rsidRPr="00064880">
        <w:rPr>
          <w:lang w:eastAsia="en-AU"/>
        </w:rPr>
        <w:t xml:space="preserve">, </w:t>
      </w:r>
      <w:proofErr w:type="spellStart"/>
      <w:r w:rsidRPr="00064880">
        <w:rPr>
          <w:lang w:eastAsia="en-AU"/>
        </w:rPr>
        <w:t>Moldaver</w:t>
      </w:r>
      <w:proofErr w:type="spellEnd"/>
      <w:r w:rsidRPr="00064880">
        <w:rPr>
          <w:lang w:eastAsia="en-AU"/>
        </w:rPr>
        <w:t xml:space="preserve">, Karakatsanis, </w:t>
      </w:r>
      <w:proofErr w:type="spellStart"/>
      <w:r w:rsidRPr="00064880">
        <w:rPr>
          <w:lang w:eastAsia="en-AU"/>
        </w:rPr>
        <w:t>Côté</w:t>
      </w:r>
      <w:proofErr w:type="spellEnd"/>
      <w:r w:rsidRPr="00064880">
        <w:rPr>
          <w:lang w:eastAsia="en-AU"/>
        </w:rPr>
        <w:t>, Rowe and Martin JJ</w:t>
      </w:r>
    </w:p>
    <w:p w:rsidR="00064880" w:rsidRPr="002F4F7E" w:rsidRDefault="00064880" w:rsidP="00064880">
      <w:pPr>
        <w:rPr>
          <w:lang w:eastAsia="en-AU"/>
        </w:rPr>
      </w:pPr>
    </w:p>
    <w:p w:rsidR="00064880" w:rsidRPr="002F4F7E" w:rsidRDefault="00064880" w:rsidP="00064880">
      <w:pPr>
        <w:rPr>
          <w:b/>
          <w:lang w:eastAsia="en-AU"/>
        </w:rPr>
      </w:pPr>
      <w:r>
        <w:rPr>
          <w:b/>
          <w:lang w:eastAsia="en-AU"/>
        </w:rPr>
        <w:t>Catchwords:</w:t>
      </w:r>
    </w:p>
    <w:p w:rsidR="00064880" w:rsidRPr="00856E9C" w:rsidRDefault="00064880" w:rsidP="00064880">
      <w:pPr>
        <w:rPr>
          <w:b/>
          <w:highlight w:val="yellow"/>
          <w:lang w:eastAsia="en-AU"/>
        </w:rPr>
      </w:pPr>
    </w:p>
    <w:p w:rsidR="00064880" w:rsidRDefault="00064880" w:rsidP="00064880">
      <w:pPr>
        <w:ind w:left="720"/>
        <w:rPr>
          <w:lang w:eastAsia="en-AU"/>
        </w:rPr>
      </w:pPr>
      <w:r w:rsidRPr="00064880">
        <w:rPr>
          <w:lang w:eastAsia="en-AU"/>
        </w:rPr>
        <w:t xml:space="preserve">Constitutional law — Courts — Provincial jurisdiction over administration of justice — Role of superior courts — </w:t>
      </w:r>
      <w:r>
        <w:rPr>
          <w:lang w:eastAsia="en-AU"/>
        </w:rPr>
        <w:t>Where e</w:t>
      </w:r>
      <w:r w:rsidRPr="00064880">
        <w:rPr>
          <w:lang w:eastAsia="en-AU"/>
        </w:rPr>
        <w:t xml:space="preserve">xclusive monetary jurisdiction over civil claims for less than $85,000 granted to Court of Québec by provincial legislature — Whether grant of exclusive jurisdiction constitutional — </w:t>
      </w:r>
      <w:r w:rsidRPr="00064880">
        <w:rPr>
          <w:i/>
          <w:lang w:eastAsia="en-AU"/>
        </w:rPr>
        <w:t>Constitution Act, 1867</w:t>
      </w:r>
      <w:r w:rsidRPr="00064880">
        <w:rPr>
          <w:lang w:eastAsia="en-AU"/>
        </w:rPr>
        <w:t xml:space="preserve">, ss 92(14), 96 — </w:t>
      </w:r>
      <w:r w:rsidRPr="00064880">
        <w:rPr>
          <w:i/>
          <w:lang w:eastAsia="en-AU"/>
        </w:rPr>
        <w:t>Code of Civil Procedure, CQLR</w:t>
      </w:r>
      <w:r w:rsidRPr="00064880">
        <w:rPr>
          <w:lang w:eastAsia="en-AU"/>
        </w:rPr>
        <w:t>, c C</w:t>
      </w:r>
      <w:r w:rsidRPr="00064880">
        <w:rPr>
          <w:rFonts w:ascii="Cambria Math" w:hAnsi="Cambria Math" w:cs="Cambria Math"/>
          <w:lang w:eastAsia="en-AU"/>
        </w:rPr>
        <w:t>‑</w:t>
      </w:r>
      <w:r w:rsidRPr="00064880">
        <w:rPr>
          <w:lang w:eastAsia="en-AU"/>
        </w:rPr>
        <w:t>25.01, art 35 para 1.</w:t>
      </w:r>
    </w:p>
    <w:p w:rsidR="00064880" w:rsidRPr="00856E9C" w:rsidRDefault="00064880" w:rsidP="00064880">
      <w:pPr>
        <w:ind w:left="720"/>
        <w:rPr>
          <w:highlight w:val="yellow"/>
          <w:lang w:eastAsia="en-AU"/>
        </w:rPr>
      </w:pPr>
    </w:p>
    <w:p w:rsidR="00064880" w:rsidRDefault="00064880" w:rsidP="00064880">
      <w:pPr>
        <w:rPr>
          <w:lang w:eastAsia="en-AU"/>
        </w:rPr>
      </w:pPr>
      <w:r w:rsidRPr="002F4F7E">
        <w:rPr>
          <w:b/>
          <w:lang w:eastAsia="en-AU"/>
        </w:rPr>
        <w:t>Held (</w:t>
      </w:r>
      <w:r>
        <w:rPr>
          <w:b/>
          <w:lang w:eastAsia="en-AU"/>
        </w:rPr>
        <w:t>4:3</w:t>
      </w:r>
      <w:r w:rsidRPr="002F4F7E">
        <w:rPr>
          <w:b/>
          <w:lang w:eastAsia="en-AU"/>
        </w:rPr>
        <w:t xml:space="preserve">): </w:t>
      </w:r>
      <w:r>
        <w:rPr>
          <w:lang w:eastAsia="en-AU"/>
        </w:rPr>
        <w:t xml:space="preserve">Appeals dismissed.  </w:t>
      </w:r>
    </w:p>
    <w:p w:rsidR="00064880" w:rsidRDefault="00064880" w:rsidP="00064880">
      <w:pPr>
        <w:pStyle w:val="BullDivider1"/>
        <w:pBdr>
          <w:bottom w:val="dotted" w:sz="4" w:space="0" w:color="auto"/>
        </w:pBdr>
      </w:pPr>
    </w:p>
    <w:p w:rsidR="00064880" w:rsidRDefault="00064880" w:rsidP="00064880">
      <w:pPr>
        <w:rPr>
          <w:rFonts w:ascii="Arial" w:hAnsi="Arial" w:cs="Arial"/>
          <w:bCs/>
          <w:i/>
          <w:iCs/>
          <w:sz w:val="28"/>
          <w:szCs w:val="28"/>
          <w:lang w:eastAsia="en-AU"/>
        </w:rPr>
      </w:pPr>
    </w:p>
    <w:p w:rsidR="00AB1326" w:rsidRPr="00992ECF" w:rsidRDefault="00D06859" w:rsidP="00AB1326">
      <w:pPr>
        <w:pStyle w:val="Heading2"/>
        <w:rPr>
          <w:i w:val="0"/>
        </w:rPr>
      </w:pPr>
      <w:r>
        <w:t>R v Chouhan</w:t>
      </w:r>
    </w:p>
    <w:p w:rsidR="00AB1326" w:rsidRPr="002F4F7E" w:rsidRDefault="00AB1326" w:rsidP="00AB1326">
      <w:pPr>
        <w:rPr>
          <w:lang w:eastAsia="en-AU"/>
        </w:rPr>
      </w:pPr>
      <w:r>
        <w:rPr>
          <w:b/>
          <w:lang w:eastAsia="en-AU"/>
        </w:rPr>
        <w:t>Supreme Court of Canada</w:t>
      </w:r>
      <w:r w:rsidRPr="002F4F7E">
        <w:rPr>
          <w:b/>
          <w:lang w:eastAsia="en-AU"/>
        </w:rPr>
        <w:t xml:space="preserve">: </w:t>
      </w:r>
      <w:hyperlink r:id="rId17" w:history="1">
        <w:r w:rsidRPr="00400757">
          <w:rPr>
            <w:rStyle w:val="Hyperlink"/>
            <w:lang w:eastAsia="en-AU"/>
          </w:rPr>
          <w:t>[2021] SCC</w:t>
        </w:r>
        <w:r>
          <w:rPr>
            <w:rStyle w:val="Hyperlink"/>
            <w:lang w:eastAsia="en-AU"/>
          </w:rPr>
          <w:t xml:space="preserve"> 2</w:t>
        </w:r>
        <w:r w:rsidR="00D06859">
          <w:rPr>
            <w:rStyle w:val="Hyperlink"/>
            <w:lang w:eastAsia="en-AU"/>
          </w:rPr>
          <w:t>6</w:t>
        </w:r>
      </w:hyperlink>
    </w:p>
    <w:p w:rsidR="00AB1326" w:rsidRPr="002F4F7E" w:rsidRDefault="00AB1326" w:rsidP="00AB1326">
      <w:pPr>
        <w:rPr>
          <w:lang w:eastAsia="en-AU"/>
        </w:rPr>
      </w:pPr>
    </w:p>
    <w:p w:rsidR="00AB1326" w:rsidRPr="002F4F7E" w:rsidRDefault="00AB1326" w:rsidP="00AB1326">
      <w:pPr>
        <w:rPr>
          <w:lang w:eastAsia="en-AU"/>
        </w:rPr>
      </w:pPr>
      <w:r w:rsidRPr="002F4F7E">
        <w:rPr>
          <w:b/>
          <w:lang w:eastAsia="en-AU"/>
        </w:rPr>
        <w:t>Judgment delivered:</w:t>
      </w:r>
      <w:r>
        <w:rPr>
          <w:lang w:eastAsia="en-AU"/>
        </w:rPr>
        <w:t xml:space="preserve"> </w:t>
      </w:r>
      <w:r w:rsidR="00D06859">
        <w:rPr>
          <w:lang w:eastAsia="en-AU"/>
        </w:rPr>
        <w:t>25</w:t>
      </w:r>
      <w:r>
        <w:rPr>
          <w:lang w:eastAsia="en-AU"/>
        </w:rPr>
        <w:t xml:space="preserve"> June 2021</w:t>
      </w:r>
    </w:p>
    <w:p w:rsidR="00AB1326" w:rsidRPr="002F4F7E" w:rsidRDefault="00AB1326" w:rsidP="00AB1326">
      <w:pPr>
        <w:rPr>
          <w:lang w:eastAsia="en-AU"/>
        </w:rPr>
      </w:pPr>
    </w:p>
    <w:p w:rsidR="00AB1326" w:rsidRPr="002F4F7E" w:rsidRDefault="00AB1326" w:rsidP="00AB1326">
      <w:pPr>
        <w:rPr>
          <w:lang w:eastAsia="en-AU"/>
        </w:rPr>
      </w:pPr>
      <w:r w:rsidRPr="002F4F7E">
        <w:rPr>
          <w:b/>
          <w:lang w:eastAsia="en-AU"/>
        </w:rPr>
        <w:t>Coram:</w:t>
      </w:r>
      <w:r>
        <w:rPr>
          <w:b/>
          <w:lang w:eastAsia="en-AU"/>
        </w:rPr>
        <w:t xml:space="preserve"> </w:t>
      </w:r>
      <w:r>
        <w:rPr>
          <w:lang w:eastAsia="en-AU"/>
        </w:rPr>
        <w:t xml:space="preserve">Wagner CJ, </w:t>
      </w:r>
      <w:proofErr w:type="spellStart"/>
      <w:r w:rsidR="00D06859">
        <w:rPr>
          <w:lang w:eastAsia="en-AU"/>
        </w:rPr>
        <w:t>Abella</w:t>
      </w:r>
      <w:proofErr w:type="spellEnd"/>
      <w:r w:rsidR="00D06859">
        <w:rPr>
          <w:lang w:eastAsia="en-AU"/>
        </w:rPr>
        <w:t xml:space="preserve">, </w:t>
      </w:r>
      <w:proofErr w:type="spellStart"/>
      <w:r w:rsidR="00D06859">
        <w:rPr>
          <w:lang w:eastAsia="en-AU"/>
        </w:rPr>
        <w:t>Moldaver</w:t>
      </w:r>
      <w:proofErr w:type="spellEnd"/>
      <w:r w:rsidR="00D06859">
        <w:rPr>
          <w:lang w:eastAsia="en-AU"/>
        </w:rPr>
        <w:t xml:space="preserve">, </w:t>
      </w:r>
      <w:r w:rsidR="00D06859" w:rsidRPr="00D06859">
        <w:rPr>
          <w:lang w:eastAsia="en-AU"/>
        </w:rPr>
        <w:t xml:space="preserve">Karakatsanis, </w:t>
      </w:r>
      <w:proofErr w:type="spellStart"/>
      <w:r w:rsidR="00D06859" w:rsidRPr="00D06859">
        <w:rPr>
          <w:lang w:eastAsia="en-AU"/>
        </w:rPr>
        <w:t>Côté</w:t>
      </w:r>
      <w:proofErr w:type="spellEnd"/>
      <w:r w:rsidR="00D06859" w:rsidRPr="00D06859">
        <w:rPr>
          <w:lang w:eastAsia="en-AU"/>
        </w:rPr>
        <w:t xml:space="preserve">, Brown, Rowe, Martin and </w:t>
      </w:r>
      <w:proofErr w:type="spellStart"/>
      <w:r w:rsidR="00D06859" w:rsidRPr="00D06859">
        <w:rPr>
          <w:lang w:eastAsia="en-AU"/>
        </w:rPr>
        <w:t>Kasirer</w:t>
      </w:r>
      <w:proofErr w:type="spellEnd"/>
      <w:r w:rsidR="00D06859" w:rsidRPr="00D06859">
        <w:rPr>
          <w:lang w:eastAsia="en-AU"/>
        </w:rPr>
        <w:t xml:space="preserve"> JJ</w:t>
      </w:r>
    </w:p>
    <w:p w:rsidR="00AB1326" w:rsidRPr="002F4F7E" w:rsidRDefault="00AB1326" w:rsidP="00AB1326">
      <w:pPr>
        <w:rPr>
          <w:lang w:eastAsia="en-AU"/>
        </w:rPr>
      </w:pPr>
    </w:p>
    <w:p w:rsidR="00AB1326" w:rsidRPr="002F4F7E" w:rsidRDefault="00AB1326" w:rsidP="00AB1326">
      <w:pPr>
        <w:rPr>
          <w:b/>
          <w:lang w:eastAsia="en-AU"/>
        </w:rPr>
      </w:pPr>
      <w:r>
        <w:rPr>
          <w:b/>
          <w:lang w:eastAsia="en-AU"/>
        </w:rPr>
        <w:t>Catchwords:</w:t>
      </w:r>
    </w:p>
    <w:p w:rsidR="00AB1326" w:rsidRPr="00856E9C" w:rsidRDefault="00AB1326" w:rsidP="00AB1326">
      <w:pPr>
        <w:rPr>
          <w:b/>
          <w:highlight w:val="yellow"/>
          <w:lang w:eastAsia="en-AU"/>
        </w:rPr>
      </w:pPr>
    </w:p>
    <w:p w:rsidR="00AB1326" w:rsidRDefault="001F4B89" w:rsidP="00AB1326">
      <w:pPr>
        <w:ind w:left="720"/>
        <w:rPr>
          <w:lang w:eastAsia="en-AU"/>
        </w:rPr>
      </w:pPr>
      <w:r w:rsidRPr="001F4B89">
        <w:rPr>
          <w:lang w:eastAsia="en-AU"/>
        </w:rPr>
        <w:lastRenderedPageBreak/>
        <w:t xml:space="preserve">Constitutional law — Charter of Rights  — Right to fair hearing — Right to trial by jury — Jurors — Selection — Peremptory challenges — Whether amendments to </w:t>
      </w:r>
      <w:r w:rsidRPr="001F4B89">
        <w:rPr>
          <w:i/>
          <w:lang w:eastAsia="en-AU"/>
        </w:rPr>
        <w:t>Criminal Code</w:t>
      </w:r>
      <w:r w:rsidR="0067615D">
        <w:rPr>
          <w:lang w:eastAsia="en-AU"/>
        </w:rPr>
        <w:t xml:space="preserve"> </w:t>
      </w:r>
      <w:r w:rsidRPr="001F4B89">
        <w:rPr>
          <w:lang w:eastAsia="en-AU"/>
        </w:rPr>
        <w:t xml:space="preserve">abolishing accused’s peremptory challenges during jury selection violate right to fair hearing or right to benefit of trial by jury — If not, whether abolition of peremptory challenges applies to accused awaiting trial on date amendments came into force — </w:t>
      </w:r>
      <w:r w:rsidRPr="001F4B89">
        <w:rPr>
          <w:i/>
          <w:lang w:eastAsia="en-AU"/>
        </w:rPr>
        <w:t>Canadian Charter of Rights and Freedoms</w:t>
      </w:r>
      <w:r w:rsidRPr="001F4B89">
        <w:rPr>
          <w:lang w:eastAsia="en-AU"/>
        </w:rPr>
        <w:t xml:space="preserve">, ss 11 (d), (f) — </w:t>
      </w:r>
      <w:r w:rsidRPr="001F4B89">
        <w:rPr>
          <w:i/>
          <w:lang w:eastAsia="en-AU"/>
        </w:rPr>
        <w:t>An Act to amend the Criminal Code, the Youth Criminal Justice Act and other Acts and to make consequential amendments to other Acts</w:t>
      </w:r>
      <w:r w:rsidRPr="001F4B89">
        <w:rPr>
          <w:lang w:eastAsia="en-AU"/>
        </w:rPr>
        <w:t xml:space="preserve">, </w:t>
      </w:r>
      <w:r w:rsidRPr="001F4B89">
        <w:rPr>
          <w:i/>
          <w:lang w:eastAsia="en-AU"/>
        </w:rPr>
        <w:t>1st Sess., 42nd Parl, 2019</w:t>
      </w:r>
      <w:r w:rsidRPr="001F4B89">
        <w:rPr>
          <w:lang w:eastAsia="en-AU"/>
        </w:rPr>
        <w:t xml:space="preserve">, c 25, ss 269, 271, 272 — </w:t>
      </w:r>
      <w:r w:rsidRPr="001F4B89">
        <w:rPr>
          <w:i/>
          <w:lang w:eastAsia="en-AU"/>
        </w:rPr>
        <w:t>Criminal Code</w:t>
      </w:r>
      <w:r w:rsidRPr="001F4B89">
        <w:rPr>
          <w:lang w:eastAsia="en-AU"/>
        </w:rPr>
        <w:t>, ss 633 , 638.</w:t>
      </w:r>
    </w:p>
    <w:p w:rsidR="001F4B89" w:rsidRPr="00856E9C" w:rsidRDefault="001F4B89" w:rsidP="00AB1326">
      <w:pPr>
        <w:ind w:left="720"/>
        <w:rPr>
          <w:highlight w:val="yellow"/>
          <w:lang w:eastAsia="en-AU"/>
        </w:rPr>
      </w:pPr>
    </w:p>
    <w:p w:rsidR="00AB1326" w:rsidRDefault="00AB1326" w:rsidP="00AB1326">
      <w:pPr>
        <w:rPr>
          <w:lang w:eastAsia="en-AU"/>
        </w:rPr>
      </w:pPr>
      <w:r w:rsidRPr="002F4F7E">
        <w:rPr>
          <w:b/>
          <w:lang w:eastAsia="en-AU"/>
        </w:rPr>
        <w:t>Held (</w:t>
      </w:r>
      <w:r>
        <w:rPr>
          <w:b/>
          <w:lang w:eastAsia="en-AU"/>
        </w:rPr>
        <w:t>7:</w:t>
      </w:r>
      <w:r w:rsidR="00D06859">
        <w:rPr>
          <w:b/>
          <w:lang w:eastAsia="en-AU"/>
        </w:rPr>
        <w:t>2</w:t>
      </w:r>
      <w:r w:rsidRPr="002F4F7E">
        <w:rPr>
          <w:b/>
          <w:lang w:eastAsia="en-AU"/>
        </w:rPr>
        <w:t xml:space="preserve">): </w:t>
      </w:r>
      <w:r>
        <w:rPr>
          <w:lang w:eastAsia="en-AU"/>
        </w:rPr>
        <w:t xml:space="preserve">Appeal </w:t>
      </w:r>
      <w:r w:rsidR="00D06859">
        <w:rPr>
          <w:lang w:eastAsia="en-AU"/>
        </w:rPr>
        <w:t xml:space="preserve">allowed; cross-appeal dismissed. </w:t>
      </w:r>
    </w:p>
    <w:p w:rsidR="00AB1326" w:rsidRDefault="00AB1326" w:rsidP="00AB1326">
      <w:pPr>
        <w:pStyle w:val="BullDivider1"/>
        <w:pBdr>
          <w:bottom w:val="dotted" w:sz="4" w:space="0" w:color="auto"/>
        </w:pBdr>
      </w:pPr>
    </w:p>
    <w:p w:rsidR="00AB1326" w:rsidRDefault="00AB1326" w:rsidP="00AB1326">
      <w:pPr>
        <w:rPr>
          <w:rFonts w:ascii="Arial" w:hAnsi="Arial" w:cs="Arial"/>
          <w:bCs/>
          <w:i/>
          <w:iCs/>
          <w:sz w:val="28"/>
          <w:szCs w:val="28"/>
          <w:lang w:eastAsia="en-AU"/>
        </w:rPr>
      </w:pPr>
    </w:p>
    <w:p w:rsidR="00857634" w:rsidRPr="00992ECF" w:rsidRDefault="00171BF7" w:rsidP="00857634">
      <w:pPr>
        <w:pStyle w:val="Heading2"/>
        <w:rPr>
          <w:i w:val="0"/>
        </w:rPr>
      </w:pPr>
      <w:r>
        <w:t>Lange v California</w:t>
      </w:r>
    </w:p>
    <w:p w:rsidR="00857634" w:rsidRDefault="00857634" w:rsidP="00857634">
      <w:pPr>
        <w:rPr>
          <w:lang w:eastAsia="en-AU"/>
        </w:rPr>
      </w:pPr>
      <w:r>
        <w:rPr>
          <w:b/>
          <w:lang w:eastAsia="en-AU"/>
        </w:rPr>
        <w:t>Supreme Court of the United States</w:t>
      </w:r>
      <w:r w:rsidRPr="002F4F7E">
        <w:rPr>
          <w:b/>
          <w:lang w:eastAsia="en-AU"/>
        </w:rPr>
        <w:t xml:space="preserve">: </w:t>
      </w:r>
      <w:hyperlink r:id="rId18" w:history="1">
        <w:r w:rsidRPr="00533C5A">
          <w:rPr>
            <w:rStyle w:val="Hyperlink"/>
            <w:lang w:eastAsia="en-AU"/>
          </w:rPr>
          <w:t xml:space="preserve">Docket No. </w:t>
        </w:r>
        <w:r w:rsidR="00171BF7">
          <w:rPr>
            <w:rStyle w:val="Hyperlink"/>
            <w:lang w:eastAsia="en-AU"/>
          </w:rPr>
          <w:t>20-18</w:t>
        </w:r>
      </w:hyperlink>
    </w:p>
    <w:p w:rsidR="00857634" w:rsidRPr="002F4F7E" w:rsidRDefault="00857634" w:rsidP="00857634">
      <w:pPr>
        <w:rPr>
          <w:lang w:eastAsia="en-AU"/>
        </w:rPr>
      </w:pPr>
    </w:p>
    <w:p w:rsidR="00857634" w:rsidRPr="002F4F7E" w:rsidRDefault="00857634" w:rsidP="00857634">
      <w:pPr>
        <w:rPr>
          <w:lang w:eastAsia="en-AU"/>
        </w:rPr>
      </w:pPr>
      <w:r w:rsidRPr="002F4F7E">
        <w:rPr>
          <w:b/>
          <w:lang w:eastAsia="en-AU"/>
        </w:rPr>
        <w:t>Judgment delivered:</w:t>
      </w:r>
      <w:r>
        <w:rPr>
          <w:lang w:eastAsia="en-AU"/>
        </w:rPr>
        <w:t xml:space="preserve"> 23 June 2021</w:t>
      </w:r>
    </w:p>
    <w:p w:rsidR="00857634" w:rsidRPr="002F4F7E" w:rsidRDefault="00857634" w:rsidP="00857634">
      <w:pPr>
        <w:rPr>
          <w:lang w:eastAsia="en-AU"/>
        </w:rPr>
      </w:pPr>
    </w:p>
    <w:p w:rsidR="00857634" w:rsidRPr="002F4F7E" w:rsidRDefault="00857634" w:rsidP="00857634">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857634" w:rsidRPr="002F4F7E" w:rsidRDefault="00857634" w:rsidP="00857634">
      <w:pPr>
        <w:rPr>
          <w:lang w:eastAsia="en-AU"/>
        </w:rPr>
      </w:pPr>
    </w:p>
    <w:p w:rsidR="00857634" w:rsidRPr="002F4F7E" w:rsidRDefault="00857634" w:rsidP="00857634">
      <w:pPr>
        <w:rPr>
          <w:b/>
          <w:lang w:eastAsia="en-AU"/>
        </w:rPr>
      </w:pPr>
      <w:r>
        <w:rPr>
          <w:b/>
          <w:lang w:eastAsia="en-AU"/>
        </w:rPr>
        <w:t>Catchwords:</w:t>
      </w:r>
    </w:p>
    <w:p w:rsidR="00857634" w:rsidRPr="00856E9C" w:rsidRDefault="00857634" w:rsidP="00857634">
      <w:pPr>
        <w:rPr>
          <w:b/>
          <w:highlight w:val="yellow"/>
          <w:lang w:eastAsia="en-AU"/>
        </w:rPr>
      </w:pPr>
    </w:p>
    <w:p w:rsidR="00857634" w:rsidRPr="00560C9C" w:rsidRDefault="00857634" w:rsidP="00171BF7">
      <w:pPr>
        <w:ind w:left="720"/>
        <w:rPr>
          <w:lang w:eastAsia="en-AU"/>
        </w:rPr>
      </w:pPr>
      <w:r>
        <w:rPr>
          <w:lang w:eastAsia="en-AU"/>
        </w:rPr>
        <w:t xml:space="preserve">Constitutional law – </w:t>
      </w:r>
      <w:r w:rsidR="00171BF7">
        <w:rPr>
          <w:lang w:eastAsia="en-AU"/>
        </w:rPr>
        <w:t>Fourth Amendment – Warrantless entry – Pursuit of misdemeanour – Whe</w:t>
      </w:r>
      <w:r w:rsidR="0067615D">
        <w:rPr>
          <w:lang w:eastAsia="en-AU"/>
        </w:rPr>
        <w:t>re</w:t>
      </w:r>
      <w:r w:rsidR="00171BF7">
        <w:rPr>
          <w:lang w:eastAsia="en-AU"/>
        </w:rPr>
        <w:t xml:space="preserve"> petitioner driving car – Where highway patrol officer signalled to petitioner to pull over – Where petitioner instead drove short distance to his driveway and entered his garage – </w:t>
      </w:r>
      <w:r w:rsidR="00692364">
        <w:rPr>
          <w:lang w:eastAsia="en-AU"/>
        </w:rPr>
        <w:t xml:space="preserve">Where failure to pull over when signalled constituted probable cause to arrest for misdemeanour of failing to comply with police signal – </w:t>
      </w:r>
      <w:r w:rsidR="00171BF7">
        <w:rPr>
          <w:lang w:eastAsia="en-AU"/>
        </w:rPr>
        <w:t xml:space="preserve">Where officer followed </w:t>
      </w:r>
      <w:r w:rsidR="0067615D">
        <w:rPr>
          <w:lang w:eastAsia="en-AU"/>
        </w:rPr>
        <w:t>petitioner</w:t>
      </w:r>
      <w:r w:rsidR="00171BF7">
        <w:rPr>
          <w:lang w:eastAsia="en-AU"/>
        </w:rPr>
        <w:t xml:space="preserve"> to garage, questioned him and performed sobriety tests – Where subsequent blood alcohol test showed petitioner’s blood alcohol content higher than legal limit </w:t>
      </w:r>
      <w:r w:rsidR="00692364">
        <w:rPr>
          <w:lang w:eastAsia="en-AU"/>
        </w:rPr>
        <w:t>– Where petitioner charged with driving under influence – Where petitioner sought to supress evidence obtained after officer entered garage, arguing warrantless entry violated Fourth Amendment – Where Superior Court denied motion and Court of Appeal affirmed – Whether pursuit of fleeing misdemeanour suspect justif</w:t>
      </w:r>
      <w:r w:rsidR="005F412C">
        <w:rPr>
          <w:lang w:eastAsia="en-AU"/>
        </w:rPr>
        <w:t>ies</w:t>
      </w:r>
      <w:r w:rsidR="00692364">
        <w:rPr>
          <w:lang w:eastAsia="en-AU"/>
        </w:rPr>
        <w:t xml:space="preserve"> warrantless entry for purposes of Fourth Amendment. </w:t>
      </w:r>
    </w:p>
    <w:p w:rsidR="00857634" w:rsidRPr="00856E9C" w:rsidRDefault="00857634" w:rsidP="00857634">
      <w:pPr>
        <w:ind w:left="720"/>
        <w:rPr>
          <w:highlight w:val="yellow"/>
          <w:lang w:eastAsia="en-AU"/>
        </w:rPr>
      </w:pPr>
    </w:p>
    <w:p w:rsidR="00857634" w:rsidRDefault="00857634" w:rsidP="00857634">
      <w:pPr>
        <w:rPr>
          <w:lang w:eastAsia="en-AU"/>
        </w:rPr>
      </w:pPr>
      <w:r w:rsidRPr="002F4F7E">
        <w:rPr>
          <w:b/>
          <w:lang w:eastAsia="en-AU"/>
        </w:rPr>
        <w:t>Held (</w:t>
      </w:r>
      <w:r w:rsidR="00171BF7">
        <w:rPr>
          <w:b/>
          <w:lang w:eastAsia="en-AU"/>
        </w:rPr>
        <w:t>9</w:t>
      </w:r>
      <w:r>
        <w:rPr>
          <w:b/>
          <w:lang w:eastAsia="en-AU"/>
        </w:rPr>
        <w:t>:</w:t>
      </w:r>
      <w:r w:rsidR="00171BF7">
        <w:rPr>
          <w:b/>
          <w:lang w:eastAsia="en-AU"/>
        </w:rPr>
        <w:t>0</w:t>
      </w:r>
      <w:r w:rsidRPr="002F4F7E">
        <w:rPr>
          <w:b/>
          <w:lang w:eastAsia="en-AU"/>
        </w:rPr>
        <w:t>):</w:t>
      </w:r>
      <w:r>
        <w:rPr>
          <w:lang w:eastAsia="en-AU"/>
        </w:rPr>
        <w:t xml:space="preserve"> </w:t>
      </w:r>
      <w:r w:rsidR="00171BF7">
        <w:rPr>
          <w:lang w:eastAsia="en-AU"/>
        </w:rPr>
        <w:t>V</w:t>
      </w:r>
      <w:r>
        <w:rPr>
          <w:lang w:eastAsia="en-AU"/>
        </w:rPr>
        <w:t xml:space="preserve">acated and remanded.       </w:t>
      </w:r>
    </w:p>
    <w:p w:rsidR="00857634" w:rsidRDefault="00857634" w:rsidP="00857634">
      <w:pPr>
        <w:pStyle w:val="BullDivider1"/>
        <w:pBdr>
          <w:bottom w:val="dotted" w:sz="4" w:space="0" w:color="auto"/>
        </w:pBdr>
      </w:pPr>
    </w:p>
    <w:p w:rsidR="00857634" w:rsidRDefault="00857634" w:rsidP="00857634"/>
    <w:p w:rsidR="00FF39DD" w:rsidRPr="00992ECF" w:rsidRDefault="00FF39DD" w:rsidP="00FF39DD">
      <w:pPr>
        <w:pStyle w:val="Heading2"/>
        <w:rPr>
          <w:i w:val="0"/>
        </w:rPr>
      </w:pPr>
      <w:r>
        <w:t xml:space="preserve">Collins </w:t>
      </w:r>
      <w:r w:rsidR="002D309D">
        <w:t xml:space="preserve">&amp; </w:t>
      </w:r>
      <w:proofErr w:type="spellStart"/>
      <w:r w:rsidR="002D309D">
        <w:t>Ors</w:t>
      </w:r>
      <w:proofErr w:type="spellEnd"/>
      <w:r>
        <w:t xml:space="preserve"> v Yellen </w:t>
      </w:r>
      <w:r w:rsidR="002D309D">
        <w:t xml:space="preserve">&amp; </w:t>
      </w:r>
      <w:proofErr w:type="spellStart"/>
      <w:r w:rsidR="002D309D">
        <w:t>Ors</w:t>
      </w:r>
      <w:proofErr w:type="spellEnd"/>
      <w:r>
        <w:t xml:space="preserve">; Yellen </w:t>
      </w:r>
      <w:r w:rsidR="002D309D">
        <w:t xml:space="preserve">&amp; </w:t>
      </w:r>
      <w:proofErr w:type="spellStart"/>
      <w:r w:rsidR="002D309D">
        <w:t>Ors</w:t>
      </w:r>
      <w:proofErr w:type="spellEnd"/>
      <w:r>
        <w:t xml:space="preserve"> v Collins </w:t>
      </w:r>
      <w:r w:rsidR="002D309D">
        <w:t xml:space="preserve">&amp; </w:t>
      </w:r>
      <w:proofErr w:type="spellStart"/>
      <w:r w:rsidR="002D309D">
        <w:t>Ors</w:t>
      </w:r>
      <w:proofErr w:type="spellEnd"/>
    </w:p>
    <w:p w:rsidR="00FF39DD" w:rsidRDefault="00FF39DD" w:rsidP="00FF39DD">
      <w:pPr>
        <w:rPr>
          <w:lang w:eastAsia="en-AU"/>
        </w:rPr>
      </w:pPr>
      <w:r>
        <w:rPr>
          <w:b/>
          <w:lang w:eastAsia="en-AU"/>
        </w:rPr>
        <w:t>Supreme Court of the United States</w:t>
      </w:r>
      <w:r w:rsidRPr="002F4F7E">
        <w:rPr>
          <w:b/>
          <w:lang w:eastAsia="en-AU"/>
        </w:rPr>
        <w:t xml:space="preserve">: </w:t>
      </w:r>
      <w:hyperlink r:id="rId19" w:history="1">
        <w:r w:rsidRPr="00533C5A">
          <w:rPr>
            <w:rStyle w:val="Hyperlink"/>
            <w:lang w:eastAsia="en-AU"/>
          </w:rPr>
          <w:t xml:space="preserve">Docket No. </w:t>
        </w:r>
        <w:r>
          <w:rPr>
            <w:rStyle w:val="Hyperlink"/>
            <w:lang w:eastAsia="en-AU"/>
          </w:rPr>
          <w:t>19-422; 19-563</w:t>
        </w:r>
      </w:hyperlink>
    </w:p>
    <w:p w:rsidR="00FF39DD" w:rsidRPr="002F4F7E" w:rsidRDefault="00FF39DD" w:rsidP="00FF39DD">
      <w:pPr>
        <w:rPr>
          <w:lang w:eastAsia="en-AU"/>
        </w:rPr>
      </w:pPr>
    </w:p>
    <w:p w:rsidR="00FF39DD" w:rsidRPr="002F4F7E" w:rsidRDefault="00FF39DD" w:rsidP="00FF39DD">
      <w:pPr>
        <w:rPr>
          <w:lang w:eastAsia="en-AU"/>
        </w:rPr>
      </w:pPr>
      <w:r w:rsidRPr="002F4F7E">
        <w:rPr>
          <w:b/>
          <w:lang w:eastAsia="en-AU"/>
        </w:rPr>
        <w:t>Judgment delivered:</w:t>
      </w:r>
      <w:r>
        <w:rPr>
          <w:lang w:eastAsia="en-AU"/>
        </w:rPr>
        <w:t xml:space="preserve"> 23 June 2021</w:t>
      </w:r>
    </w:p>
    <w:p w:rsidR="00FF39DD" w:rsidRPr="002F4F7E" w:rsidRDefault="00FF39DD" w:rsidP="00FF39DD">
      <w:pPr>
        <w:rPr>
          <w:lang w:eastAsia="en-AU"/>
        </w:rPr>
      </w:pPr>
    </w:p>
    <w:p w:rsidR="00FF39DD" w:rsidRPr="002F4F7E" w:rsidRDefault="00FF39DD" w:rsidP="00FF39DD">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FF39DD" w:rsidRPr="002F4F7E" w:rsidRDefault="00FF39DD" w:rsidP="00FF39DD">
      <w:pPr>
        <w:rPr>
          <w:lang w:eastAsia="en-AU"/>
        </w:rPr>
      </w:pPr>
    </w:p>
    <w:p w:rsidR="00FF39DD" w:rsidRPr="002F4F7E" w:rsidRDefault="00FF39DD" w:rsidP="00FF39DD">
      <w:pPr>
        <w:rPr>
          <w:b/>
          <w:lang w:eastAsia="en-AU"/>
        </w:rPr>
      </w:pPr>
      <w:r>
        <w:rPr>
          <w:b/>
          <w:lang w:eastAsia="en-AU"/>
        </w:rPr>
        <w:t>Catchwords:</w:t>
      </w:r>
    </w:p>
    <w:p w:rsidR="00FF39DD" w:rsidRPr="00856E9C" w:rsidRDefault="00FF39DD" w:rsidP="00FF39DD">
      <w:pPr>
        <w:rPr>
          <w:b/>
          <w:highlight w:val="yellow"/>
          <w:lang w:eastAsia="en-AU"/>
        </w:rPr>
      </w:pPr>
    </w:p>
    <w:p w:rsidR="00377942" w:rsidRDefault="00FF39DD" w:rsidP="00FF39DD">
      <w:pPr>
        <w:ind w:left="720"/>
        <w:rPr>
          <w:lang w:eastAsia="en-AU"/>
        </w:rPr>
      </w:pPr>
      <w:r>
        <w:rPr>
          <w:lang w:eastAsia="en-AU"/>
        </w:rPr>
        <w:t xml:space="preserve">Constitutional law – Separation of powers </w:t>
      </w:r>
      <w:r w:rsidR="00377942">
        <w:rPr>
          <w:lang w:eastAsia="en-AU"/>
        </w:rPr>
        <w:t xml:space="preserve">– Where </w:t>
      </w:r>
      <w:r w:rsidR="00377942" w:rsidRPr="00377942">
        <w:rPr>
          <w:i/>
        </w:rPr>
        <w:t xml:space="preserve">Housing and Economic Recovery Act </w:t>
      </w:r>
      <w:r w:rsidR="00377942">
        <w:rPr>
          <w:i/>
        </w:rPr>
        <w:t xml:space="preserve">of </w:t>
      </w:r>
      <w:r w:rsidR="00377942" w:rsidRPr="00377942">
        <w:rPr>
          <w:i/>
        </w:rPr>
        <w:t>2008</w:t>
      </w:r>
      <w:r w:rsidR="00377942">
        <w:rPr>
          <w:i/>
        </w:rPr>
        <w:t xml:space="preserve"> </w:t>
      </w:r>
      <w:r w:rsidR="00AA51D6">
        <w:t>created Federal Housing Finance Agency (FHFA)</w:t>
      </w:r>
      <w:r w:rsidR="002E611D">
        <w:t xml:space="preserve">, an independent regulator of </w:t>
      </w:r>
      <w:r w:rsidR="008A4C03">
        <w:t xml:space="preserve">two statutory companies </w:t>
      </w:r>
      <w:r w:rsidR="002E611D">
        <w:t xml:space="preserve">Federal National Mortgage Association and Federal Home Loan Mortgage Corporation– Where Director of FHFA removable by President only for cause – Where Director placed </w:t>
      </w:r>
      <w:r w:rsidR="008A4C03">
        <w:t>companies</w:t>
      </w:r>
      <w:r w:rsidR="002E611D">
        <w:t xml:space="preserve"> into conservatorship</w:t>
      </w:r>
      <w:r w:rsidR="008A4C03">
        <w:t xml:space="preserve"> and negotiated agreements for companies with Department of Treasury – Where, subsequently, Director entered into amendment of agreement </w:t>
      </w:r>
      <w:r w:rsidR="009F2E37">
        <w:t>–</w:t>
      </w:r>
      <w:r w:rsidR="008A4C03">
        <w:t xml:space="preserve"> </w:t>
      </w:r>
      <w:r w:rsidR="009F2E37">
        <w:t>Where petitioner shareholders of companies challenge</w:t>
      </w:r>
      <w:r w:rsidR="00BF2832">
        <w:t>d</w:t>
      </w:r>
      <w:r w:rsidR="009F2E37">
        <w:t xml:space="preserve"> amendment </w:t>
      </w:r>
      <w:r w:rsidR="00BF2832">
        <w:t xml:space="preserve">on basis FHFA violates separation of powers – Where District Court held FHFA structure unconstitutional and Fifth Circuit affirmed – Whether FHFA structure violates separation of powers because Director removable by President only for cause. </w:t>
      </w:r>
    </w:p>
    <w:p w:rsidR="00377942" w:rsidRDefault="00377942" w:rsidP="00FF39DD">
      <w:pPr>
        <w:ind w:left="720"/>
        <w:rPr>
          <w:lang w:eastAsia="en-AU"/>
        </w:rPr>
      </w:pPr>
    </w:p>
    <w:p w:rsidR="00377942" w:rsidRPr="00560C9C" w:rsidRDefault="00377942" w:rsidP="00FF39DD">
      <w:pPr>
        <w:ind w:left="720"/>
        <w:rPr>
          <w:lang w:eastAsia="en-AU"/>
        </w:rPr>
      </w:pPr>
      <w:r>
        <w:rPr>
          <w:lang w:eastAsia="en-AU"/>
        </w:rPr>
        <w:t xml:space="preserve">Administrative law – Judicial review – Anti-injunction clause </w:t>
      </w:r>
      <w:r w:rsidR="00BF2832">
        <w:rPr>
          <w:lang w:eastAsia="en-AU"/>
        </w:rPr>
        <w:t xml:space="preserve">– Where petitioners challenged amendment also on ground Director exceeded statutory powers – Where </w:t>
      </w:r>
      <w:r w:rsidR="00BF2832" w:rsidRPr="00377942">
        <w:rPr>
          <w:i/>
        </w:rPr>
        <w:t xml:space="preserve">Housing and Economic Recovery Act </w:t>
      </w:r>
      <w:r w:rsidR="00BF2832">
        <w:rPr>
          <w:i/>
        </w:rPr>
        <w:t xml:space="preserve">of </w:t>
      </w:r>
      <w:r w:rsidR="00BF2832" w:rsidRPr="00377942">
        <w:rPr>
          <w:i/>
        </w:rPr>
        <w:t>2008</w:t>
      </w:r>
      <w:r w:rsidR="00BF2832">
        <w:rPr>
          <w:i/>
        </w:rPr>
        <w:t xml:space="preserve"> </w:t>
      </w:r>
      <w:r w:rsidR="00BF2832">
        <w:t xml:space="preserve">contained anti-injunction clause, prohibiting review of FHFA actions unless actions exceed powers and functions of conservator – Where District Court dismissed statutory claim and Fifth Circuit reversed – Whether Director exceed statutory powers – Whether petitioners’ claims barred. </w:t>
      </w:r>
    </w:p>
    <w:p w:rsidR="00FF39DD" w:rsidRPr="00856E9C" w:rsidRDefault="00FF39DD" w:rsidP="00FF39DD">
      <w:pPr>
        <w:ind w:left="720"/>
        <w:rPr>
          <w:highlight w:val="yellow"/>
          <w:lang w:eastAsia="en-AU"/>
        </w:rPr>
      </w:pPr>
    </w:p>
    <w:p w:rsidR="00FF39DD" w:rsidRDefault="00FF39DD" w:rsidP="00FF39DD">
      <w:pPr>
        <w:rPr>
          <w:lang w:eastAsia="en-AU"/>
        </w:rPr>
      </w:pPr>
      <w:r w:rsidRPr="002F4F7E">
        <w:rPr>
          <w:b/>
          <w:lang w:eastAsia="en-AU"/>
        </w:rPr>
        <w:t>Held (</w:t>
      </w:r>
      <w:r>
        <w:rPr>
          <w:b/>
          <w:lang w:eastAsia="en-AU"/>
        </w:rPr>
        <w:t>7:2</w:t>
      </w:r>
      <w:r w:rsidRPr="002F4F7E">
        <w:rPr>
          <w:b/>
          <w:lang w:eastAsia="en-AU"/>
        </w:rPr>
        <w:t>):</w:t>
      </w:r>
      <w:r>
        <w:rPr>
          <w:lang w:eastAsia="en-AU"/>
        </w:rPr>
        <w:t xml:space="preserve"> Affirmed in part, reversed in part, vacated in part and remanded.       </w:t>
      </w:r>
    </w:p>
    <w:p w:rsidR="00FF39DD" w:rsidRDefault="00FF39DD" w:rsidP="00FF39DD">
      <w:pPr>
        <w:pStyle w:val="BullDivider1"/>
        <w:pBdr>
          <w:bottom w:val="dotted" w:sz="4" w:space="0" w:color="auto"/>
        </w:pBdr>
      </w:pPr>
    </w:p>
    <w:p w:rsidR="00FF39DD" w:rsidRDefault="00FF39DD" w:rsidP="00FF39DD">
      <w:pPr>
        <w:pStyle w:val="Heading2"/>
      </w:pPr>
    </w:p>
    <w:p w:rsidR="00CA11D2" w:rsidRPr="00992ECF" w:rsidRDefault="00CA11D2" w:rsidP="00CA11D2">
      <w:pPr>
        <w:pStyle w:val="Heading2"/>
        <w:rPr>
          <w:i w:val="0"/>
        </w:rPr>
      </w:pPr>
      <w:r>
        <w:t>Mahanoy Area School District v BL</w:t>
      </w:r>
    </w:p>
    <w:p w:rsidR="00CA11D2" w:rsidRDefault="00CA11D2" w:rsidP="00CA11D2">
      <w:pPr>
        <w:rPr>
          <w:lang w:eastAsia="en-AU"/>
        </w:rPr>
      </w:pPr>
      <w:r>
        <w:rPr>
          <w:b/>
          <w:lang w:eastAsia="en-AU"/>
        </w:rPr>
        <w:t>Supreme Court of the United States</w:t>
      </w:r>
      <w:r w:rsidRPr="002F4F7E">
        <w:rPr>
          <w:b/>
          <w:lang w:eastAsia="en-AU"/>
        </w:rPr>
        <w:t xml:space="preserve">: </w:t>
      </w:r>
      <w:hyperlink r:id="rId20" w:history="1">
        <w:r w:rsidRPr="00533C5A">
          <w:rPr>
            <w:rStyle w:val="Hyperlink"/>
            <w:lang w:eastAsia="en-AU"/>
          </w:rPr>
          <w:t xml:space="preserve">Docket No. </w:t>
        </w:r>
        <w:r>
          <w:rPr>
            <w:rStyle w:val="Hyperlink"/>
            <w:lang w:eastAsia="en-AU"/>
          </w:rPr>
          <w:t>20-255</w:t>
        </w:r>
      </w:hyperlink>
    </w:p>
    <w:p w:rsidR="00CA11D2" w:rsidRPr="002F4F7E" w:rsidRDefault="00CA11D2" w:rsidP="00CA11D2">
      <w:pPr>
        <w:rPr>
          <w:lang w:eastAsia="en-AU"/>
        </w:rPr>
      </w:pPr>
    </w:p>
    <w:p w:rsidR="00CA11D2" w:rsidRPr="002F4F7E" w:rsidRDefault="00CA11D2" w:rsidP="00CA11D2">
      <w:pPr>
        <w:rPr>
          <w:lang w:eastAsia="en-AU"/>
        </w:rPr>
      </w:pPr>
      <w:r w:rsidRPr="002F4F7E">
        <w:rPr>
          <w:b/>
          <w:lang w:eastAsia="en-AU"/>
        </w:rPr>
        <w:t>Judgment delivered:</w:t>
      </w:r>
      <w:r>
        <w:rPr>
          <w:lang w:eastAsia="en-AU"/>
        </w:rPr>
        <w:t xml:space="preserve"> 23 June 2021</w:t>
      </w:r>
    </w:p>
    <w:p w:rsidR="00CA11D2" w:rsidRPr="002F4F7E" w:rsidRDefault="00CA11D2" w:rsidP="00CA11D2">
      <w:pPr>
        <w:rPr>
          <w:lang w:eastAsia="en-AU"/>
        </w:rPr>
      </w:pPr>
    </w:p>
    <w:p w:rsidR="00CA11D2" w:rsidRPr="002F4F7E" w:rsidRDefault="00CA11D2" w:rsidP="00CA11D2">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CA11D2" w:rsidRPr="002F4F7E" w:rsidRDefault="00CA11D2" w:rsidP="00CA11D2">
      <w:pPr>
        <w:rPr>
          <w:lang w:eastAsia="en-AU"/>
        </w:rPr>
      </w:pPr>
    </w:p>
    <w:p w:rsidR="00CA11D2" w:rsidRPr="002F4F7E" w:rsidRDefault="00CA11D2" w:rsidP="00CA11D2">
      <w:pPr>
        <w:rPr>
          <w:b/>
          <w:lang w:eastAsia="en-AU"/>
        </w:rPr>
      </w:pPr>
      <w:r>
        <w:rPr>
          <w:b/>
          <w:lang w:eastAsia="en-AU"/>
        </w:rPr>
        <w:t>Catchwords:</w:t>
      </w:r>
    </w:p>
    <w:p w:rsidR="00CA11D2" w:rsidRPr="00856E9C" w:rsidRDefault="00CA11D2" w:rsidP="00CA11D2">
      <w:pPr>
        <w:rPr>
          <w:b/>
          <w:highlight w:val="yellow"/>
          <w:lang w:eastAsia="en-AU"/>
        </w:rPr>
      </w:pPr>
    </w:p>
    <w:p w:rsidR="00CA11D2" w:rsidRPr="00560C9C" w:rsidRDefault="00CA11D2" w:rsidP="00CA11D2">
      <w:pPr>
        <w:ind w:left="720"/>
        <w:rPr>
          <w:lang w:eastAsia="en-AU"/>
        </w:rPr>
      </w:pPr>
      <w:r>
        <w:rPr>
          <w:lang w:eastAsia="en-AU"/>
        </w:rPr>
        <w:t xml:space="preserve">Constitutional law – First Amendment – Freedom of speech – </w:t>
      </w:r>
      <w:r w:rsidR="00176D58">
        <w:rPr>
          <w:lang w:eastAsia="en-AU"/>
        </w:rPr>
        <w:t xml:space="preserve">Limitations – - </w:t>
      </w:r>
      <w:r>
        <w:rPr>
          <w:lang w:eastAsia="en-AU"/>
        </w:rPr>
        <w:t>School disciplinary action – Where respondent high school student posted vulgar content on social media</w:t>
      </w:r>
      <w:r w:rsidR="00176D58">
        <w:rPr>
          <w:lang w:eastAsia="en-AU"/>
        </w:rPr>
        <w:t xml:space="preserve"> off-campus and on weekend</w:t>
      </w:r>
      <w:r>
        <w:rPr>
          <w:lang w:eastAsia="en-AU"/>
        </w:rPr>
        <w:t xml:space="preserve"> – Where school suspended respondent from cheerleading squad </w:t>
      </w:r>
      <w:r w:rsidR="00176D58">
        <w:rPr>
          <w:lang w:eastAsia="en-AU"/>
        </w:rPr>
        <w:t>as</w:t>
      </w:r>
      <w:r>
        <w:rPr>
          <w:lang w:eastAsia="en-AU"/>
        </w:rPr>
        <w:t xml:space="preserve"> punishment </w:t>
      </w:r>
      <w:r w:rsidR="00176D58">
        <w:rPr>
          <w:lang w:eastAsia="en-AU"/>
        </w:rPr>
        <w:t xml:space="preserve">for posts – Where respondent sued school to reinstate respondent to cheerleading squad, claiming violation of First Amendment – Where District Court found punishment violated First Amendment and Third Circuit affirmed – Whether schools may </w:t>
      </w:r>
      <w:r w:rsidR="00FF39DD">
        <w:rPr>
          <w:lang w:eastAsia="en-AU"/>
        </w:rPr>
        <w:t>discipline students for</w:t>
      </w:r>
      <w:r w:rsidR="00176D58">
        <w:rPr>
          <w:lang w:eastAsia="en-AU"/>
        </w:rPr>
        <w:t xml:space="preserve"> off-campus student speech consistent with First Amendment. </w:t>
      </w:r>
    </w:p>
    <w:p w:rsidR="00CA11D2" w:rsidRPr="00856E9C" w:rsidRDefault="00CA11D2" w:rsidP="00CA11D2">
      <w:pPr>
        <w:ind w:left="720"/>
        <w:rPr>
          <w:highlight w:val="yellow"/>
          <w:lang w:eastAsia="en-AU"/>
        </w:rPr>
      </w:pPr>
    </w:p>
    <w:p w:rsidR="00CA11D2" w:rsidRDefault="00CA11D2" w:rsidP="00CA11D2">
      <w:pPr>
        <w:rPr>
          <w:lang w:eastAsia="en-AU"/>
        </w:rPr>
      </w:pPr>
      <w:r w:rsidRPr="002F4F7E">
        <w:rPr>
          <w:b/>
          <w:lang w:eastAsia="en-AU"/>
        </w:rPr>
        <w:t>Held (</w:t>
      </w:r>
      <w:r>
        <w:rPr>
          <w:b/>
          <w:lang w:eastAsia="en-AU"/>
        </w:rPr>
        <w:t>8:1</w:t>
      </w:r>
      <w:r w:rsidRPr="002F4F7E">
        <w:rPr>
          <w:b/>
          <w:lang w:eastAsia="en-AU"/>
        </w:rPr>
        <w:t>):</w:t>
      </w:r>
      <w:r>
        <w:rPr>
          <w:lang w:eastAsia="en-AU"/>
        </w:rPr>
        <w:t xml:space="preserve"> Affirmed.      </w:t>
      </w:r>
    </w:p>
    <w:p w:rsidR="00CA11D2" w:rsidRDefault="00CA11D2" w:rsidP="00CA11D2">
      <w:pPr>
        <w:pStyle w:val="BullDivider1"/>
        <w:pBdr>
          <w:bottom w:val="dotted" w:sz="4" w:space="0" w:color="auto"/>
        </w:pBdr>
      </w:pPr>
    </w:p>
    <w:p w:rsidR="00CA11D2" w:rsidRDefault="00CA11D2" w:rsidP="00CA11D2">
      <w:pPr>
        <w:pStyle w:val="Heading2"/>
      </w:pPr>
    </w:p>
    <w:p w:rsidR="003B0B1A" w:rsidRPr="00992ECF" w:rsidRDefault="003B0B1A" w:rsidP="003B0B1A">
      <w:pPr>
        <w:pStyle w:val="Heading2"/>
        <w:rPr>
          <w:i w:val="0"/>
        </w:rPr>
      </w:pPr>
      <w:r>
        <w:t xml:space="preserve">Cedar Point Nursery </w:t>
      </w:r>
      <w:r w:rsidR="002D309D">
        <w:t xml:space="preserve">&amp; </w:t>
      </w:r>
      <w:proofErr w:type="spellStart"/>
      <w:r w:rsidR="002D309D">
        <w:t>Ors</w:t>
      </w:r>
      <w:proofErr w:type="spellEnd"/>
      <w:r w:rsidR="008E702F">
        <w:t xml:space="preserve"> v Hassid </w:t>
      </w:r>
      <w:r w:rsidR="002D309D">
        <w:t xml:space="preserve">&amp; </w:t>
      </w:r>
      <w:proofErr w:type="spellStart"/>
      <w:r w:rsidR="002D309D">
        <w:t>Ors</w:t>
      </w:r>
      <w:proofErr w:type="spellEnd"/>
    </w:p>
    <w:p w:rsidR="003B0B1A" w:rsidRDefault="003B0B1A" w:rsidP="003B0B1A">
      <w:pPr>
        <w:rPr>
          <w:lang w:eastAsia="en-AU"/>
        </w:rPr>
      </w:pPr>
      <w:r>
        <w:rPr>
          <w:b/>
          <w:lang w:eastAsia="en-AU"/>
        </w:rPr>
        <w:t>Supreme Court of the United States</w:t>
      </w:r>
      <w:r w:rsidRPr="002F4F7E">
        <w:rPr>
          <w:b/>
          <w:lang w:eastAsia="en-AU"/>
        </w:rPr>
        <w:t xml:space="preserve">: </w:t>
      </w:r>
      <w:hyperlink r:id="rId21" w:history="1">
        <w:r w:rsidRPr="00533C5A">
          <w:rPr>
            <w:rStyle w:val="Hyperlink"/>
            <w:lang w:eastAsia="en-AU"/>
          </w:rPr>
          <w:t xml:space="preserve">Docket No. </w:t>
        </w:r>
        <w:r w:rsidR="008E702F">
          <w:rPr>
            <w:rStyle w:val="Hyperlink"/>
            <w:lang w:eastAsia="en-AU"/>
          </w:rPr>
          <w:t>20-107</w:t>
        </w:r>
      </w:hyperlink>
    </w:p>
    <w:p w:rsidR="008E702F" w:rsidRPr="002F4F7E" w:rsidRDefault="008E702F" w:rsidP="003B0B1A">
      <w:pPr>
        <w:rPr>
          <w:lang w:eastAsia="en-AU"/>
        </w:rPr>
      </w:pPr>
    </w:p>
    <w:p w:rsidR="003B0B1A" w:rsidRPr="002F4F7E" w:rsidRDefault="003B0B1A" w:rsidP="003B0B1A">
      <w:pPr>
        <w:rPr>
          <w:lang w:eastAsia="en-AU"/>
        </w:rPr>
      </w:pPr>
      <w:r w:rsidRPr="002F4F7E">
        <w:rPr>
          <w:b/>
          <w:lang w:eastAsia="en-AU"/>
        </w:rPr>
        <w:t>Judgment delivered:</w:t>
      </w:r>
      <w:r>
        <w:rPr>
          <w:lang w:eastAsia="en-AU"/>
        </w:rPr>
        <w:t xml:space="preserve"> 21 June 2021</w:t>
      </w:r>
    </w:p>
    <w:p w:rsidR="003B0B1A" w:rsidRPr="002F4F7E" w:rsidRDefault="003B0B1A" w:rsidP="003B0B1A">
      <w:pPr>
        <w:rPr>
          <w:lang w:eastAsia="en-AU"/>
        </w:rPr>
      </w:pPr>
    </w:p>
    <w:p w:rsidR="003B0B1A" w:rsidRPr="002F4F7E" w:rsidRDefault="003B0B1A" w:rsidP="003B0B1A">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3B0B1A" w:rsidRPr="002F4F7E" w:rsidRDefault="003B0B1A" w:rsidP="003B0B1A">
      <w:pPr>
        <w:rPr>
          <w:lang w:eastAsia="en-AU"/>
        </w:rPr>
      </w:pPr>
    </w:p>
    <w:p w:rsidR="003B0B1A" w:rsidRPr="002F4F7E" w:rsidRDefault="003B0B1A" w:rsidP="003B0B1A">
      <w:pPr>
        <w:rPr>
          <w:b/>
          <w:lang w:eastAsia="en-AU"/>
        </w:rPr>
      </w:pPr>
      <w:r>
        <w:rPr>
          <w:b/>
          <w:lang w:eastAsia="en-AU"/>
        </w:rPr>
        <w:t>Catchwords:</w:t>
      </w:r>
    </w:p>
    <w:p w:rsidR="003B0B1A" w:rsidRPr="00856E9C" w:rsidRDefault="003B0B1A" w:rsidP="003B0B1A">
      <w:pPr>
        <w:rPr>
          <w:b/>
          <w:highlight w:val="yellow"/>
          <w:lang w:eastAsia="en-AU"/>
        </w:rPr>
      </w:pPr>
    </w:p>
    <w:p w:rsidR="003B0B1A" w:rsidRPr="00560C9C" w:rsidRDefault="003B0B1A" w:rsidP="003B0B1A">
      <w:pPr>
        <w:ind w:left="720"/>
        <w:rPr>
          <w:lang w:eastAsia="en-AU"/>
        </w:rPr>
      </w:pPr>
      <w:r>
        <w:rPr>
          <w:lang w:eastAsia="en-AU"/>
        </w:rPr>
        <w:t xml:space="preserve">Constitutional law – </w:t>
      </w:r>
      <w:r w:rsidR="008E702F">
        <w:rPr>
          <w:lang w:eastAsia="en-AU"/>
        </w:rPr>
        <w:t xml:space="preserve">Fifth Amendment – Takings Clause – Union access to employer’s property – Where California regulation </w:t>
      </w:r>
      <w:r w:rsidR="008E702F">
        <w:t>title 8, §20900(e)(1)(C) granted labour organisations right to access agricultural employer’s property to solicit support for unionisation – Where respondent union organisers</w:t>
      </w:r>
      <w:r>
        <w:rPr>
          <w:lang w:eastAsia="en-AU"/>
        </w:rPr>
        <w:t xml:space="preserve"> </w:t>
      </w:r>
      <w:r w:rsidR="008E702F">
        <w:rPr>
          <w:lang w:eastAsia="en-AU"/>
        </w:rPr>
        <w:t xml:space="preserve">sought access to petitioners’ agricultural property – Where petitioners sought to enjoin enforcement of regulation on grounds regulation physical taking by appropriating their property rights without compensation, contrary to Takings Clause – Where District Court denied relief and Ninth Circuit affirmed – Whether regulation constitutes physical taking – Whether regulation contrary to Takings Clause. </w:t>
      </w:r>
    </w:p>
    <w:p w:rsidR="003B0B1A" w:rsidRPr="00856E9C" w:rsidRDefault="003B0B1A" w:rsidP="003B0B1A">
      <w:pPr>
        <w:ind w:left="720"/>
        <w:rPr>
          <w:highlight w:val="yellow"/>
          <w:lang w:eastAsia="en-AU"/>
        </w:rPr>
      </w:pPr>
    </w:p>
    <w:p w:rsidR="003B0B1A" w:rsidRDefault="003B0B1A" w:rsidP="003B0B1A">
      <w:pPr>
        <w:rPr>
          <w:lang w:eastAsia="en-AU"/>
        </w:rPr>
      </w:pPr>
      <w:r w:rsidRPr="002F4F7E">
        <w:rPr>
          <w:b/>
          <w:lang w:eastAsia="en-AU"/>
        </w:rPr>
        <w:t>Held (</w:t>
      </w:r>
      <w:r w:rsidR="008E702F">
        <w:rPr>
          <w:b/>
          <w:lang w:eastAsia="en-AU"/>
        </w:rPr>
        <w:t>6</w:t>
      </w:r>
      <w:r>
        <w:rPr>
          <w:b/>
          <w:lang w:eastAsia="en-AU"/>
        </w:rPr>
        <w:t>:</w:t>
      </w:r>
      <w:r w:rsidR="008E702F">
        <w:rPr>
          <w:b/>
          <w:lang w:eastAsia="en-AU"/>
        </w:rPr>
        <w:t>3</w:t>
      </w:r>
      <w:r w:rsidRPr="002F4F7E">
        <w:rPr>
          <w:b/>
          <w:lang w:eastAsia="en-AU"/>
        </w:rPr>
        <w:t>):</w:t>
      </w:r>
      <w:r>
        <w:rPr>
          <w:lang w:eastAsia="en-AU"/>
        </w:rPr>
        <w:t xml:space="preserve"> </w:t>
      </w:r>
      <w:r w:rsidR="008E702F">
        <w:rPr>
          <w:lang w:eastAsia="en-AU"/>
        </w:rPr>
        <w:t>Reversed</w:t>
      </w:r>
      <w:r>
        <w:rPr>
          <w:lang w:eastAsia="en-AU"/>
        </w:rPr>
        <w:t xml:space="preserve"> and remanded.     </w:t>
      </w:r>
    </w:p>
    <w:p w:rsidR="003B0B1A" w:rsidRDefault="003B0B1A" w:rsidP="003B0B1A">
      <w:pPr>
        <w:pStyle w:val="BullDivider1"/>
        <w:pBdr>
          <w:bottom w:val="dotted" w:sz="4" w:space="0" w:color="auto"/>
        </w:pBdr>
      </w:pPr>
    </w:p>
    <w:p w:rsidR="00CA11D2" w:rsidRDefault="00CA11D2" w:rsidP="00D57646">
      <w:pPr>
        <w:pStyle w:val="Heading2"/>
      </w:pPr>
    </w:p>
    <w:p w:rsidR="00D57646" w:rsidRPr="00992ECF" w:rsidRDefault="00D57646" w:rsidP="00D57646">
      <w:pPr>
        <w:pStyle w:val="Heading2"/>
        <w:rPr>
          <w:i w:val="0"/>
        </w:rPr>
      </w:pPr>
      <w:r>
        <w:t xml:space="preserve">United States v Arthrex Inc </w:t>
      </w:r>
      <w:r w:rsidR="002D309D">
        <w:t xml:space="preserve">&amp; </w:t>
      </w:r>
      <w:proofErr w:type="spellStart"/>
      <w:r w:rsidR="002D309D">
        <w:t>Ors</w:t>
      </w:r>
      <w:proofErr w:type="spellEnd"/>
      <w:r>
        <w:t xml:space="preserve">; </w:t>
      </w:r>
      <w:r w:rsidR="00E4702F">
        <w:t xml:space="preserve">Smith &amp; Nephew Inc </w:t>
      </w:r>
      <w:r w:rsidR="002D309D">
        <w:t xml:space="preserve">&amp; </w:t>
      </w:r>
      <w:proofErr w:type="spellStart"/>
      <w:r w:rsidR="002D309D">
        <w:t>Ors</w:t>
      </w:r>
      <w:proofErr w:type="spellEnd"/>
      <w:r w:rsidR="00E4702F">
        <w:t xml:space="preserve"> v Arthrex Inc </w:t>
      </w:r>
      <w:r w:rsidR="002D309D">
        <w:t xml:space="preserve">&amp; </w:t>
      </w:r>
      <w:proofErr w:type="spellStart"/>
      <w:r w:rsidR="002D309D">
        <w:t>Ors</w:t>
      </w:r>
      <w:proofErr w:type="spellEnd"/>
      <w:r w:rsidR="00E4702F">
        <w:t xml:space="preserve">; Arthrex Inc v Smith &amp; Nephew Inc </w:t>
      </w:r>
      <w:r w:rsidR="002D309D">
        <w:t xml:space="preserve">&amp; </w:t>
      </w:r>
      <w:proofErr w:type="spellStart"/>
      <w:r w:rsidR="002D309D">
        <w:t>Ors</w:t>
      </w:r>
      <w:proofErr w:type="spellEnd"/>
    </w:p>
    <w:p w:rsidR="00D57646" w:rsidRPr="002F4F7E" w:rsidRDefault="00D57646" w:rsidP="00D57646">
      <w:pPr>
        <w:rPr>
          <w:lang w:eastAsia="en-AU"/>
        </w:rPr>
      </w:pPr>
      <w:r>
        <w:rPr>
          <w:b/>
          <w:lang w:eastAsia="en-AU"/>
        </w:rPr>
        <w:t>Supreme Court of the United States</w:t>
      </w:r>
      <w:r w:rsidRPr="002F4F7E">
        <w:rPr>
          <w:b/>
          <w:lang w:eastAsia="en-AU"/>
        </w:rPr>
        <w:t xml:space="preserve">: </w:t>
      </w:r>
      <w:hyperlink r:id="rId22" w:history="1">
        <w:r w:rsidRPr="00533C5A">
          <w:rPr>
            <w:rStyle w:val="Hyperlink"/>
            <w:lang w:eastAsia="en-AU"/>
          </w:rPr>
          <w:t>Docket No. 19-</w:t>
        </w:r>
        <w:r w:rsidR="00E4702F">
          <w:rPr>
            <w:rStyle w:val="Hyperlink"/>
            <w:lang w:eastAsia="en-AU"/>
          </w:rPr>
          <w:t>1434; 19-1452; 19-1458</w:t>
        </w:r>
      </w:hyperlink>
    </w:p>
    <w:p w:rsidR="00D57646" w:rsidRPr="002F4F7E" w:rsidRDefault="00D57646" w:rsidP="00D57646">
      <w:pPr>
        <w:rPr>
          <w:lang w:eastAsia="en-AU"/>
        </w:rPr>
      </w:pPr>
    </w:p>
    <w:p w:rsidR="00D57646" w:rsidRPr="002F4F7E" w:rsidRDefault="00D57646" w:rsidP="00D57646">
      <w:pPr>
        <w:rPr>
          <w:lang w:eastAsia="en-AU"/>
        </w:rPr>
      </w:pPr>
      <w:r w:rsidRPr="002F4F7E">
        <w:rPr>
          <w:b/>
          <w:lang w:eastAsia="en-AU"/>
        </w:rPr>
        <w:t>Judgment delivered:</w:t>
      </w:r>
      <w:r>
        <w:rPr>
          <w:lang w:eastAsia="en-AU"/>
        </w:rPr>
        <w:t xml:space="preserve"> 21 June 2021</w:t>
      </w:r>
    </w:p>
    <w:p w:rsidR="00D57646" w:rsidRPr="002F4F7E" w:rsidRDefault="00D57646" w:rsidP="00D57646">
      <w:pPr>
        <w:rPr>
          <w:lang w:eastAsia="en-AU"/>
        </w:rPr>
      </w:pPr>
    </w:p>
    <w:p w:rsidR="00D57646" w:rsidRPr="002F4F7E" w:rsidRDefault="00D57646" w:rsidP="00D57646">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D57646" w:rsidRPr="002F4F7E" w:rsidRDefault="00D57646" w:rsidP="00D57646">
      <w:pPr>
        <w:rPr>
          <w:lang w:eastAsia="en-AU"/>
        </w:rPr>
      </w:pPr>
    </w:p>
    <w:p w:rsidR="00D57646" w:rsidRPr="002F4F7E" w:rsidRDefault="00D57646" w:rsidP="00D57646">
      <w:pPr>
        <w:rPr>
          <w:b/>
          <w:lang w:eastAsia="en-AU"/>
        </w:rPr>
      </w:pPr>
      <w:r>
        <w:rPr>
          <w:b/>
          <w:lang w:eastAsia="en-AU"/>
        </w:rPr>
        <w:t>Catchwords:</w:t>
      </w:r>
    </w:p>
    <w:p w:rsidR="00D57646" w:rsidRPr="00856E9C" w:rsidRDefault="00D57646" w:rsidP="00D57646">
      <w:pPr>
        <w:rPr>
          <w:b/>
          <w:highlight w:val="yellow"/>
          <w:lang w:eastAsia="en-AU"/>
        </w:rPr>
      </w:pPr>
    </w:p>
    <w:p w:rsidR="00D57646" w:rsidRPr="00560C9C" w:rsidRDefault="00D57646" w:rsidP="00D57646">
      <w:pPr>
        <w:ind w:left="720"/>
        <w:rPr>
          <w:lang w:eastAsia="en-AU"/>
        </w:rPr>
      </w:pPr>
      <w:r>
        <w:rPr>
          <w:lang w:eastAsia="en-AU"/>
        </w:rPr>
        <w:t xml:space="preserve">Constitutional law – </w:t>
      </w:r>
      <w:r w:rsidR="00E4702F">
        <w:rPr>
          <w:lang w:eastAsia="en-AU"/>
        </w:rPr>
        <w:t>Appointments Clause – Administrative Patent Judges (APJ) – Where APJs conduct adversarial proceedings as part of Patent Trial and Appeal Board (PTAB) – Where Secretary of Commerce appoints all members of PTAB except for Director, who is nominated by President and confirmed by Senate – Where Arthrex appealed to Federal Circuit from patent decision on basis structure of PTAB violated Appointments Clause – Where Arthrex argued APJs principal officers</w:t>
      </w:r>
      <w:r w:rsidR="0067615D">
        <w:rPr>
          <w:lang w:eastAsia="en-AU"/>
        </w:rPr>
        <w:t>’</w:t>
      </w:r>
      <w:r w:rsidR="00E4702F">
        <w:rPr>
          <w:lang w:eastAsia="en-AU"/>
        </w:rPr>
        <w:t xml:space="preserve"> appointments unconstitutional because neither Secretary nor Director can review decisions or remove at will – Where Federal Circuit agreed and held APJs removable at will by Secretary </w:t>
      </w:r>
      <w:r w:rsidR="00444F25">
        <w:rPr>
          <w:lang w:eastAsia="en-AU"/>
        </w:rPr>
        <w:t>–</w:t>
      </w:r>
      <w:r w:rsidR="00FC0B2C">
        <w:rPr>
          <w:lang w:eastAsia="en-AU"/>
        </w:rPr>
        <w:t xml:space="preserve"> </w:t>
      </w:r>
      <w:r w:rsidR="00444F25">
        <w:rPr>
          <w:lang w:eastAsia="en-AU"/>
        </w:rPr>
        <w:t xml:space="preserve">Whether APJs principal officers whose appointments unconstitutional – If so, whether making APJs removable at will or making decisions reviewable by Director appropriate remedy.  </w:t>
      </w:r>
    </w:p>
    <w:p w:rsidR="00D57646" w:rsidRPr="00856E9C" w:rsidRDefault="00D57646" w:rsidP="00D57646">
      <w:pPr>
        <w:ind w:left="720"/>
        <w:rPr>
          <w:highlight w:val="yellow"/>
          <w:lang w:eastAsia="en-AU"/>
        </w:rPr>
      </w:pPr>
    </w:p>
    <w:p w:rsidR="00D57646" w:rsidRDefault="00D57646" w:rsidP="00D57646">
      <w:pPr>
        <w:rPr>
          <w:lang w:eastAsia="en-AU"/>
        </w:rPr>
      </w:pPr>
      <w:r w:rsidRPr="002F4F7E">
        <w:rPr>
          <w:b/>
          <w:lang w:eastAsia="en-AU"/>
        </w:rPr>
        <w:t>Held (</w:t>
      </w:r>
      <w:r w:rsidR="00E4702F">
        <w:rPr>
          <w:b/>
          <w:lang w:eastAsia="en-AU"/>
        </w:rPr>
        <w:t>5</w:t>
      </w:r>
      <w:r>
        <w:rPr>
          <w:b/>
          <w:lang w:eastAsia="en-AU"/>
        </w:rPr>
        <w:t>:</w:t>
      </w:r>
      <w:r w:rsidR="00E4702F">
        <w:rPr>
          <w:b/>
          <w:lang w:eastAsia="en-AU"/>
        </w:rPr>
        <w:t>4</w:t>
      </w:r>
      <w:r w:rsidRPr="002F4F7E">
        <w:rPr>
          <w:b/>
          <w:lang w:eastAsia="en-AU"/>
        </w:rPr>
        <w:t>):</w:t>
      </w:r>
      <w:r w:rsidR="00E4702F">
        <w:rPr>
          <w:lang w:eastAsia="en-AU"/>
        </w:rPr>
        <w:t xml:space="preserve"> Vacated</w:t>
      </w:r>
      <w:r>
        <w:rPr>
          <w:lang w:eastAsia="en-AU"/>
        </w:rPr>
        <w:t xml:space="preserve"> and remanded.     </w:t>
      </w:r>
    </w:p>
    <w:p w:rsidR="00D57646" w:rsidRDefault="00D57646" w:rsidP="00D57646">
      <w:pPr>
        <w:pStyle w:val="BullDivider1"/>
        <w:pBdr>
          <w:bottom w:val="dotted" w:sz="4" w:space="0" w:color="auto"/>
        </w:pBdr>
      </w:pPr>
    </w:p>
    <w:p w:rsidR="00D57646" w:rsidRDefault="00D57646" w:rsidP="00D57646"/>
    <w:p w:rsidR="00C22E8A" w:rsidRPr="00992ECF" w:rsidRDefault="00C22E8A" w:rsidP="00C22E8A">
      <w:pPr>
        <w:pStyle w:val="Heading2"/>
        <w:rPr>
          <w:i w:val="0"/>
        </w:rPr>
      </w:pPr>
      <w:r>
        <w:t xml:space="preserve">Fulton </w:t>
      </w:r>
      <w:r w:rsidR="002D309D">
        <w:t xml:space="preserve">&amp; </w:t>
      </w:r>
      <w:proofErr w:type="spellStart"/>
      <w:r w:rsidR="002D309D">
        <w:t>Ors</w:t>
      </w:r>
      <w:proofErr w:type="spellEnd"/>
      <w:r w:rsidR="00533C5A">
        <w:t xml:space="preserve"> v Philadelphia </w:t>
      </w:r>
      <w:r w:rsidR="002D309D">
        <w:t xml:space="preserve">&amp; </w:t>
      </w:r>
      <w:proofErr w:type="spellStart"/>
      <w:r w:rsidR="002D309D">
        <w:t>Ors</w:t>
      </w:r>
      <w:proofErr w:type="spellEnd"/>
      <w:r w:rsidR="00533C5A">
        <w:t xml:space="preserve"> </w:t>
      </w:r>
    </w:p>
    <w:p w:rsidR="00C22E8A" w:rsidRPr="002F4F7E" w:rsidRDefault="00C22E8A" w:rsidP="00C22E8A">
      <w:pPr>
        <w:rPr>
          <w:lang w:eastAsia="en-AU"/>
        </w:rPr>
      </w:pPr>
      <w:r>
        <w:rPr>
          <w:b/>
          <w:lang w:eastAsia="en-AU"/>
        </w:rPr>
        <w:t>Supreme Court of the United States</w:t>
      </w:r>
      <w:r w:rsidRPr="002F4F7E">
        <w:rPr>
          <w:b/>
          <w:lang w:eastAsia="en-AU"/>
        </w:rPr>
        <w:t xml:space="preserve">: </w:t>
      </w:r>
      <w:hyperlink r:id="rId23" w:history="1">
        <w:r w:rsidR="00533C5A" w:rsidRPr="00533C5A">
          <w:rPr>
            <w:rStyle w:val="Hyperlink"/>
            <w:lang w:eastAsia="en-AU"/>
          </w:rPr>
          <w:t>Docket No. 19-123</w:t>
        </w:r>
      </w:hyperlink>
    </w:p>
    <w:p w:rsidR="00C22E8A" w:rsidRPr="002F4F7E" w:rsidRDefault="00C22E8A" w:rsidP="00C22E8A">
      <w:pPr>
        <w:rPr>
          <w:lang w:eastAsia="en-AU"/>
        </w:rPr>
      </w:pPr>
    </w:p>
    <w:p w:rsidR="00C22E8A" w:rsidRPr="002F4F7E" w:rsidRDefault="00C22E8A" w:rsidP="00C22E8A">
      <w:pPr>
        <w:rPr>
          <w:lang w:eastAsia="en-AU"/>
        </w:rPr>
      </w:pPr>
      <w:r w:rsidRPr="002F4F7E">
        <w:rPr>
          <w:b/>
          <w:lang w:eastAsia="en-AU"/>
        </w:rPr>
        <w:t>Judgment delivered:</w:t>
      </w:r>
      <w:r>
        <w:rPr>
          <w:lang w:eastAsia="en-AU"/>
        </w:rPr>
        <w:t xml:space="preserve"> 1</w:t>
      </w:r>
      <w:r w:rsidR="00533C5A">
        <w:rPr>
          <w:lang w:eastAsia="en-AU"/>
        </w:rPr>
        <w:t>7</w:t>
      </w:r>
      <w:r>
        <w:rPr>
          <w:lang w:eastAsia="en-AU"/>
        </w:rPr>
        <w:t xml:space="preserve"> June 2021</w:t>
      </w:r>
    </w:p>
    <w:p w:rsidR="00C22E8A" w:rsidRPr="002F4F7E" w:rsidRDefault="00C22E8A" w:rsidP="00C22E8A">
      <w:pPr>
        <w:rPr>
          <w:lang w:eastAsia="en-AU"/>
        </w:rPr>
      </w:pPr>
    </w:p>
    <w:p w:rsidR="00C22E8A" w:rsidRPr="002F4F7E" w:rsidRDefault="00C22E8A" w:rsidP="00C22E8A">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C22E8A" w:rsidRPr="002F4F7E" w:rsidRDefault="00C22E8A" w:rsidP="00C22E8A">
      <w:pPr>
        <w:rPr>
          <w:lang w:eastAsia="en-AU"/>
        </w:rPr>
      </w:pPr>
    </w:p>
    <w:p w:rsidR="00C22E8A" w:rsidRPr="002F4F7E" w:rsidRDefault="00C22E8A" w:rsidP="00C22E8A">
      <w:pPr>
        <w:rPr>
          <w:b/>
          <w:lang w:eastAsia="en-AU"/>
        </w:rPr>
      </w:pPr>
      <w:r>
        <w:rPr>
          <w:b/>
          <w:lang w:eastAsia="en-AU"/>
        </w:rPr>
        <w:t>Catchwords:</w:t>
      </w:r>
    </w:p>
    <w:p w:rsidR="00C22E8A" w:rsidRPr="00856E9C" w:rsidRDefault="00C22E8A" w:rsidP="00C22E8A">
      <w:pPr>
        <w:rPr>
          <w:b/>
          <w:highlight w:val="yellow"/>
          <w:lang w:eastAsia="en-AU"/>
        </w:rPr>
      </w:pPr>
    </w:p>
    <w:p w:rsidR="00C22E8A" w:rsidRPr="00560C9C" w:rsidRDefault="00533C5A" w:rsidP="00C22E8A">
      <w:pPr>
        <w:ind w:left="720"/>
        <w:rPr>
          <w:lang w:eastAsia="en-AU"/>
        </w:rPr>
      </w:pPr>
      <w:r>
        <w:rPr>
          <w:lang w:eastAsia="en-AU"/>
        </w:rPr>
        <w:t>Constitutional law – First Amendment – Free Exercise Clause – Where Philadelphia’s foster care system contract</w:t>
      </w:r>
      <w:r w:rsidR="0067615D">
        <w:rPr>
          <w:lang w:eastAsia="en-AU"/>
        </w:rPr>
        <w:t>ed</w:t>
      </w:r>
      <w:r>
        <w:rPr>
          <w:lang w:eastAsia="en-AU"/>
        </w:rPr>
        <w:t xml:space="preserve"> with agencies to certify prospective foster families under statutory criteria – Where petitioner Catholic Social Services (CSS) contracted with Philadelphia to provide foster care services – Where CSS will not certify same-sex couples because of CSS’s religious beliefs – Where other foster agencies will certify same-sex couples – Where Philadelphia informed CSS it will not renew contract or refer children to CSS because CSS’s refusal to certify same-sex couples violated non-discrimination provision in contract and in various city ordinances – Where CSS challenged Philadelphia’s decision but District Court refused relief because non-discrimination requirement neutral and generally applicable, following </w:t>
      </w:r>
      <w:r>
        <w:rPr>
          <w:i/>
          <w:lang w:eastAsia="en-AU"/>
        </w:rPr>
        <w:t xml:space="preserve">Employment </w:t>
      </w:r>
      <w:proofErr w:type="spellStart"/>
      <w:r>
        <w:rPr>
          <w:i/>
          <w:lang w:eastAsia="en-AU"/>
        </w:rPr>
        <w:t>Div</w:t>
      </w:r>
      <w:proofErr w:type="spellEnd"/>
      <w:r>
        <w:rPr>
          <w:i/>
          <w:lang w:eastAsia="en-AU"/>
        </w:rPr>
        <w:t>, Department of Human Resources v Smith</w:t>
      </w:r>
      <w:r>
        <w:rPr>
          <w:lang w:eastAsia="en-AU"/>
        </w:rPr>
        <w:t xml:space="preserve">, 494 US 872 – Where Third Circuit affirmed – Whether non-discrimination requirement neutral and generally applicable – Whether refusal of Philadelphia to contract with CSS unless CSS agrees to certify same-sex couples violates Free Exercise Clause of First Amendment. </w:t>
      </w:r>
    </w:p>
    <w:p w:rsidR="00C22E8A" w:rsidRPr="00856E9C" w:rsidRDefault="00C22E8A" w:rsidP="00C22E8A">
      <w:pPr>
        <w:ind w:left="720"/>
        <w:rPr>
          <w:highlight w:val="yellow"/>
          <w:lang w:eastAsia="en-AU"/>
        </w:rPr>
      </w:pPr>
    </w:p>
    <w:p w:rsidR="00C22E8A" w:rsidRDefault="00C22E8A" w:rsidP="00C22E8A">
      <w:pPr>
        <w:rPr>
          <w:lang w:eastAsia="en-AU"/>
        </w:rPr>
      </w:pPr>
      <w:r w:rsidRPr="002F4F7E">
        <w:rPr>
          <w:b/>
          <w:lang w:eastAsia="en-AU"/>
        </w:rPr>
        <w:t>Held (</w:t>
      </w:r>
      <w:r w:rsidR="00533C5A">
        <w:rPr>
          <w:b/>
          <w:lang w:eastAsia="en-AU"/>
        </w:rPr>
        <w:t>9</w:t>
      </w:r>
      <w:r>
        <w:rPr>
          <w:b/>
          <w:lang w:eastAsia="en-AU"/>
        </w:rPr>
        <w:t>:</w:t>
      </w:r>
      <w:r w:rsidR="00533C5A">
        <w:rPr>
          <w:b/>
          <w:lang w:eastAsia="en-AU"/>
        </w:rPr>
        <w:t>0</w:t>
      </w:r>
      <w:r w:rsidRPr="002F4F7E">
        <w:rPr>
          <w:b/>
          <w:lang w:eastAsia="en-AU"/>
        </w:rPr>
        <w:t xml:space="preserve">): </w:t>
      </w:r>
      <w:r w:rsidR="00533C5A">
        <w:rPr>
          <w:lang w:eastAsia="en-AU"/>
        </w:rPr>
        <w:t xml:space="preserve">Reversed and remanded. </w:t>
      </w:r>
      <w:r>
        <w:rPr>
          <w:lang w:eastAsia="en-AU"/>
        </w:rPr>
        <w:t xml:space="preserve">    </w:t>
      </w:r>
    </w:p>
    <w:p w:rsidR="00C22E8A" w:rsidRDefault="00C22E8A" w:rsidP="00C22E8A">
      <w:pPr>
        <w:pStyle w:val="BullDivider1"/>
        <w:pBdr>
          <w:bottom w:val="dotted" w:sz="4" w:space="0" w:color="auto"/>
        </w:pBdr>
      </w:pPr>
    </w:p>
    <w:p w:rsidR="00C22E8A" w:rsidRDefault="00C22E8A" w:rsidP="00C22E8A"/>
    <w:p w:rsidR="00F76718" w:rsidRPr="00992ECF" w:rsidRDefault="00F76718" w:rsidP="00F76718">
      <w:pPr>
        <w:pStyle w:val="Heading2"/>
        <w:rPr>
          <w:i w:val="0"/>
        </w:rPr>
      </w:pPr>
      <w:r>
        <w:t xml:space="preserve">Caniglia v Strom </w:t>
      </w:r>
      <w:r w:rsidR="002D309D">
        <w:t xml:space="preserve">&amp; </w:t>
      </w:r>
      <w:proofErr w:type="spellStart"/>
      <w:r w:rsidR="002D309D">
        <w:t>Ors</w:t>
      </w:r>
      <w:proofErr w:type="spellEnd"/>
      <w:r>
        <w:t xml:space="preserve"> </w:t>
      </w:r>
    </w:p>
    <w:p w:rsidR="00F76718" w:rsidRPr="002F4F7E" w:rsidRDefault="00F76718" w:rsidP="00F76718">
      <w:pPr>
        <w:rPr>
          <w:lang w:eastAsia="en-AU"/>
        </w:rPr>
      </w:pPr>
      <w:r>
        <w:rPr>
          <w:b/>
          <w:lang w:eastAsia="en-AU"/>
        </w:rPr>
        <w:t>Supreme Court of the United States</w:t>
      </w:r>
      <w:r w:rsidRPr="002F4F7E">
        <w:rPr>
          <w:b/>
          <w:lang w:eastAsia="en-AU"/>
        </w:rPr>
        <w:t xml:space="preserve">: </w:t>
      </w:r>
      <w:hyperlink r:id="rId24" w:history="1">
        <w:r w:rsidR="00A00246">
          <w:rPr>
            <w:rStyle w:val="Hyperlink"/>
            <w:lang w:eastAsia="en-AU"/>
          </w:rPr>
          <w:t>Docket No.</w:t>
        </w:r>
        <w:r w:rsidRPr="00F76718">
          <w:rPr>
            <w:rStyle w:val="Hyperlink"/>
            <w:lang w:eastAsia="en-AU"/>
          </w:rPr>
          <w:t xml:space="preserve"> 20-157</w:t>
        </w:r>
      </w:hyperlink>
    </w:p>
    <w:p w:rsidR="00F76718" w:rsidRPr="002F4F7E" w:rsidRDefault="00F76718" w:rsidP="00F76718">
      <w:pPr>
        <w:rPr>
          <w:lang w:eastAsia="en-AU"/>
        </w:rPr>
      </w:pPr>
    </w:p>
    <w:p w:rsidR="00F76718" w:rsidRPr="002F4F7E" w:rsidRDefault="00F76718" w:rsidP="00F76718">
      <w:pPr>
        <w:rPr>
          <w:lang w:eastAsia="en-AU"/>
        </w:rPr>
      </w:pPr>
      <w:r w:rsidRPr="002F4F7E">
        <w:rPr>
          <w:b/>
          <w:lang w:eastAsia="en-AU"/>
        </w:rPr>
        <w:t>Judgment delivered:</w:t>
      </w:r>
      <w:r>
        <w:rPr>
          <w:lang w:eastAsia="en-AU"/>
        </w:rPr>
        <w:t xml:space="preserve"> 17 May 2021</w:t>
      </w:r>
    </w:p>
    <w:p w:rsidR="00F76718" w:rsidRPr="002F4F7E" w:rsidRDefault="00F76718" w:rsidP="00F76718">
      <w:pPr>
        <w:rPr>
          <w:lang w:eastAsia="en-AU"/>
        </w:rPr>
      </w:pPr>
    </w:p>
    <w:p w:rsidR="00F76718" w:rsidRPr="002F4F7E" w:rsidRDefault="00F76718" w:rsidP="00F76718">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F76718" w:rsidRPr="002F4F7E" w:rsidRDefault="00F76718" w:rsidP="00F76718">
      <w:pPr>
        <w:rPr>
          <w:lang w:eastAsia="en-AU"/>
        </w:rPr>
      </w:pPr>
    </w:p>
    <w:p w:rsidR="00F76718" w:rsidRPr="002F4F7E" w:rsidRDefault="00F76718" w:rsidP="00F76718">
      <w:pPr>
        <w:rPr>
          <w:b/>
          <w:lang w:eastAsia="en-AU"/>
        </w:rPr>
      </w:pPr>
      <w:r>
        <w:rPr>
          <w:b/>
          <w:lang w:eastAsia="en-AU"/>
        </w:rPr>
        <w:t>Catchwords:</w:t>
      </w:r>
    </w:p>
    <w:p w:rsidR="00F76718" w:rsidRPr="00856E9C" w:rsidRDefault="00F76718" w:rsidP="00F76718">
      <w:pPr>
        <w:rPr>
          <w:b/>
          <w:highlight w:val="yellow"/>
          <w:lang w:eastAsia="en-AU"/>
        </w:rPr>
      </w:pPr>
    </w:p>
    <w:p w:rsidR="00F76718" w:rsidRDefault="00F76718" w:rsidP="00F76718">
      <w:pPr>
        <w:ind w:left="720"/>
        <w:rPr>
          <w:lang w:eastAsia="en-AU"/>
        </w:rPr>
      </w:pPr>
      <w:r w:rsidRPr="00BC5CDF">
        <w:rPr>
          <w:lang w:eastAsia="en-AU"/>
        </w:rPr>
        <w:t>Co</w:t>
      </w:r>
      <w:r>
        <w:rPr>
          <w:lang w:eastAsia="en-AU"/>
        </w:rPr>
        <w:t xml:space="preserve">nstitutional law – Fourth Amendment – </w:t>
      </w:r>
      <w:r w:rsidR="000A5E9D">
        <w:rPr>
          <w:lang w:eastAsia="en-AU"/>
        </w:rPr>
        <w:t>Warrantless</w:t>
      </w:r>
      <w:r>
        <w:rPr>
          <w:lang w:eastAsia="en-AU"/>
        </w:rPr>
        <w:t xml:space="preserve"> search and seizure – Community caretaking function – Where, on request of petitioner’s wife, police officers conducted welfare check on petitioner – Where petitioner agreed to go to hospital for psychiatric evaluation on condition officers did not confiscate his firearms – Where, after petitioner left, officers entered home and seized firearms – Where petitioner </w:t>
      </w:r>
      <w:r w:rsidR="000A5E9D">
        <w:rPr>
          <w:lang w:eastAsia="en-AU"/>
        </w:rPr>
        <w:t xml:space="preserve">sued, claiming officers entered home and seized firearms without warrant, in violation of Fourth Amendment – Where First Circuit held exception to Fourth Amendment in </w:t>
      </w:r>
      <w:r w:rsidR="000A5E9D" w:rsidRPr="000A5E9D">
        <w:rPr>
          <w:i/>
        </w:rPr>
        <w:t>Cady v Dombrowski</w:t>
      </w:r>
      <w:r w:rsidR="000A5E9D">
        <w:t>, 413 US 433, for warrantless search of vehicles while undertaking community caretaking functions also extend</w:t>
      </w:r>
      <w:r w:rsidR="0067615D">
        <w:t>ed</w:t>
      </w:r>
      <w:r w:rsidR="000A5E9D">
        <w:t xml:space="preserve"> to warrantless search of homes – Whether </w:t>
      </w:r>
      <w:r w:rsidR="000A5E9D">
        <w:rPr>
          <w:i/>
        </w:rPr>
        <w:t xml:space="preserve">Cady v Dombrowski </w:t>
      </w:r>
      <w:r w:rsidR="000A5E9D">
        <w:t>justifie</w:t>
      </w:r>
      <w:r w:rsidR="0067615D">
        <w:t>d</w:t>
      </w:r>
      <w:r w:rsidR="000A5E9D">
        <w:t xml:space="preserve"> warrantless search of homes when undertaking community caretaking functions. </w:t>
      </w:r>
    </w:p>
    <w:p w:rsidR="00F76718" w:rsidRPr="00856E9C" w:rsidRDefault="00F76718" w:rsidP="00F76718">
      <w:pPr>
        <w:ind w:left="720"/>
        <w:rPr>
          <w:highlight w:val="yellow"/>
          <w:lang w:eastAsia="en-AU"/>
        </w:rPr>
      </w:pPr>
    </w:p>
    <w:p w:rsidR="00F76718" w:rsidRDefault="00F76718" w:rsidP="00F76718">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Vacated and remanded. </w:t>
      </w:r>
    </w:p>
    <w:p w:rsidR="00692BF5" w:rsidRPr="00B546B2" w:rsidRDefault="00692BF5" w:rsidP="00692BF5">
      <w:pPr>
        <w:pStyle w:val="BullDivider2"/>
        <w:rPr>
          <w:rFonts w:cs="Arial"/>
          <w:highlight w:val="yellow"/>
        </w:rPr>
      </w:pPr>
    </w:p>
    <w:p w:rsidR="00EB6861" w:rsidRDefault="00EB6861" w:rsidP="00EB6861"/>
    <w:p w:rsidR="00EB6861" w:rsidRPr="00B20BAC" w:rsidRDefault="00EB6861" w:rsidP="00EB6861">
      <w:pPr>
        <w:pStyle w:val="Heading1"/>
      </w:pPr>
      <w:r>
        <w:t>Corporations</w:t>
      </w:r>
    </w:p>
    <w:p w:rsidR="00EB6861" w:rsidRDefault="00EB6861" w:rsidP="00EB6861"/>
    <w:p w:rsidR="00E770B6" w:rsidRPr="00992ECF" w:rsidRDefault="00E770B6" w:rsidP="00E770B6">
      <w:pPr>
        <w:pStyle w:val="Heading2"/>
        <w:rPr>
          <w:i w:val="0"/>
        </w:rPr>
      </w:pPr>
      <w:r>
        <w:t xml:space="preserve">Goldman Sachs Group Inc </w:t>
      </w:r>
      <w:r w:rsidR="002D309D">
        <w:t xml:space="preserve">&amp; </w:t>
      </w:r>
      <w:proofErr w:type="spellStart"/>
      <w:r w:rsidR="002D309D">
        <w:t>Ors</w:t>
      </w:r>
      <w:proofErr w:type="spellEnd"/>
      <w:r>
        <w:t xml:space="preserve"> v Arkansas Teacher Retirement System </w:t>
      </w:r>
      <w:r w:rsidR="002D309D">
        <w:t xml:space="preserve">&amp; </w:t>
      </w:r>
      <w:proofErr w:type="spellStart"/>
      <w:r w:rsidR="002D309D">
        <w:t>Ors</w:t>
      </w:r>
      <w:proofErr w:type="spellEnd"/>
    </w:p>
    <w:p w:rsidR="00E770B6" w:rsidRPr="002F4F7E" w:rsidRDefault="00E770B6" w:rsidP="00E770B6">
      <w:pPr>
        <w:rPr>
          <w:lang w:eastAsia="en-AU"/>
        </w:rPr>
      </w:pPr>
      <w:r>
        <w:rPr>
          <w:b/>
          <w:lang w:eastAsia="en-AU"/>
        </w:rPr>
        <w:t>Supreme Court of the United States</w:t>
      </w:r>
      <w:r w:rsidRPr="002F4F7E">
        <w:rPr>
          <w:b/>
          <w:lang w:eastAsia="en-AU"/>
        </w:rPr>
        <w:t xml:space="preserve">: </w:t>
      </w:r>
      <w:hyperlink r:id="rId25" w:history="1">
        <w:r w:rsidRPr="00533C5A">
          <w:rPr>
            <w:rStyle w:val="Hyperlink"/>
            <w:lang w:eastAsia="en-AU"/>
          </w:rPr>
          <w:t xml:space="preserve">Docket No. </w:t>
        </w:r>
        <w:r>
          <w:rPr>
            <w:rStyle w:val="Hyperlink"/>
            <w:lang w:eastAsia="en-AU"/>
          </w:rPr>
          <w:t>20-222</w:t>
        </w:r>
      </w:hyperlink>
    </w:p>
    <w:p w:rsidR="00E770B6" w:rsidRPr="002F4F7E" w:rsidRDefault="00E770B6" w:rsidP="00E770B6">
      <w:pPr>
        <w:rPr>
          <w:lang w:eastAsia="en-AU"/>
        </w:rPr>
      </w:pPr>
    </w:p>
    <w:p w:rsidR="00E770B6" w:rsidRPr="002F4F7E" w:rsidRDefault="00E770B6" w:rsidP="00E770B6">
      <w:pPr>
        <w:rPr>
          <w:lang w:eastAsia="en-AU"/>
        </w:rPr>
      </w:pPr>
      <w:r w:rsidRPr="002F4F7E">
        <w:rPr>
          <w:b/>
          <w:lang w:eastAsia="en-AU"/>
        </w:rPr>
        <w:t>Judgment delivered:</w:t>
      </w:r>
      <w:r>
        <w:rPr>
          <w:lang w:eastAsia="en-AU"/>
        </w:rPr>
        <w:t xml:space="preserve"> 21 June 2021</w:t>
      </w:r>
    </w:p>
    <w:p w:rsidR="00E770B6" w:rsidRPr="002F4F7E" w:rsidRDefault="00E770B6" w:rsidP="00E770B6">
      <w:pPr>
        <w:rPr>
          <w:lang w:eastAsia="en-AU"/>
        </w:rPr>
      </w:pPr>
    </w:p>
    <w:p w:rsidR="00E770B6" w:rsidRPr="002F4F7E" w:rsidRDefault="00E770B6" w:rsidP="00E770B6">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E770B6" w:rsidRPr="002F4F7E" w:rsidRDefault="00E770B6" w:rsidP="00E770B6">
      <w:pPr>
        <w:rPr>
          <w:lang w:eastAsia="en-AU"/>
        </w:rPr>
      </w:pPr>
    </w:p>
    <w:p w:rsidR="00E770B6" w:rsidRPr="002F4F7E" w:rsidRDefault="00E770B6" w:rsidP="00E770B6">
      <w:pPr>
        <w:rPr>
          <w:b/>
          <w:lang w:eastAsia="en-AU"/>
        </w:rPr>
      </w:pPr>
      <w:r>
        <w:rPr>
          <w:b/>
          <w:lang w:eastAsia="en-AU"/>
        </w:rPr>
        <w:t>Catchwords:</w:t>
      </w:r>
    </w:p>
    <w:p w:rsidR="00E770B6" w:rsidRPr="00856E9C" w:rsidRDefault="00E770B6" w:rsidP="00E770B6">
      <w:pPr>
        <w:rPr>
          <w:b/>
          <w:highlight w:val="yellow"/>
          <w:lang w:eastAsia="en-AU"/>
        </w:rPr>
      </w:pPr>
    </w:p>
    <w:p w:rsidR="00E770B6" w:rsidRPr="007B5415" w:rsidRDefault="00E770B6" w:rsidP="00E770B6">
      <w:pPr>
        <w:ind w:left="720"/>
        <w:rPr>
          <w:lang w:eastAsia="en-AU"/>
        </w:rPr>
      </w:pPr>
      <w:r>
        <w:rPr>
          <w:lang w:eastAsia="en-AU"/>
        </w:rPr>
        <w:t xml:space="preserve">Corporations – Shareholder actions – Material misrepresentations and omissions – Price impact presumption – Where respondent shareholders sued petitioner alleging petitioner maintained artificially inflated stock price by making false and misleading generic statements about ability to manage conflicts – Where market found out and stock price dropped, causing respondents losses – Where, in </w:t>
      </w:r>
      <w:r>
        <w:rPr>
          <w:i/>
          <w:lang w:eastAsia="en-AU"/>
        </w:rPr>
        <w:t xml:space="preserve">Basic Inc </w:t>
      </w:r>
      <w:r w:rsidR="007B5415">
        <w:rPr>
          <w:i/>
          <w:lang w:eastAsia="en-AU"/>
        </w:rPr>
        <w:t>v Levinson</w:t>
      </w:r>
      <w:r w:rsidR="007B5415">
        <w:rPr>
          <w:lang w:eastAsia="en-AU"/>
        </w:rPr>
        <w:t xml:space="preserve">, 485 US 224, Supreme Court held investors entitled to rely on presumption market stock price reflects all of company’s public statements, including misrepresentations – Where respondents sought class action certification – Where District Court certified class because petitioner failed to rebut presumption by showing alleged misrepresentations had no price impact – Where Second Circuit affirmed decision – Whether generic nature of alleged misrepresentations relevant to price impact inquiry – Whether petitioner has burden of persuasion to prove lack of price impact. </w:t>
      </w:r>
    </w:p>
    <w:p w:rsidR="00E770B6" w:rsidRPr="00856E9C" w:rsidRDefault="00E770B6" w:rsidP="00E770B6">
      <w:pPr>
        <w:ind w:left="720"/>
        <w:rPr>
          <w:highlight w:val="yellow"/>
          <w:lang w:eastAsia="en-AU"/>
        </w:rPr>
      </w:pPr>
    </w:p>
    <w:p w:rsidR="00E770B6" w:rsidRDefault="00E770B6" w:rsidP="00E770B6">
      <w:pPr>
        <w:rPr>
          <w:lang w:eastAsia="en-AU"/>
        </w:rPr>
      </w:pPr>
      <w:r w:rsidRPr="002F4F7E">
        <w:rPr>
          <w:b/>
          <w:lang w:eastAsia="en-AU"/>
        </w:rPr>
        <w:t>Held (</w:t>
      </w:r>
      <w:r>
        <w:rPr>
          <w:b/>
          <w:lang w:eastAsia="en-AU"/>
        </w:rPr>
        <w:t>5:4</w:t>
      </w:r>
      <w:r w:rsidRPr="002F4F7E">
        <w:rPr>
          <w:b/>
          <w:lang w:eastAsia="en-AU"/>
        </w:rPr>
        <w:t xml:space="preserve">): </w:t>
      </w:r>
      <w:r>
        <w:rPr>
          <w:lang w:eastAsia="en-AU"/>
        </w:rPr>
        <w:t xml:space="preserve">Vacated and remanded.      </w:t>
      </w:r>
    </w:p>
    <w:p w:rsidR="00E770B6" w:rsidRDefault="00E770B6" w:rsidP="00E770B6">
      <w:pPr>
        <w:pStyle w:val="BullDivider1"/>
        <w:pBdr>
          <w:bottom w:val="dotted" w:sz="4" w:space="0" w:color="auto"/>
        </w:pBdr>
      </w:pPr>
    </w:p>
    <w:p w:rsidR="00E770B6" w:rsidRDefault="00E770B6" w:rsidP="00E770B6"/>
    <w:p w:rsidR="00EB6861" w:rsidRPr="00992ECF" w:rsidRDefault="00095FA3" w:rsidP="00EB6861">
      <w:pPr>
        <w:pStyle w:val="Heading2"/>
        <w:rPr>
          <w:i w:val="0"/>
        </w:rPr>
      </w:pPr>
      <w:proofErr w:type="spellStart"/>
      <w:r>
        <w:t>Hsin</w:t>
      </w:r>
      <w:proofErr w:type="spellEnd"/>
      <w:r>
        <w:t xml:space="preserve"> Chong Construction Company Limited (in liquidation) v Build King Construction Limited</w:t>
      </w:r>
    </w:p>
    <w:p w:rsidR="00EB6861" w:rsidRPr="002F4F7E" w:rsidRDefault="00095FA3" w:rsidP="00EB6861">
      <w:pPr>
        <w:rPr>
          <w:lang w:eastAsia="en-AU"/>
        </w:rPr>
      </w:pPr>
      <w:r>
        <w:rPr>
          <w:b/>
          <w:lang w:eastAsia="en-AU"/>
        </w:rPr>
        <w:t>Hong Kong Court of Final Appeal:</w:t>
      </w:r>
      <w:r w:rsidR="00EB6861" w:rsidRPr="002F4F7E">
        <w:rPr>
          <w:b/>
          <w:lang w:eastAsia="en-AU"/>
        </w:rPr>
        <w:t xml:space="preserve"> </w:t>
      </w:r>
      <w:hyperlink r:id="rId26" w:history="1">
        <w:r w:rsidRPr="00095FA3">
          <w:rPr>
            <w:rStyle w:val="Hyperlink"/>
            <w:lang w:eastAsia="en-AU"/>
          </w:rPr>
          <w:t>[2021] HKCFA 14</w:t>
        </w:r>
      </w:hyperlink>
    </w:p>
    <w:p w:rsidR="00EB6861" w:rsidRPr="002F4F7E" w:rsidRDefault="00EB6861" w:rsidP="00EB6861">
      <w:pPr>
        <w:rPr>
          <w:lang w:eastAsia="en-AU"/>
        </w:rPr>
      </w:pPr>
    </w:p>
    <w:p w:rsidR="00EB6861" w:rsidRPr="002F4F7E" w:rsidRDefault="00EB6861" w:rsidP="00EB6861">
      <w:pPr>
        <w:rPr>
          <w:lang w:eastAsia="en-AU"/>
        </w:rPr>
      </w:pPr>
      <w:r w:rsidRPr="002F4F7E">
        <w:rPr>
          <w:b/>
          <w:lang w:eastAsia="en-AU"/>
        </w:rPr>
        <w:t>Judgment delivered:</w:t>
      </w:r>
      <w:r>
        <w:rPr>
          <w:lang w:eastAsia="en-AU"/>
        </w:rPr>
        <w:t xml:space="preserve"> </w:t>
      </w:r>
      <w:r w:rsidR="00095FA3">
        <w:rPr>
          <w:lang w:eastAsia="en-AU"/>
        </w:rPr>
        <w:t>13</w:t>
      </w:r>
      <w:r>
        <w:rPr>
          <w:lang w:eastAsia="en-AU"/>
        </w:rPr>
        <w:t xml:space="preserve"> May 2021</w:t>
      </w:r>
    </w:p>
    <w:p w:rsidR="00EB6861" w:rsidRPr="002F4F7E" w:rsidRDefault="00EB6861" w:rsidP="00EB6861">
      <w:pPr>
        <w:rPr>
          <w:lang w:eastAsia="en-AU"/>
        </w:rPr>
      </w:pPr>
    </w:p>
    <w:p w:rsidR="00EB6861" w:rsidRPr="002F4F7E" w:rsidRDefault="00EB6861" w:rsidP="00EB6861">
      <w:pPr>
        <w:rPr>
          <w:lang w:eastAsia="en-AU"/>
        </w:rPr>
      </w:pPr>
      <w:r w:rsidRPr="002F4F7E">
        <w:rPr>
          <w:b/>
          <w:lang w:eastAsia="en-AU"/>
        </w:rPr>
        <w:t>Coram:</w:t>
      </w:r>
      <w:r>
        <w:rPr>
          <w:b/>
          <w:lang w:eastAsia="en-AU"/>
        </w:rPr>
        <w:t xml:space="preserve"> </w:t>
      </w:r>
      <w:r w:rsidR="00095FA3">
        <w:rPr>
          <w:lang w:eastAsia="en-AU"/>
        </w:rPr>
        <w:t xml:space="preserve">Cheung CJ, </w:t>
      </w:r>
      <w:proofErr w:type="spellStart"/>
      <w:r w:rsidR="00095FA3">
        <w:rPr>
          <w:lang w:eastAsia="en-AU"/>
        </w:rPr>
        <w:t>Riberio</w:t>
      </w:r>
      <w:proofErr w:type="spellEnd"/>
      <w:r w:rsidR="00095FA3">
        <w:rPr>
          <w:lang w:eastAsia="en-AU"/>
        </w:rPr>
        <w:t xml:space="preserve">, </w:t>
      </w:r>
      <w:proofErr w:type="spellStart"/>
      <w:r w:rsidR="00095FA3">
        <w:rPr>
          <w:lang w:eastAsia="en-AU"/>
        </w:rPr>
        <w:t>Fok</w:t>
      </w:r>
      <w:proofErr w:type="spellEnd"/>
      <w:r w:rsidR="00095FA3">
        <w:rPr>
          <w:lang w:eastAsia="en-AU"/>
        </w:rPr>
        <w:t xml:space="preserve"> PJJ, Tang and </w:t>
      </w:r>
      <w:proofErr w:type="spellStart"/>
      <w:r w:rsidR="00095FA3">
        <w:rPr>
          <w:lang w:eastAsia="en-AU"/>
        </w:rPr>
        <w:t>Gummow</w:t>
      </w:r>
      <w:proofErr w:type="spellEnd"/>
      <w:r w:rsidR="00095FA3">
        <w:rPr>
          <w:lang w:eastAsia="en-AU"/>
        </w:rPr>
        <w:t xml:space="preserve"> NPJJ</w:t>
      </w:r>
    </w:p>
    <w:p w:rsidR="00EB6861" w:rsidRPr="002F4F7E" w:rsidRDefault="00EB6861" w:rsidP="00EB6861">
      <w:pPr>
        <w:rPr>
          <w:lang w:eastAsia="en-AU"/>
        </w:rPr>
      </w:pPr>
    </w:p>
    <w:p w:rsidR="00EB6861" w:rsidRPr="002F4F7E" w:rsidRDefault="00EB6861" w:rsidP="00EB6861">
      <w:pPr>
        <w:rPr>
          <w:b/>
          <w:lang w:eastAsia="en-AU"/>
        </w:rPr>
      </w:pPr>
      <w:r>
        <w:rPr>
          <w:b/>
          <w:lang w:eastAsia="en-AU"/>
        </w:rPr>
        <w:t>Catchwords:</w:t>
      </w:r>
    </w:p>
    <w:p w:rsidR="00EB6861" w:rsidRPr="00856E9C" w:rsidRDefault="00EB6861" w:rsidP="00EB6861">
      <w:pPr>
        <w:rPr>
          <w:b/>
          <w:highlight w:val="yellow"/>
          <w:lang w:eastAsia="en-AU"/>
        </w:rPr>
      </w:pPr>
    </w:p>
    <w:p w:rsidR="00EB6861" w:rsidRPr="00095FA3" w:rsidRDefault="00095FA3" w:rsidP="00EB6861">
      <w:pPr>
        <w:ind w:left="720"/>
        <w:rPr>
          <w:lang w:eastAsia="en-AU"/>
        </w:rPr>
      </w:pPr>
      <w:r>
        <w:rPr>
          <w:lang w:eastAsia="en-AU"/>
        </w:rPr>
        <w:t xml:space="preserve">Corporations – Winding-up – Void transactions – Where s 182 of </w:t>
      </w:r>
      <w:r>
        <w:rPr>
          <w:i/>
          <w:lang w:eastAsia="en-AU"/>
        </w:rPr>
        <w:t>Companies (Winding Up and Miscellaneous Provisions) Ordinance (Cap 32)</w:t>
      </w:r>
      <w:r>
        <w:rPr>
          <w:lang w:eastAsia="en-AU"/>
        </w:rPr>
        <w:t xml:space="preserve"> provided after winding-up petition presented, transaction disposing of company property presumptively void unless court grants validation order – Where parties entered into joint venture agreement, which provided one </w:t>
      </w:r>
      <w:r>
        <w:rPr>
          <w:lang w:eastAsia="en-AU"/>
        </w:rPr>
        <w:lastRenderedPageBreak/>
        <w:t xml:space="preserve">party may exclude other party if other party insolvent – Where winding-up petition presented against appellant – Where respondent exercised option to exclude appellant – Where parties entered into supplementary agreement where respondent paid money to appellant’s sister company in exchange for appellant’s residual rights and interests – Where respondent sought to validate this transaction – Where Court of First Instance made validation order on basis transaction not disposition of appellant’s property and respondent breached no duty – Where Court of Appeal held no ground to interfere with Court of First Instance’s discretion to make validation order – Whether transaction disposition of property or discharge of obligations under joint venture agreement – Whether relevant to s 182 respondent breached no duty – Whether transaction void. </w:t>
      </w:r>
    </w:p>
    <w:p w:rsidR="00EB6861" w:rsidRPr="00856E9C" w:rsidRDefault="00EB6861" w:rsidP="00EB6861">
      <w:pPr>
        <w:ind w:left="720"/>
        <w:rPr>
          <w:highlight w:val="yellow"/>
          <w:lang w:eastAsia="en-AU"/>
        </w:rPr>
      </w:pPr>
    </w:p>
    <w:p w:rsidR="00EB6861" w:rsidRDefault="00EB6861" w:rsidP="00EB6861">
      <w:pPr>
        <w:rPr>
          <w:lang w:eastAsia="en-AU"/>
        </w:rPr>
      </w:pPr>
      <w:r w:rsidRPr="002F4F7E">
        <w:rPr>
          <w:b/>
          <w:lang w:eastAsia="en-AU"/>
        </w:rPr>
        <w:t>Held (</w:t>
      </w:r>
      <w:r w:rsidR="00095FA3">
        <w:rPr>
          <w:b/>
          <w:lang w:eastAsia="en-AU"/>
        </w:rPr>
        <w:t>5</w:t>
      </w:r>
      <w:r>
        <w:rPr>
          <w:b/>
          <w:lang w:eastAsia="en-AU"/>
        </w:rPr>
        <w:t>:0</w:t>
      </w:r>
      <w:r w:rsidRPr="002F4F7E">
        <w:rPr>
          <w:b/>
          <w:lang w:eastAsia="en-AU"/>
        </w:rPr>
        <w:t xml:space="preserve">): </w:t>
      </w:r>
      <w:r w:rsidR="00095FA3">
        <w:rPr>
          <w:lang w:eastAsia="en-AU"/>
        </w:rPr>
        <w:t xml:space="preserve">Appeal allowed. </w:t>
      </w:r>
      <w:r>
        <w:rPr>
          <w:lang w:eastAsia="en-AU"/>
        </w:rPr>
        <w:t xml:space="preserve"> </w:t>
      </w:r>
    </w:p>
    <w:p w:rsidR="00EB6861" w:rsidRPr="00B546B2" w:rsidRDefault="00EB6861" w:rsidP="00EB6861">
      <w:pPr>
        <w:pStyle w:val="BullDivider2"/>
        <w:rPr>
          <w:rFonts w:cs="Arial"/>
          <w:highlight w:val="yellow"/>
        </w:rPr>
      </w:pPr>
    </w:p>
    <w:p w:rsidR="005244A9" w:rsidRDefault="005244A9" w:rsidP="005244A9"/>
    <w:p w:rsidR="005244A9" w:rsidRPr="00B20BAC" w:rsidRDefault="005244A9" w:rsidP="005244A9">
      <w:pPr>
        <w:pStyle w:val="Heading1"/>
      </w:pPr>
      <w:r>
        <w:t>Courts</w:t>
      </w:r>
    </w:p>
    <w:p w:rsidR="00EC205C" w:rsidRDefault="00EC205C" w:rsidP="00EC205C"/>
    <w:p w:rsidR="00EC205C" w:rsidRPr="00992ECF" w:rsidRDefault="001D2A50" w:rsidP="00EC205C">
      <w:pPr>
        <w:pStyle w:val="Heading2"/>
        <w:rPr>
          <w:i w:val="0"/>
        </w:rPr>
      </w:pPr>
      <w:r>
        <w:t xml:space="preserve">Secretary of the Judicial Commission of Inquiry into Allegations of State Capture, Corruption and Fraud in the Public Sector including Organs of State v Zuma &amp; </w:t>
      </w:r>
      <w:proofErr w:type="spellStart"/>
      <w:r>
        <w:t>Ors</w:t>
      </w:r>
      <w:proofErr w:type="spellEnd"/>
      <w:r>
        <w:t xml:space="preserve"> </w:t>
      </w:r>
    </w:p>
    <w:p w:rsidR="00EC205C" w:rsidRPr="002F4F7E" w:rsidRDefault="00EC205C" w:rsidP="00EC205C">
      <w:pPr>
        <w:rPr>
          <w:lang w:eastAsia="en-AU"/>
        </w:rPr>
      </w:pPr>
      <w:r>
        <w:rPr>
          <w:b/>
          <w:lang w:eastAsia="en-AU"/>
        </w:rPr>
        <w:t>Constitutional Court of South Africa</w:t>
      </w:r>
      <w:r w:rsidRPr="002F4F7E">
        <w:rPr>
          <w:b/>
          <w:lang w:eastAsia="en-AU"/>
        </w:rPr>
        <w:t xml:space="preserve">: </w:t>
      </w:r>
      <w:hyperlink r:id="rId27" w:history="1">
        <w:r w:rsidRPr="0034394C">
          <w:rPr>
            <w:rStyle w:val="Hyperlink"/>
            <w:lang w:eastAsia="en-AU"/>
          </w:rPr>
          <w:t>[2021] ZACC 1</w:t>
        </w:r>
        <w:r w:rsidR="001D2A50">
          <w:rPr>
            <w:rStyle w:val="Hyperlink"/>
            <w:lang w:eastAsia="en-AU"/>
          </w:rPr>
          <w:t>8</w:t>
        </w:r>
      </w:hyperlink>
    </w:p>
    <w:p w:rsidR="00EC205C" w:rsidRPr="002F4F7E" w:rsidRDefault="00EC205C" w:rsidP="00EC205C">
      <w:pPr>
        <w:rPr>
          <w:lang w:eastAsia="en-AU"/>
        </w:rPr>
      </w:pPr>
    </w:p>
    <w:p w:rsidR="00EC205C" w:rsidRPr="002F4F7E" w:rsidRDefault="00EC205C" w:rsidP="00EC205C">
      <w:pPr>
        <w:rPr>
          <w:lang w:eastAsia="en-AU"/>
        </w:rPr>
      </w:pPr>
      <w:r w:rsidRPr="002F4F7E">
        <w:rPr>
          <w:b/>
          <w:lang w:eastAsia="en-AU"/>
        </w:rPr>
        <w:t>Judgment delivered:</w:t>
      </w:r>
      <w:r>
        <w:rPr>
          <w:lang w:eastAsia="en-AU"/>
        </w:rPr>
        <w:t xml:space="preserve"> </w:t>
      </w:r>
      <w:r w:rsidR="001D2A50">
        <w:rPr>
          <w:lang w:eastAsia="en-AU"/>
        </w:rPr>
        <w:t>29 June</w:t>
      </w:r>
      <w:r>
        <w:rPr>
          <w:lang w:eastAsia="en-AU"/>
        </w:rPr>
        <w:t xml:space="preserve"> 2021</w:t>
      </w:r>
    </w:p>
    <w:p w:rsidR="00EC205C" w:rsidRPr="002F4F7E" w:rsidRDefault="00EC205C" w:rsidP="00EC205C">
      <w:pPr>
        <w:rPr>
          <w:lang w:eastAsia="en-AU"/>
        </w:rPr>
      </w:pPr>
    </w:p>
    <w:p w:rsidR="00EC205C" w:rsidRPr="002F4F7E" w:rsidRDefault="00EC205C" w:rsidP="00EC205C">
      <w:pPr>
        <w:rPr>
          <w:lang w:eastAsia="en-AU"/>
        </w:rPr>
      </w:pPr>
      <w:r w:rsidRPr="002F4F7E">
        <w:rPr>
          <w:b/>
          <w:lang w:eastAsia="en-AU"/>
        </w:rPr>
        <w:t>Coram:</w:t>
      </w:r>
      <w:r>
        <w:rPr>
          <w:b/>
          <w:lang w:eastAsia="en-AU"/>
        </w:rPr>
        <w:t xml:space="preserve"> </w:t>
      </w:r>
      <w:proofErr w:type="spellStart"/>
      <w:r w:rsidR="001D2A50">
        <w:rPr>
          <w:lang w:eastAsia="en-AU"/>
        </w:rPr>
        <w:t>Khampepe</w:t>
      </w:r>
      <w:proofErr w:type="spellEnd"/>
      <w:r w:rsidRPr="0034394C">
        <w:rPr>
          <w:lang w:eastAsia="en-AU"/>
        </w:rPr>
        <w:t xml:space="preserve"> </w:t>
      </w:r>
      <w:r w:rsidR="001D2A50">
        <w:rPr>
          <w:lang w:eastAsia="en-AU"/>
        </w:rPr>
        <w:t>AD</w:t>
      </w:r>
      <w:r w:rsidRPr="0034394C">
        <w:rPr>
          <w:lang w:eastAsia="en-AU"/>
        </w:rPr>
        <w:t>CJ, Jafta,</w:t>
      </w:r>
      <w:r w:rsidR="001D2A50">
        <w:rPr>
          <w:lang w:eastAsia="en-AU"/>
        </w:rPr>
        <w:t xml:space="preserve"> </w:t>
      </w:r>
      <w:proofErr w:type="spellStart"/>
      <w:r w:rsidRPr="0034394C">
        <w:rPr>
          <w:lang w:eastAsia="en-AU"/>
        </w:rPr>
        <w:t>Madlanga</w:t>
      </w:r>
      <w:proofErr w:type="spellEnd"/>
      <w:r w:rsidRPr="0034394C">
        <w:rPr>
          <w:lang w:eastAsia="en-AU"/>
        </w:rPr>
        <w:t xml:space="preserve">, </w:t>
      </w:r>
      <w:proofErr w:type="spellStart"/>
      <w:r w:rsidRPr="0034394C">
        <w:rPr>
          <w:lang w:eastAsia="en-AU"/>
        </w:rPr>
        <w:t>Majiedt</w:t>
      </w:r>
      <w:proofErr w:type="spellEnd"/>
      <w:r w:rsidR="001D2A50">
        <w:rPr>
          <w:lang w:eastAsia="en-AU"/>
        </w:rPr>
        <w:t>,</w:t>
      </w:r>
      <w:r w:rsidRPr="0034394C">
        <w:rPr>
          <w:lang w:eastAsia="en-AU"/>
        </w:rPr>
        <w:t xml:space="preserve"> </w:t>
      </w:r>
      <w:proofErr w:type="spellStart"/>
      <w:r w:rsidRPr="0034394C">
        <w:rPr>
          <w:lang w:eastAsia="en-AU"/>
        </w:rPr>
        <w:t>Mhlantla</w:t>
      </w:r>
      <w:proofErr w:type="spellEnd"/>
      <w:r w:rsidR="001D2A50">
        <w:rPr>
          <w:lang w:eastAsia="en-AU"/>
        </w:rPr>
        <w:t xml:space="preserve"> JJ</w:t>
      </w:r>
      <w:r w:rsidRPr="0034394C">
        <w:rPr>
          <w:lang w:eastAsia="en-AU"/>
        </w:rPr>
        <w:t>,</w:t>
      </w:r>
      <w:r w:rsidR="001D2A50">
        <w:rPr>
          <w:lang w:eastAsia="en-AU"/>
        </w:rPr>
        <w:t xml:space="preserve"> Pillay AJ,</w:t>
      </w:r>
      <w:r w:rsidRPr="0034394C">
        <w:rPr>
          <w:lang w:eastAsia="en-AU"/>
        </w:rPr>
        <w:t xml:space="preserve"> Theron</w:t>
      </w:r>
      <w:r w:rsidR="001D2A50">
        <w:rPr>
          <w:lang w:eastAsia="en-AU"/>
        </w:rPr>
        <w:t xml:space="preserve"> J</w:t>
      </w:r>
      <w:r w:rsidRPr="0034394C">
        <w:rPr>
          <w:lang w:eastAsia="en-AU"/>
        </w:rPr>
        <w:t xml:space="preserve">, </w:t>
      </w:r>
      <w:proofErr w:type="spellStart"/>
      <w:r w:rsidR="001D2A50">
        <w:rPr>
          <w:lang w:eastAsia="en-AU"/>
        </w:rPr>
        <w:t>Tlaletsi</w:t>
      </w:r>
      <w:proofErr w:type="spellEnd"/>
      <w:r w:rsidR="001D2A50">
        <w:rPr>
          <w:lang w:eastAsia="en-AU"/>
        </w:rPr>
        <w:t xml:space="preserve"> AJ and </w:t>
      </w:r>
      <w:proofErr w:type="spellStart"/>
      <w:r w:rsidRPr="0034394C">
        <w:rPr>
          <w:lang w:eastAsia="en-AU"/>
        </w:rPr>
        <w:t>Tshiqi</w:t>
      </w:r>
      <w:proofErr w:type="spellEnd"/>
      <w:r>
        <w:rPr>
          <w:lang w:eastAsia="en-AU"/>
        </w:rPr>
        <w:t xml:space="preserve"> J</w:t>
      </w:r>
    </w:p>
    <w:p w:rsidR="00EC205C" w:rsidRPr="002F4F7E" w:rsidRDefault="00EC205C" w:rsidP="00EC205C">
      <w:pPr>
        <w:rPr>
          <w:lang w:eastAsia="en-AU"/>
        </w:rPr>
      </w:pPr>
    </w:p>
    <w:p w:rsidR="00EC205C" w:rsidRPr="002F4F7E" w:rsidRDefault="00EC205C" w:rsidP="00EC205C">
      <w:pPr>
        <w:rPr>
          <w:b/>
          <w:lang w:eastAsia="en-AU"/>
        </w:rPr>
      </w:pPr>
      <w:r>
        <w:rPr>
          <w:b/>
          <w:lang w:eastAsia="en-AU"/>
        </w:rPr>
        <w:t>Catchwords:</w:t>
      </w:r>
    </w:p>
    <w:p w:rsidR="00EC205C" w:rsidRPr="00856E9C" w:rsidRDefault="00EC205C" w:rsidP="00EC205C">
      <w:pPr>
        <w:rPr>
          <w:b/>
          <w:highlight w:val="yellow"/>
          <w:lang w:eastAsia="en-AU"/>
        </w:rPr>
      </w:pPr>
    </w:p>
    <w:p w:rsidR="00EC205C" w:rsidRPr="001D2A50" w:rsidRDefault="001D2A50" w:rsidP="001D2A50">
      <w:pPr>
        <w:ind w:left="720"/>
        <w:rPr>
          <w:lang w:eastAsia="en-AU"/>
        </w:rPr>
      </w:pPr>
      <w:r>
        <w:rPr>
          <w:lang w:eastAsia="en-AU"/>
        </w:rPr>
        <w:t xml:space="preserve">Courts – Contempt of court – Where, in </w:t>
      </w:r>
      <w:r w:rsidRPr="001D2A50">
        <w:rPr>
          <w:i/>
          <w:lang w:eastAsia="en-AU"/>
        </w:rPr>
        <w:t>Secretary of the Judicial Commission of Inquiry into Allegations of State Capture, Corruption and Fraud in the Public Sector including Organs of State v Zuma</w:t>
      </w:r>
      <w:r>
        <w:rPr>
          <w:i/>
          <w:lang w:eastAsia="en-AU"/>
        </w:rPr>
        <w:t xml:space="preserve"> </w:t>
      </w:r>
      <w:r>
        <w:rPr>
          <w:lang w:eastAsia="en-AU"/>
        </w:rPr>
        <w:t xml:space="preserve">[2021] ZACC 2, Constitutional Court ordered respondent to attend and give evidence to Commission – Where respondent did not attend Commission as ordered – Where Commission launched contempt of court proceedings – Whether respondent guilty of contempt of court – If so, what is appropriate sanction. </w:t>
      </w:r>
    </w:p>
    <w:p w:rsidR="001D2A50" w:rsidRPr="00856E9C" w:rsidRDefault="001D2A50" w:rsidP="00EC205C">
      <w:pPr>
        <w:rPr>
          <w:highlight w:val="yellow"/>
          <w:lang w:eastAsia="en-AU"/>
        </w:rPr>
      </w:pPr>
    </w:p>
    <w:p w:rsidR="00EC205C" w:rsidRDefault="00EC205C" w:rsidP="00EC205C">
      <w:pPr>
        <w:rPr>
          <w:lang w:eastAsia="en-AU"/>
        </w:rPr>
      </w:pPr>
      <w:r w:rsidRPr="002F4F7E">
        <w:rPr>
          <w:b/>
          <w:lang w:eastAsia="en-AU"/>
        </w:rPr>
        <w:t>Held (</w:t>
      </w:r>
      <w:r w:rsidR="001D2A50">
        <w:rPr>
          <w:b/>
          <w:lang w:eastAsia="en-AU"/>
        </w:rPr>
        <w:t>9</w:t>
      </w:r>
      <w:r>
        <w:rPr>
          <w:b/>
          <w:lang w:eastAsia="en-AU"/>
        </w:rPr>
        <w:t>:0</w:t>
      </w:r>
      <w:r w:rsidRPr="002F4F7E">
        <w:rPr>
          <w:b/>
          <w:lang w:eastAsia="en-AU"/>
        </w:rPr>
        <w:t xml:space="preserve">): </w:t>
      </w:r>
      <w:r>
        <w:rPr>
          <w:lang w:eastAsia="en-AU"/>
        </w:rPr>
        <w:t xml:space="preserve">Leave to appeal granted; appeal allowed.  </w:t>
      </w:r>
    </w:p>
    <w:p w:rsidR="00EC205C" w:rsidRDefault="00EC205C" w:rsidP="00EC205C">
      <w:pPr>
        <w:pStyle w:val="BullDivider1"/>
        <w:pBdr>
          <w:bottom w:val="dotted" w:sz="4" w:space="0" w:color="auto"/>
        </w:pBdr>
      </w:pPr>
    </w:p>
    <w:p w:rsidR="00EC205C" w:rsidRDefault="00EC205C" w:rsidP="00EC205C">
      <w:pPr>
        <w:rPr>
          <w:lang w:eastAsia="en-AU"/>
        </w:rPr>
      </w:pPr>
    </w:p>
    <w:p w:rsidR="00886538" w:rsidRPr="00992ECF" w:rsidRDefault="00886538" w:rsidP="00886538">
      <w:pPr>
        <w:pStyle w:val="Heading2"/>
        <w:rPr>
          <w:i w:val="0"/>
        </w:rPr>
      </w:pPr>
      <w:r>
        <w:t xml:space="preserve">Sherman Estate </w:t>
      </w:r>
      <w:r w:rsidR="002D309D">
        <w:t>&amp; Anor</w:t>
      </w:r>
      <w:r>
        <w:t xml:space="preserve"> v Donovan </w:t>
      </w:r>
      <w:r w:rsidR="002D309D">
        <w:t>&amp; Anor</w:t>
      </w:r>
    </w:p>
    <w:p w:rsidR="00886538" w:rsidRPr="002F4F7E" w:rsidRDefault="00886538" w:rsidP="00886538">
      <w:pPr>
        <w:rPr>
          <w:lang w:eastAsia="en-AU"/>
        </w:rPr>
      </w:pPr>
      <w:r>
        <w:rPr>
          <w:b/>
          <w:lang w:eastAsia="en-AU"/>
        </w:rPr>
        <w:t>Supreme Court of Canada</w:t>
      </w:r>
      <w:r w:rsidRPr="002F4F7E">
        <w:rPr>
          <w:b/>
          <w:lang w:eastAsia="en-AU"/>
        </w:rPr>
        <w:t xml:space="preserve">: </w:t>
      </w:r>
      <w:hyperlink r:id="rId28" w:history="1">
        <w:r w:rsidRPr="00400757">
          <w:rPr>
            <w:rStyle w:val="Hyperlink"/>
            <w:lang w:eastAsia="en-AU"/>
          </w:rPr>
          <w:t>[2021] SCC</w:t>
        </w:r>
        <w:r>
          <w:rPr>
            <w:rStyle w:val="Hyperlink"/>
            <w:lang w:eastAsia="en-AU"/>
          </w:rPr>
          <w:t xml:space="preserve"> 25</w:t>
        </w:r>
      </w:hyperlink>
    </w:p>
    <w:p w:rsidR="00886538" w:rsidRPr="002F4F7E" w:rsidRDefault="00886538" w:rsidP="00886538">
      <w:pPr>
        <w:rPr>
          <w:lang w:eastAsia="en-AU"/>
        </w:rPr>
      </w:pPr>
    </w:p>
    <w:p w:rsidR="00886538" w:rsidRPr="002F4F7E" w:rsidRDefault="00886538" w:rsidP="00886538">
      <w:pPr>
        <w:rPr>
          <w:lang w:eastAsia="en-AU"/>
        </w:rPr>
      </w:pPr>
      <w:r w:rsidRPr="002F4F7E">
        <w:rPr>
          <w:b/>
          <w:lang w:eastAsia="en-AU"/>
        </w:rPr>
        <w:t>Judgment delivered:</w:t>
      </w:r>
      <w:r>
        <w:rPr>
          <w:lang w:eastAsia="en-AU"/>
        </w:rPr>
        <w:t xml:space="preserve"> 11 June 2021</w:t>
      </w:r>
    </w:p>
    <w:p w:rsidR="00886538" w:rsidRPr="002F4F7E" w:rsidRDefault="00886538" w:rsidP="00886538">
      <w:pPr>
        <w:rPr>
          <w:lang w:eastAsia="en-AU"/>
        </w:rPr>
      </w:pPr>
    </w:p>
    <w:p w:rsidR="00886538" w:rsidRPr="002F4F7E" w:rsidRDefault="00886538" w:rsidP="00886538">
      <w:pPr>
        <w:rPr>
          <w:lang w:eastAsia="en-AU"/>
        </w:rPr>
      </w:pPr>
      <w:r w:rsidRPr="002F4F7E">
        <w:rPr>
          <w:b/>
          <w:lang w:eastAsia="en-AU"/>
        </w:rPr>
        <w:t>Coram:</w:t>
      </w:r>
      <w:r>
        <w:rPr>
          <w:b/>
          <w:lang w:eastAsia="en-AU"/>
        </w:rPr>
        <w:t xml:space="preserve"> </w:t>
      </w:r>
      <w:r>
        <w:rPr>
          <w:lang w:eastAsia="en-AU"/>
        </w:rPr>
        <w:t xml:space="preserve">Wagner CJ, </w:t>
      </w:r>
      <w:proofErr w:type="spellStart"/>
      <w:r>
        <w:rPr>
          <w:lang w:eastAsia="en-AU"/>
        </w:rPr>
        <w:t>Moldaver</w:t>
      </w:r>
      <w:proofErr w:type="spellEnd"/>
      <w:r>
        <w:rPr>
          <w:lang w:eastAsia="en-AU"/>
        </w:rPr>
        <w:t xml:space="preserve">, Karakatsanis, Brown, Rowe, Martin and </w:t>
      </w:r>
      <w:proofErr w:type="spellStart"/>
      <w:r>
        <w:rPr>
          <w:lang w:eastAsia="en-AU"/>
        </w:rPr>
        <w:t>Kasirer</w:t>
      </w:r>
      <w:proofErr w:type="spellEnd"/>
      <w:r>
        <w:rPr>
          <w:lang w:eastAsia="en-AU"/>
        </w:rPr>
        <w:t xml:space="preserve"> JJ</w:t>
      </w:r>
    </w:p>
    <w:p w:rsidR="00886538" w:rsidRPr="002F4F7E" w:rsidRDefault="00886538" w:rsidP="00886538">
      <w:pPr>
        <w:rPr>
          <w:lang w:eastAsia="en-AU"/>
        </w:rPr>
      </w:pPr>
    </w:p>
    <w:p w:rsidR="00886538" w:rsidRPr="002F4F7E" w:rsidRDefault="00886538" w:rsidP="00886538">
      <w:pPr>
        <w:rPr>
          <w:b/>
          <w:lang w:eastAsia="en-AU"/>
        </w:rPr>
      </w:pPr>
      <w:r>
        <w:rPr>
          <w:b/>
          <w:lang w:eastAsia="en-AU"/>
        </w:rPr>
        <w:t>Catchwords:</w:t>
      </w:r>
    </w:p>
    <w:p w:rsidR="00886538" w:rsidRPr="00856E9C" w:rsidRDefault="00886538" w:rsidP="00886538">
      <w:pPr>
        <w:rPr>
          <w:b/>
          <w:highlight w:val="yellow"/>
          <w:lang w:eastAsia="en-AU"/>
        </w:rPr>
      </w:pPr>
    </w:p>
    <w:p w:rsidR="00886538" w:rsidRDefault="00886538" w:rsidP="00886538">
      <w:pPr>
        <w:ind w:left="720"/>
        <w:rPr>
          <w:lang w:eastAsia="en-AU"/>
        </w:rPr>
      </w:pPr>
      <w:r w:rsidRPr="00BC5CDF">
        <w:rPr>
          <w:lang w:eastAsia="en-AU"/>
        </w:rPr>
        <w:t xml:space="preserve">Courts — Open court principle — Sealing orders — Discretionary limits on court openness — Important public interest — Privacy — Dignity — Physical safety — </w:t>
      </w:r>
      <w:r>
        <w:rPr>
          <w:lang w:eastAsia="en-AU"/>
        </w:rPr>
        <w:t>Where u</w:t>
      </w:r>
      <w:r w:rsidRPr="00BC5CDF">
        <w:rPr>
          <w:lang w:eastAsia="en-AU"/>
        </w:rPr>
        <w:t>nexplained deaths of prominent couple generat</w:t>
      </w:r>
      <w:r>
        <w:rPr>
          <w:lang w:eastAsia="en-AU"/>
        </w:rPr>
        <w:t>ed</w:t>
      </w:r>
      <w:r w:rsidRPr="00BC5CDF">
        <w:rPr>
          <w:lang w:eastAsia="en-AU"/>
        </w:rPr>
        <w:t xml:space="preserve"> intense public scrutiny and prompt</w:t>
      </w:r>
      <w:r>
        <w:rPr>
          <w:lang w:eastAsia="en-AU"/>
        </w:rPr>
        <w:t>ed</w:t>
      </w:r>
      <w:r w:rsidRPr="00BC5CDF">
        <w:rPr>
          <w:lang w:eastAsia="en-AU"/>
        </w:rPr>
        <w:t xml:space="preserve"> trustees of estates to apply for sealing of probate files — Whether privacy and physical safety concerns advanced by estate trustees amount to important public interests at such serious risk to justify issuance of sealing orders.</w:t>
      </w:r>
    </w:p>
    <w:p w:rsidR="00886538" w:rsidRPr="00856E9C" w:rsidRDefault="00886538" w:rsidP="00886538">
      <w:pPr>
        <w:ind w:left="720"/>
        <w:rPr>
          <w:highlight w:val="yellow"/>
          <w:lang w:eastAsia="en-AU"/>
        </w:rPr>
      </w:pPr>
    </w:p>
    <w:p w:rsidR="00886538" w:rsidRDefault="00886538" w:rsidP="00886538">
      <w:pPr>
        <w:rPr>
          <w:lang w:eastAsia="en-AU"/>
        </w:rPr>
      </w:pPr>
      <w:r w:rsidRPr="002F4F7E">
        <w:rPr>
          <w:b/>
          <w:lang w:eastAsia="en-AU"/>
        </w:rPr>
        <w:t>Held (</w:t>
      </w:r>
      <w:r>
        <w:rPr>
          <w:b/>
          <w:lang w:eastAsia="en-AU"/>
        </w:rPr>
        <w:t>7:0</w:t>
      </w:r>
      <w:r w:rsidRPr="002F4F7E">
        <w:rPr>
          <w:b/>
          <w:lang w:eastAsia="en-AU"/>
        </w:rPr>
        <w:t xml:space="preserve">): </w:t>
      </w:r>
      <w:r>
        <w:rPr>
          <w:lang w:eastAsia="en-AU"/>
        </w:rPr>
        <w:t xml:space="preserve">Appeal dismissed. </w:t>
      </w:r>
    </w:p>
    <w:p w:rsidR="00886538" w:rsidRDefault="00886538" w:rsidP="00886538">
      <w:pPr>
        <w:pStyle w:val="BullDivider1"/>
        <w:pBdr>
          <w:bottom w:val="dotted" w:sz="4" w:space="0" w:color="auto"/>
        </w:pBdr>
      </w:pPr>
    </w:p>
    <w:p w:rsidR="00886538" w:rsidRDefault="00886538" w:rsidP="005244A9">
      <w:pPr>
        <w:rPr>
          <w:rFonts w:ascii="Arial" w:hAnsi="Arial" w:cs="Arial"/>
          <w:bCs/>
          <w:i/>
          <w:iCs/>
          <w:sz w:val="28"/>
          <w:szCs w:val="28"/>
          <w:lang w:eastAsia="en-AU"/>
        </w:rPr>
      </w:pPr>
    </w:p>
    <w:p w:rsidR="005244A9" w:rsidRDefault="005244A9" w:rsidP="005244A9">
      <w:pPr>
        <w:rPr>
          <w:rFonts w:ascii="Arial" w:hAnsi="Arial" w:cs="Arial"/>
          <w:bCs/>
          <w:i/>
          <w:iCs/>
          <w:sz w:val="28"/>
          <w:szCs w:val="28"/>
          <w:lang w:eastAsia="en-AU"/>
        </w:rPr>
      </w:pPr>
      <w:r w:rsidRPr="005244A9">
        <w:rPr>
          <w:rFonts w:ascii="Arial" w:hAnsi="Arial" w:cs="Arial"/>
          <w:bCs/>
          <w:i/>
          <w:iCs/>
          <w:sz w:val="28"/>
          <w:szCs w:val="28"/>
          <w:lang w:eastAsia="en-AU"/>
        </w:rPr>
        <w:t xml:space="preserve">Ethiopian Orthodox </w:t>
      </w:r>
      <w:proofErr w:type="spellStart"/>
      <w:r w:rsidRPr="005244A9">
        <w:rPr>
          <w:rFonts w:ascii="Arial" w:hAnsi="Arial" w:cs="Arial"/>
          <w:bCs/>
          <w:i/>
          <w:iCs/>
          <w:sz w:val="28"/>
          <w:szCs w:val="28"/>
          <w:lang w:eastAsia="en-AU"/>
        </w:rPr>
        <w:t>Tewahedo</w:t>
      </w:r>
      <w:proofErr w:type="spellEnd"/>
      <w:r w:rsidRPr="005244A9">
        <w:rPr>
          <w:rFonts w:ascii="Arial" w:hAnsi="Arial" w:cs="Arial"/>
          <w:bCs/>
          <w:i/>
          <w:iCs/>
          <w:sz w:val="28"/>
          <w:szCs w:val="28"/>
          <w:lang w:eastAsia="en-AU"/>
        </w:rPr>
        <w:t xml:space="preserve"> Church of Canada St Mary Cathedral</w:t>
      </w:r>
      <w:r>
        <w:rPr>
          <w:rFonts w:ascii="Arial" w:hAnsi="Arial" w:cs="Arial"/>
          <w:bCs/>
          <w:i/>
          <w:iCs/>
          <w:sz w:val="28"/>
          <w:szCs w:val="28"/>
          <w:lang w:eastAsia="en-AU"/>
        </w:rPr>
        <w:t xml:space="preserve"> </w:t>
      </w:r>
      <w:r w:rsidR="002D309D">
        <w:rPr>
          <w:rFonts w:ascii="Arial" w:hAnsi="Arial" w:cs="Arial"/>
          <w:bCs/>
          <w:i/>
          <w:iCs/>
          <w:sz w:val="28"/>
          <w:szCs w:val="28"/>
          <w:lang w:eastAsia="en-AU"/>
        </w:rPr>
        <w:t>&amp; Anor</w:t>
      </w:r>
      <w:r w:rsidRPr="005244A9">
        <w:rPr>
          <w:rFonts w:ascii="Arial" w:hAnsi="Arial" w:cs="Arial"/>
          <w:bCs/>
          <w:i/>
          <w:iCs/>
          <w:sz w:val="28"/>
          <w:szCs w:val="28"/>
          <w:lang w:eastAsia="en-AU"/>
        </w:rPr>
        <w:t xml:space="preserve"> v Aga</w:t>
      </w:r>
      <w:r>
        <w:rPr>
          <w:rFonts w:ascii="Arial" w:hAnsi="Arial" w:cs="Arial"/>
          <w:bCs/>
          <w:i/>
          <w:iCs/>
          <w:sz w:val="28"/>
          <w:szCs w:val="28"/>
          <w:lang w:eastAsia="en-AU"/>
        </w:rPr>
        <w:t xml:space="preserve"> </w:t>
      </w:r>
      <w:r w:rsidR="002D309D">
        <w:rPr>
          <w:rFonts w:ascii="Arial" w:hAnsi="Arial" w:cs="Arial"/>
          <w:bCs/>
          <w:i/>
          <w:iCs/>
          <w:sz w:val="28"/>
          <w:szCs w:val="28"/>
          <w:lang w:eastAsia="en-AU"/>
        </w:rPr>
        <w:t xml:space="preserve">&amp; </w:t>
      </w:r>
      <w:proofErr w:type="spellStart"/>
      <w:r w:rsidR="002D309D">
        <w:rPr>
          <w:rFonts w:ascii="Arial" w:hAnsi="Arial" w:cs="Arial"/>
          <w:bCs/>
          <w:i/>
          <w:iCs/>
          <w:sz w:val="28"/>
          <w:szCs w:val="28"/>
          <w:lang w:eastAsia="en-AU"/>
        </w:rPr>
        <w:t>Ors</w:t>
      </w:r>
      <w:proofErr w:type="spellEnd"/>
    </w:p>
    <w:p w:rsidR="005244A9" w:rsidRPr="002F4F7E" w:rsidRDefault="005244A9" w:rsidP="005244A9">
      <w:pPr>
        <w:rPr>
          <w:lang w:eastAsia="en-AU"/>
        </w:rPr>
      </w:pPr>
      <w:r>
        <w:rPr>
          <w:b/>
          <w:lang w:eastAsia="en-AU"/>
        </w:rPr>
        <w:t>Supreme Court of Canada</w:t>
      </w:r>
      <w:r w:rsidRPr="002F4F7E">
        <w:rPr>
          <w:b/>
          <w:lang w:eastAsia="en-AU"/>
        </w:rPr>
        <w:t xml:space="preserve">: </w:t>
      </w:r>
      <w:hyperlink r:id="rId29" w:history="1">
        <w:r w:rsidRPr="00400757">
          <w:rPr>
            <w:rStyle w:val="Hyperlink"/>
            <w:lang w:eastAsia="en-AU"/>
          </w:rPr>
          <w:t xml:space="preserve">[2021] SCC </w:t>
        </w:r>
        <w:r>
          <w:rPr>
            <w:rStyle w:val="Hyperlink"/>
            <w:lang w:eastAsia="en-AU"/>
          </w:rPr>
          <w:t>22</w:t>
        </w:r>
      </w:hyperlink>
    </w:p>
    <w:p w:rsidR="005244A9" w:rsidRPr="002F4F7E" w:rsidRDefault="005244A9" w:rsidP="005244A9">
      <w:pPr>
        <w:rPr>
          <w:lang w:eastAsia="en-AU"/>
        </w:rPr>
      </w:pPr>
    </w:p>
    <w:p w:rsidR="005244A9" w:rsidRPr="002F4F7E" w:rsidRDefault="005244A9" w:rsidP="005244A9">
      <w:pPr>
        <w:rPr>
          <w:lang w:eastAsia="en-AU"/>
        </w:rPr>
      </w:pPr>
      <w:r w:rsidRPr="002F4F7E">
        <w:rPr>
          <w:b/>
          <w:lang w:eastAsia="en-AU"/>
        </w:rPr>
        <w:t>Judgment delivered:</w:t>
      </w:r>
      <w:r>
        <w:rPr>
          <w:lang w:eastAsia="en-AU"/>
        </w:rPr>
        <w:t xml:space="preserve"> 21 May 2021</w:t>
      </w:r>
    </w:p>
    <w:p w:rsidR="005244A9" w:rsidRPr="002F4F7E" w:rsidRDefault="005244A9" w:rsidP="005244A9">
      <w:pPr>
        <w:rPr>
          <w:lang w:eastAsia="en-AU"/>
        </w:rPr>
      </w:pPr>
    </w:p>
    <w:p w:rsidR="005244A9" w:rsidRPr="002F4F7E" w:rsidRDefault="005244A9" w:rsidP="005244A9">
      <w:pPr>
        <w:rPr>
          <w:lang w:eastAsia="en-AU"/>
        </w:rPr>
      </w:pPr>
      <w:r w:rsidRPr="002F4F7E">
        <w:rPr>
          <w:b/>
          <w:lang w:eastAsia="en-AU"/>
        </w:rPr>
        <w:t>Coram:</w:t>
      </w:r>
      <w:r>
        <w:rPr>
          <w:b/>
          <w:lang w:eastAsia="en-AU"/>
        </w:rPr>
        <w:t xml:space="preserve"> </w:t>
      </w:r>
      <w:r>
        <w:rPr>
          <w:lang w:eastAsia="en-AU"/>
        </w:rPr>
        <w:t xml:space="preserve">Wagner CJ, </w:t>
      </w:r>
      <w:proofErr w:type="spellStart"/>
      <w:r>
        <w:rPr>
          <w:lang w:eastAsia="en-AU"/>
        </w:rPr>
        <w:t>Abella</w:t>
      </w:r>
      <w:proofErr w:type="spellEnd"/>
      <w:r>
        <w:rPr>
          <w:lang w:eastAsia="en-AU"/>
        </w:rPr>
        <w:t xml:space="preserve">, </w:t>
      </w:r>
      <w:proofErr w:type="spellStart"/>
      <w:r>
        <w:rPr>
          <w:lang w:eastAsia="en-AU"/>
        </w:rPr>
        <w:t>Moldaver</w:t>
      </w:r>
      <w:proofErr w:type="spellEnd"/>
      <w:r>
        <w:rPr>
          <w:lang w:eastAsia="en-AU"/>
        </w:rPr>
        <w:t xml:space="preserve">, Karakatsanis, </w:t>
      </w:r>
      <w:proofErr w:type="spellStart"/>
      <w:r w:rsidRPr="00400757">
        <w:rPr>
          <w:lang w:eastAsia="en-AU"/>
        </w:rPr>
        <w:t>Côté</w:t>
      </w:r>
      <w:proofErr w:type="spellEnd"/>
      <w:r>
        <w:rPr>
          <w:lang w:eastAsia="en-AU"/>
        </w:rPr>
        <w:t xml:space="preserve">, Brown, Rowe, Martin and </w:t>
      </w:r>
      <w:proofErr w:type="spellStart"/>
      <w:r>
        <w:rPr>
          <w:lang w:eastAsia="en-AU"/>
        </w:rPr>
        <w:t>Kasirer</w:t>
      </w:r>
      <w:proofErr w:type="spellEnd"/>
      <w:r>
        <w:rPr>
          <w:lang w:eastAsia="en-AU"/>
        </w:rPr>
        <w:t xml:space="preserve"> JJ</w:t>
      </w:r>
    </w:p>
    <w:p w:rsidR="005244A9" w:rsidRPr="002F4F7E" w:rsidRDefault="005244A9" w:rsidP="005244A9">
      <w:pPr>
        <w:rPr>
          <w:lang w:eastAsia="en-AU"/>
        </w:rPr>
      </w:pPr>
    </w:p>
    <w:p w:rsidR="005244A9" w:rsidRPr="002F4F7E" w:rsidRDefault="005244A9" w:rsidP="005244A9">
      <w:pPr>
        <w:rPr>
          <w:b/>
          <w:lang w:eastAsia="en-AU"/>
        </w:rPr>
      </w:pPr>
      <w:r>
        <w:rPr>
          <w:b/>
          <w:lang w:eastAsia="en-AU"/>
        </w:rPr>
        <w:t>Catchwords:</w:t>
      </w:r>
    </w:p>
    <w:p w:rsidR="005244A9" w:rsidRPr="00856E9C" w:rsidRDefault="005244A9" w:rsidP="005244A9">
      <w:pPr>
        <w:rPr>
          <w:b/>
          <w:highlight w:val="yellow"/>
          <w:lang w:eastAsia="en-AU"/>
        </w:rPr>
      </w:pPr>
    </w:p>
    <w:p w:rsidR="005244A9" w:rsidRDefault="005244A9" w:rsidP="005244A9">
      <w:pPr>
        <w:ind w:left="720"/>
        <w:rPr>
          <w:lang w:eastAsia="en-AU"/>
        </w:rPr>
      </w:pPr>
      <w:r w:rsidRPr="005244A9">
        <w:rPr>
          <w:lang w:eastAsia="en-AU"/>
        </w:rPr>
        <w:t xml:space="preserve">Courts — Jurisdiction — </w:t>
      </w:r>
      <w:r>
        <w:rPr>
          <w:lang w:eastAsia="en-AU"/>
        </w:rPr>
        <w:t>Where r</w:t>
      </w:r>
      <w:r w:rsidRPr="005244A9">
        <w:rPr>
          <w:lang w:eastAsia="en-AU"/>
        </w:rPr>
        <w:t>eligious organization expell</w:t>
      </w:r>
      <w:r>
        <w:rPr>
          <w:lang w:eastAsia="en-AU"/>
        </w:rPr>
        <w:t>ed</w:t>
      </w:r>
      <w:r w:rsidRPr="005244A9">
        <w:rPr>
          <w:lang w:eastAsia="en-AU"/>
        </w:rPr>
        <w:t xml:space="preserve"> members from congregation — </w:t>
      </w:r>
      <w:r>
        <w:rPr>
          <w:lang w:eastAsia="en-AU"/>
        </w:rPr>
        <w:t>Where e</w:t>
      </w:r>
      <w:r w:rsidRPr="005244A9">
        <w:rPr>
          <w:lang w:eastAsia="en-AU"/>
        </w:rPr>
        <w:t>xpelled members br</w:t>
      </w:r>
      <w:r>
        <w:rPr>
          <w:lang w:eastAsia="en-AU"/>
        </w:rPr>
        <w:t>ought</w:t>
      </w:r>
      <w:r w:rsidRPr="005244A9">
        <w:rPr>
          <w:lang w:eastAsia="en-AU"/>
        </w:rPr>
        <w:t xml:space="preserve"> action challenging expulsions — Whether action raise</w:t>
      </w:r>
      <w:r w:rsidR="0067615D">
        <w:rPr>
          <w:lang w:eastAsia="en-AU"/>
        </w:rPr>
        <w:t>d</w:t>
      </w:r>
      <w:r w:rsidRPr="005244A9">
        <w:rPr>
          <w:lang w:eastAsia="en-AU"/>
        </w:rPr>
        <w:t xml:space="preserve"> legal right giving superior court jurisdiction to review expulsions — Whether written constitution and bylaws of religious organization contractually binding and enforceable.</w:t>
      </w:r>
    </w:p>
    <w:p w:rsidR="005244A9" w:rsidRPr="00856E9C" w:rsidRDefault="005244A9" w:rsidP="005244A9">
      <w:pPr>
        <w:ind w:left="720"/>
        <w:rPr>
          <w:highlight w:val="yellow"/>
          <w:lang w:eastAsia="en-AU"/>
        </w:rPr>
      </w:pPr>
    </w:p>
    <w:p w:rsidR="005244A9" w:rsidRDefault="005244A9" w:rsidP="005244A9">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Appeal allowed. </w:t>
      </w:r>
    </w:p>
    <w:p w:rsidR="00992ECF" w:rsidRPr="00B546B2" w:rsidRDefault="00992ECF" w:rsidP="00992ECF">
      <w:pPr>
        <w:pStyle w:val="BullDivider2"/>
        <w:rPr>
          <w:rFonts w:cs="Arial"/>
          <w:highlight w:val="yellow"/>
        </w:rPr>
      </w:pPr>
    </w:p>
    <w:p w:rsidR="009960F6" w:rsidRDefault="009960F6" w:rsidP="009960F6"/>
    <w:p w:rsidR="009960F6" w:rsidRPr="00B20BAC" w:rsidRDefault="009960F6" w:rsidP="009960F6">
      <w:pPr>
        <w:pStyle w:val="Heading1"/>
      </w:pPr>
      <w:r>
        <w:t>Criminal Law</w:t>
      </w:r>
    </w:p>
    <w:p w:rsidR="00785D42" w:rsidRDefault="00785D42" w:rsidP="00785D42"/>
    <w:p w:rsidR="00785D42" w:rsidRPr="002F4F7E" w:rsidRDefault="00D1018B" w:rsidP="00785D42">
      <w:pPr>
        <w:pStyle w:val="Heading2"/>
      </w:pPr>
      <w:r>
        <w:t xml:space="preserve">Director of Public Prosecutions v Ziegler &amp; </w:t>
      </w:r>
      <w:proofErr w:type="spellStart"/>
      <w:r>
        <w:t>Ors</w:t>
      </w:r>
      <w:proofErr w:type="spellEnd"/>
      <w:r>
        <w:t xml:space="preserve"> </w:t>
      </w:r>
    </w:p>
    <w:p w:rsidR="00785D42" w:rsidRPr="002F4F7E" w:rsidRDefault="00785D42" w:rsidP="00785D42">
      <w:pPr>
        <w:rPr>
          <w:lang w:eastAsia="en-AU"/>
        </w:rPr>
      </w:pPr>
      <w:r>
        <w:rPr>
          <w:b/>
          <w:lang w:eastAsia="en-AU"/>
        </w:rPr>
        <w:t>Supreme Court of the United Kingdom</w:t>
      </w:r>
      <w:r w:rsidRPr="002F4F7E">
        <w:rPr>
          <w:b/>
          <w:lang w:eastAsia="en-AU"/>
        </w:rPr>
        <w:t xml:space="preserve">: </w:t>
      </w:r>
      <w:hyperlink r:id="rId30" w:history="1">
        <w:r w:rsidRPr="00613043">
          <w:rPr>
            <w:rStyle w:val="Hyperlink"/>
            <w:lang w:eastAsia="en-AU"/>
          </w:rPr>
          <w:t xml:space="preserve">[2021] UKSC </w:t>
        </w:r>
        <w:r>
          <w:rPr>
            <w:rStyle w:val="Hyperlink"/>
            <w:lang w:eastAsia="en-AU"/>
          </w:rPr>
          <w:t>2</w:t>
        </w:r>
        <w:r w:rsidR="00D1018B">
          <w:rPr>
            <w:rStyle w:val="Hyperlink"/>
            <w:lang w:eastAsia="en-AU"/>
          </w:rPr>
          <w:t>3</w:t>
        </w:r>
      </w:hyperlink>
    </w:p>
    <w:p w:rsidR="00785D42" w:rsidRPr="002F4F7E" w:rsidRDefault="00785D42" w:rsidP="00785D42">
      <w:pPr>
        <w:rPr>
          <w:lang w:eastAsia="en-AU"/>
        </w:rPr>
      </w:pPr>
    </w:p>
    <w:p w:rsidR="00785D42" w:rsidRPr="002F4F7E" w:rsidRDefault="00785D42" w:rsidP="00785D42">
      <w:pPr>
        <w:rPr>
          <w:lang w:eastAsia="en-AU"/>
        </w:rPr>
      </w:pPr>
      <w:r w:rsidRPr="002F4F7E">
        <w:rPr>
          <w:b/>
          <w:lang w:eastAsia="en-AU"/>
        </w:rPr>
        <w:t>Judgment delivered:</w:t>
      </w:r>
      <w:r w:rsidRPr="002F4F7E">
        <w:rPr>
          <w:lang w:eastAsia="en-AU"/>
        </w:rPr>
        <w:t xml:space="preserve"> </w:t>
      </w:r>
      <w:r>
        <w:rPr>
          <w:lang w:eastAsia="en-AU"/>
        </w:rPr>
        <w:t>25 June 2021</w:t>
      </w:r>
    </w:p>
    <w:p w:rsidR="00785D42" w:rsidRPr="002F4F7E" w:rsidRDefault="00785D42" w:rsidP="00785D42">
      <w:pPr>
        <w:rPr>
          <w:lang w:eastAsia="en-AU"/>
        </w:rPr>
      </w:pPr>
    </w:p>
    <w:p w:rsidR="00785D42" w:rsidRPr="002F4F7E" w:rsidRDefault="00785D42" w:rsidP="00785D42">
      <w:pPr>
        <w:rPr>
          <w:lang w:eastAsia="en-AU"/>
        </w:rPr>
      </w:pPr>
      <w:r w:rsidRPr="002F4F7E">
        <w:rPr>
          <w:b/>
          <w:lang w:eastAsia="en-AU"/>
        </w:rPr>
        <w:t xml:space="preserve">Coram: </w:t>
      </w:r>
      <w:r w:rsidR="00D1018B">
        <w:rPr>
          <w:lang w:eastAsia="en-AU"/>
        </w:rPr>
        <w:t xml:space="preserve">Lord Hodge, Lady Arden, Lord Sales, Lord </w:t>
      </w:r>
      <w:proofErr w:type="spellStart"/>
      <w:r w:rsidR="00D1018B">
        <w:rPr>
          <w:lang w:eastAsia="en-AU"/>
        </w:rPr>
        <w:t>Hamblen</w:t>
      </w:r>
      <w:proofErr w:type="spellEnd"/>
      <w:r w:rsidR="00D1018B">
        <w:rPr>
          <w:lang w:eastAsia="en-AU"/>
        </w:rPr>
        <w:t xml:space="preserve"> and Lord Stephens</w:t>
      </w:r>
    </w:p>
    <w:p w:rsidR="00785D42" w:rsidRPr="002F4F7E" w:rsidRDefault="00785D42" w:rsidP="00785D42">
      <w:pPr>
        <w:rPr>
          <w:lang w:eastAsia="en-AU"/>
        </w:rPr>
      </w:pPr>
    </w:p>
    <w:p w:rsidR="00785D42" w:rsidRPr="002F4F7E" w:rsidRDefault="00785D42" w:rsidP="00785D42">
      <w:pPr>
        <w:rPr>
          <w:b/>
          <w:lang w:eastAsia="en-AU"/>
        </w:rPr>
      </w:pPr>
      <w:r>
        <w:rPr>
          <w:b/>
          <w:lang w:eastAsia="en-AU"/>
        </w:rPr>
        <w:t>Catchwords:</w:t>
      </w:r>
    </w:p>
    <w:p w:rsidR="00785D42" w:rsidRPr="00856E9C" w:rsidRDefault="00785D42" w:rsidP="00785D42">
      <w:pPr>
        <w:rPr>
          <w:b/>
          <w:highlight w:val="yellow"/>
          <w:lang w:eastAsia="en-AU"/>
        </w:rPr>
      </w:pPr>
    </w:p>
    <w:p w:rsidR="00785D42" w:rsidRPr="00D1018B" w:rsidRDefault="00D1018B" w:rsidP="00785D42">
      <w:pPr>
        <w:ind w:left="720"/>
        <w:rPr>
          <w:lang w:eastAsia="en-AU"/>
        </w:rPr>
      </w:pPr>
      <w:r>
        <w:rPr>
          <w:lang w:eastAsia="en-AU"/>
        </w:rPr>
        <w:t xml:space="preserve">Criminal law – Defences – Lawful excuse – European Convention of Human Rights (ECHR) – Freedom of expression – Freedom of peaceful assembly – Where appellants took part in protest by blocking highway – Where appellants charged with wilful obstruction of highway, contrary to s 137(1) of </w:t>
      </w:r>
      <w:r>
        <w:rPr>
          <w:i/>
          <w:lang w:eastAsia="en-AU"/>
        </w:rPr>
        <w:t xml:space="preserve">Highways Act 1980 </w:t>
      </w:r>
      <w:r>
        <w:rPr>
          <w:lang w:eastAsia="en-AU"/>
        </w:rPr>
        <w:t>(UK) – Where appellants acquitted on basis appellants ha</w:t>
      </w:r>
      <w:r w:rsidR="0067615D">
        <w:rPr>
          <w:lang w:eastAsia="en-AU"/>
        </w:rPr>
        <w:t>d</w:t>
      </w:r>
      <w:r>
        <w:rPr>
          <w:lang w:eastAsia="en-AU"/>
        </w:rPr>
        <w:t xml:space="preserve"> lawful excuse because exercising ECHR rights of freedom of expression and freedom of peaceful assembly – Where Divisional Court </w:t>
      </w:r>
      <w:r>
        <w:rPr>
          <w:lang w:eastAsia="en-AU"/>
        </w:rPr>
        <w:lastRenderedPageBreak/>
        <w:t xml:space="preserve">held </w:t>
      </w:r>
      <w:r w:rsidR="0067615D">
        <w:rPr>
          <w:lang w:eastAsia="en-AU"/>
        </w:rPr>
        <w:t>lower court</w:t>
      </w:r>
      <w:r>
        <w:rPr>
          <w:lang w:eastAsia="en-AU"/>
        </w:rPr>
        <w:t xml:space="preserve"> failed to balance interests of appellants with interests of members of public using highway – Whether exercise of ECHR rights lawful excuse – Whether police actions proportionate to appellants’ exercise of ECHR rights. </w:t>
      </w:r>
    </w:p>
    <w:p w:rsidR="00785D42" w:rsidRPr="00856E9C" w:rsidRDefault="00785D42" w:rsidP="00785D42">
      <w:pPr>
        <w:ind w:left="720"/>
        <w:rPr>
          <w:highlight w:val="yellow"/>
          <w:lang w:eastAsia="en-AU"/>
        </w:rPr>
      </w:pPr>
    </w:p>
    <w:p w:rsidR="00785D42" w:rsidRDefault="00785D42" w:rsidP="00785D42">
      <w:pPr>
        <w:rPr>
          <w:lang w:eastAsia="en-AU"/>
        </w:rPr>
      </w:pPr>
      <w:r w:rsidRPr="002F4F7E">
        <w:rPr>
          <w:b/>
          <w:lang w:eastAsia="en-AU"/>
        </w:rPr>
        <w:t>Held (</w:t>
      </w:r>
      <w:r>
        <w:rPr>
          <w:b/>
          <w:lang w:eastAsia="en-AU"/>
        </w:rPr>
        <w:t>3:2</w:t>
      </w:r>
      <w:r w:rsidRPr="002F4F7E">
        <w:rPr>
          <w:b/>
          <w:lang w:eastAsia="en-AU"/>
        </w:rPr>
        <w:t xml:space="preserve">): </w:t>
      </w:r>
      <w:r>
        <w:rPr>
          <w:lang w:eastAsia="en-AU"/>
        </w:rPr>
        <w:t xml:space="preserve">Appeal allowed. </w:t>
      </w:r>
    </w:p>
    <w:p w:rsidR="00785D42" w:rsidRPr="00181993" w:rsidRDefault="00785D42" w:rsidP="00785D42">
      <w:pPr>
        <w:pStyle w:val="BullDivider1"/>
        <w:pBdr>
          <w:bottom w:val="dotted" w:sz="4" w:space="0" w:color="auto"/>
        </w:pBdr>
      </w:pPr>
    </w:p>
    <w:p w:rsidR="00785D42" w:rsidRDefault="00785D42" w:rsidP="00785D42"/>
    <w:p w:rsidR="004C0661" w:rsidRPr="00992ECF" w:rsidRDefault="004C0661" w:rsidP="004C0661">
      <w:pPr>
        <w:pStyle w:val="Heading2"/>
        <w:rPr>
          <w:i w:val="0"/>
        </w:rPr>
      </w:pPr>
      <w:r>
        <w:t>Greer v United States; United States v Gary</w:t>
      </w:r>
    </w:p>
    <w:p w:rsidR="004C0661" w:rsidRPr="002F4F7E" w:rsidRDefault="004C0661" w:rsidP="004C0661">
      <w:pPr>
        <w:rPr>
          <w:lang w:eastAsia="en-AU"/>
        </w:rPr>
      </w:pPr>
      <w:r>
        <w:rPr>
          <w:b/>
          <w:lang w:eastAsia="en-AU"/>
        </w:rPr>
        <w:t>Supreme Court of the United States</w:t>
      </w:r>
      <w:r w:rsidRPr="002F4F7E">
        <w:rPr>
          <w:b/>
          <w:lang w:eastAsia="en-AU"/>
        </w:rPr>
        <w:t xml:space="preserve">: </w:t>
      </w:r>
      <w:hyperlink r:id="rId31" w:history="1">
        <w:r w:rsidR="00A00246">
          <w:rPr>
            <w:rStyle w:val="Hyperlink"/>
            <w:lang w:eastAsia="en-AU"/>
          </w:rPr>
          <w:t>Docket No.</w:t>
        </w:r>
        <w:r w:rsidRPr="0052214A">
          <w:rPr>
            <w:rStyle w:val="Hyperlink"/>
            <w:lang w:eastAsia="en-AU"/>
          </w:rPr>
          <w:t xml:space="preserve"> </w:t>
        </w:r>
        <w:r w:rsidR="00A00246">
          <w:rPr>
            <w:rStyle w:val="Hyperlink"/>
            <w:lang w:eastAsia="en-AU"/>
          </w:rPr>
          <w:t>19-8709; 20-444</w:t>
        </w:r>
      </w:hyperlink>
    </w:p>
    <w:p w:rsidR="004C0661" w:rsidRPr="002F4F7E" w:rsidRDefault="004C0661" w:rsidP="004C0661">
      <w:pPr>
        <w:rPr>
          <w:lang w:eastAsia="en-AU"/>
        </w:rPr>
      </w:pPr>
    </w:p>
    <w:p w:rsidR="004C0661" w:rsidRPr="002F4F7E" w:rsidRDefault="004C0661" w:rsidP="004C0661">
      <w:pPr>
        <w:rPr>
          <w:lang w:eastAsia="en-AU"/>
        </w:rPr>
      </w:pPr>
      <w:r w:rsidRPr="002F4F7E">
        <w:rPr>
          <w:b/>
          <w:lang w:eastAsia="en-AU"/>
        </w:rPr>
        <w:t>Judgment delivered:</w:t>
      </w:r>
      <w:r>
        <w:rPr>
          <w:lang w:eastAsia="en-AU"/>
        </w:rPr>
        <w:t xml:space="preserve"> 14 June 2021</w:t>
      </w:r>
    </w:p>
    <w:p w:rsidR="004C0661" w:rsidRPr="002F4F7E" w:rsidRDefault="004C0661" w:rsidP="004C0661">
      <w:pPr>
        <w:rPr>
          <w:lang w:eastAsia="en-AU"/>
        </w:rPr>
      </w:pPr>
    </w:p>
    <w:p w:rsidR="004C0661" w:rsidRPr="002F4F7E" w:rsidRDefault="004C0661" w:rsidP="004C0661">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4C0661" w:rsidRPr="002F4F7E" w:rsidRDefault="004C0661" w:rsidP="004C0661">
      <w:pPr>
        <w:rPr>
          <w:lang w:eastAsia="en-AU"/>
        </w:rPr>
      </w:pPr>
    </w:p>
    <w:p w:rsidR="004C0661" w:rsidRPr="002F4F7E" w:rsidRDefault="004C0661" w:rsidP="004C0661">
      <w:pPr>
        <w:rPr>
          <w:b/>
          <w:lang w:eastAsia="en-AU"/>
        </w:rPr>
      </w:pPr>
      <w:r>
        <w:rPr>
          <w:b/>
          <w:lang w:eastAsia="en-AU"/>
        </w:rPr>
        <w:t>Catchwords:</w:t>
      </w:r>
    </w:p>
    <w:p w:rsidR="004C0661" w:rsidRPr="00856E9C" w:rsidRDefault="004C0661" w:rsidP="004C0661">
      <w:pPr>
        <w:rPr>
          <w:b/>
          <w:highlight w:val="yellow"/>
          <w:lang w:eastAsia="en-AU"/>
        </w:rPr>
      </w:pPr>
    </w:p>
    <w:p w:rsidR="004C0661" w:rsidRPr="00560C9C" w:rsidRDefault="004C0661" w:rsidP="004C0661">
      <w:pPr>
        <w:ind w:left="720"/>
        <w:rPr>
          <w:lang w:eastAsia="en-AU"/>
        </w:rPr>
      </w:pPr>
      <w:r>
        <w:rPr>
          <w:lang w:eastAsia="en-AU"/>
        </w:rPr>
        <w:t xml:space="preserve">Criminal law – </w:t>
      </w:r>
      <w:r w:rsidR="00A00246">
        <w:rPr>
          <w:lang w:eastAsia="en-AU"/>
        </w:rPr>
        <w:t xml:space="preserve">Plain error review – </w:t>
      </w:r>
      <w:proofErr w:type="spellStart"/>
      <w:r w:rsidR="00A00246">
        <w:rPr>
          <w:lang w:eastAsia="en-AU"/>
        </w:rPr>
        <w:t>Mens</w:t>
      </w:r>
      <w:proofErr w:type="spellEnd"/>
      <w:r w:rsidR="00A00246">
        <w:rPr>
          <w:lang w:eastAsia="en-AU"/>
        </w:rPr>
        <w:t xml:space="preserve"> rea </w:t>
      </w:r>
      <w:r w:rsidR="00A009DA">
        <w:rPr>
          <w:lang w:eastAsia="en-AU"/>
        </w:rPr>
        <w:t xml:space="preserve">– Where in </w:t>
      </w:r>
      <w:proofErr w:type="spellStart"/>
      <w:r w:rsidR="00A009DA">
        <w:rPr>
          <w:i/>
          <w:lang w:eastAsia="en-AU"/>
        </w:rPr>
        <w:t>Rehaif</w:t>
      </w:r>
      <w:proofErr w:type="spellEnd"/>
      <w:r w:rsidR="00A009DA">
        <w:rPr>
          <w:i/>
          <w:lang w:eastAsia="en-AU"/>
        </w:rPr>
        <w:t xml:space="preserve"> v United States</w:t>
      </w:r>
      <w:r w:rsidR="00A009DA">
        <w:rPr>
          <w:lang w:eastAsia="en-AU"/>
        </w:rPr>
        <w:t xml:space="preserve">, 588 US ___, Supreme Court held </w:t>
      </w:r>
      <w:r w:rsidR="00560C9C">
        <w:rPr>
          <w:lang w:eastAsia="en-AU"/>
        </w:rPr>
        <w:t xml:space="preserve">for offence of felon-in-possession, prosecution must prove defendant not only knew they possessed firearm but also knew they were felon while in possession of firearm – Where, prior to </w:t>
      </w:r>
      <w:proofErr w:type="spellStart"/>
      <w:r w:rsidR="00560C9C">
        <w:rPr>
          <w:i/>
          <w:lang w:eastAsia="en-AU"/>
        </w:rPr>
        <w:t>Rehaif</w:t>
      </w:r>
      <w:proofErr w:type="spellEnd"/>
      <w:r w:rsidR="00560C9C">
        <w:rPr>
          <w:lang w:eastAsia="en-AU"/>
        </w:rPr>
        <w:t xml:space="preserve">, Greer and Gary separately convicted of felon-in-possession – Where Greer convicted in jury trial and jury not </w:t>
      </w:r>
      <w:r w:rsidR="0067615D">
        <w:rPr>
          <w:lang w:eastAsia="en-AU"/>
        </w:rPr>
        <w:t>instructed</w:t>
      </w:r>
      <w:r w:rsidR="00560C9C">
        <w:rPr>
          <w:lang w:eastAsia="en-AU"/>
        </w:rPr>
        <w:t xml:space="preserve"> it had to find he knew he was felon – Where Gary pled guilty but not informed jury would have had to find he knew he was felon – Where both appealed on basis of </w:t>
      </w:r>
      <w:proofErr w:type="spellStart"/>
      <w:r w:rsidR="00560C9C">
        <w:rPr>
          <w:i/>
          <w:lang w:eastAsia="en-AU"/>
        </w:rPr>
        <w:t>Rehaif</w:t>
      </w:r>
      <w:proofErr w:type="spellEnd"/>
      <w:r w:rsidR="00560C9C">
        <w:rPr>
          <w:i/>
          <w:lang w:eastAsia="en-AU"/>
        </w:rPr>
        <w:t xml:space="preserve"> </w:t>
      </w:r>
      <w:r w:rsidR="00560C9C">
        <w:rPr>
          <w:lang w:eastAsia="en-AU"/>
        </w:rPr>
        <w:t>error</w:t>
      </w:r>
      <w:r w:rsidR="00560C9C">
        <w:rPr>
          <w:i/>
          <w:lang w:eastAsia="en-AU"/>
        </w:rPr>
        <w:t xml:space="preserve"> </w:t>
      </w:r>
      <w:r w:rsidR="00560C9C">
        <w:rPr>
          <w:lang w:eastAsia="en-AU"/>
        </w:rPr>
        <w:t xml:space="preserve">– Where Eleventh Circuit rejected Greer’s appeal on basis no plain error in verdict – Where Fourth Circuit allowed with Gary’s appeal on basis error in </w:t>
      </w:r>
      <w:proofErr w:type="spellStart"/>
      <w:r w:rsidR="00560C9C">
        <w:rPr>
          <w:lang w:eastAsia="en-AU"/>
        </w:rPr>
        <w:t>mens</w:t>
      </w:r>
      <w:proofErr w:type="spellEnd"/>
      <w:r w:rsidR="00560C9C">
        <w:rPr>
          <w:lang w:eastAsia="en-AU"/>
        </w:rPr>
        <w:t xml:space="preserve"> rea element is structural error requiring automatic reversal – Whether </w:t>
      </w:r>
      <w:proofErr w:type="spellStart"/>
      <w:r w:rsidR="00560C9C">
        <w:rPr>
          <w:i/>
          <w:lang w:eastAsia="en-AU"/>
        </w:rPr>
        <w:t>Rehaif</w:t>
      </w:r>
      <w:proofErr w:type="spellEnd"/>
      <w:r w:rsidR="00560C9C">
        <w:rPr>
          <w:i/>
          <w:lang w:eastAsia="en-AU"/>
        </w:rPr>
        <w:t xml:space="preserve"> </w:t>
      </w:r>
      <w:r w:rsidR="00560C9C">
        <w:rPr>
          <w:lang w:eastAsia="en-AU"/>
        </w:rPr>
        <w:t xml:space="preserve">error requires defendant to demonstrate plain error on appeal or requires automatic reversal. </w:t>
      </w:r>
    </w:p>
    <w:p w:rsidR="004C0661" w:rsidRPr="00856E9C" w:rsidRDefault="004C0661" w:rsidP="004C0661">
      <w:pPr>
        <w:ind w:left="720"/>
        <w:rPr>
          <w:highlight w:val="yellow"/>
          <w:lang w:eastAsia="en-AU"/>
        </w:rPr>
      </w:pPr>
    </w:p>
    <w:p w:rsidR="004C0661" w:rsidRDefault="004C0661" w:rsidP="004C0661">
      <w:pPr>
        <w:rPr>
          <w:lang w:eastAsia="en-AU"/>
        </w:rPr>
      </w:pPr>
      <w:r w:rsidRPr="002F4F7E">
        <w:rPr>
          <w:b/>
          <w:lang w:eastAsia="en-AU"/>
        </w:rPr>
        <w:t>Held (</w:t>
      </w:r>
      <w:r w:rsidR="00A00246">
        <w:rPr>
          <w:b/>
          <w:lang w:eastAsia="en-AU"/>
        </w:rPr>
        <w:t>8</w:t>
      </w:r>
      <w:r>
        <w:rPr>
          <w:b/>
          <w:lang w:eastAsia="en-AU"/>
        </w:rPr>
        <w:t>:</w:t>
      </w:r>
      <w:r w:rsidR="00A00246">
        <w:rPr>
          <w:b/>
          <w:lang w:eastAsia="en-AU"/>
        </w:rPr>
        <w:t>1</w:t>
      </w:r>
      <w:r w:rsidRPr="002F4F7E">
        <w:rPr>
          <w:b/>
          <w:lang w:eastAsia="en-AU"/>
        </w:rPr>
        <w:t>):</w:t>
      </w:r>
      <w:r w:rsidR="002E6450">
        <w:rPr>
          <w:lang w:eastAsia="en-AU"/>
        </w:rPr>
        <w:t xml:space="preserve"> </w:t>
      </w:r>
      <w:r w:rsidR="00A00246">
        <w:rPr>
          <w:lang w:eastAsia="en-AU"/>
        </w:rPr>
        <w:t>No. 19-8709 affirmed;</w:t>
      </w:r>
      <w:r w:rsidR="002E6450">
        <w:rPr>
          <w:lang w:eastAsia="en-AU"/>
        </w:rPr>
        <w:t xml:space="preserve"> </w:t>
      </w:r>
      <w:r w:rsidR="00A00246">
        <w:rPr>
          <w:lang w:eastAsia="en-AU"/>
        </w:rPr>
        <w:t xml:space="preserve">No. 20-444 reversed. </w:t>
      </w:r>
      <w:r>
        <w:rPr>
          <w:lang w:eastAsia="en-AU"/>
        </w:rPr>
        <w:t xml:space="preserve">   </w:t>
      </w:r>
    </w:p>
    <w:p w:rsidR="004C0661" w:rsidRDefault="004C0661" w:rsidP="004C0661">
      <w:pPr>
        <w:pStyle w:val="BullDivider1"/>
        <w:pBdr>
          <w:bottom w:val="dotted" w:sz="4" w:space="0" w:color="auto"/>
        </w:pBdr>
      </w:pPr>
    </w:p>
    <w:p w:rsidR="004C0661" w:rsidRDefault="004C0661" w:rsidP="004C0661"/>
    <w:p w:rsidR="007022F2" w:rsidRPr="00992ECF" w:rsidRDefault="007022F2" w:rsidP="007022F2">
      <w:pPr>
        <w:pStyle w:val="Heading2"/>
        <w:rPr>
          <w:i w:val="0"/>
        </w:rPr>
      </w:pPr>
      <w:r>
        <w:t>Terry v United States</w:t>
      </w:r>
    </w:p>
    <w:p w:rsidR="007022F2" w:rsidRPr="002F4F7E" w:rsidRDefault="007022F2" w:rsidP="007022F2">
      <w:pPr>
        <w:rPr>
          <w:lang w:eastAsia="en-AU"/>
        </w:rPr>
      </w:pPr>
      <w:r>
        <w:rPr>
          <w:b/>
          <w:lang w:eastAsia="en-AU"/>
        </w:rPr>
        <w:t>Supreme Court of the United States</w:t>
      </w:r>
      <w:r w:rsidRPr="002F4F7E">
        <w:rPr>
          <w:b/>
          <w:lang w:eastAsia="en-AU"/>
        </w:rPr>
        <w:t xml:space="preserve">: </w:t>
      </w:r>
      <w:hyperlink r:id="rId32" w:history="1">
        <w:r w:rsidR="00A00246">
          <w:rPr>
            <w:rStyle w:val="Hyperlink"/>
            <w:lang w:eastAsia="en-AU"/>
          </w:rPr>
          <w:t>Docket No.</w:t>
        </w:r>
        <w:r w:rsidRPr="0052214A">
          <w:rPr>
            <w:rStyle w:val="Hyperlink"/>
            <w:lang w:eastAsia="en-AU"/>
          </w:rPr>
          <w:t xml:space="preserve"> </w:t>
        </w:r>
        <w:r>
          <w:rPr>
            <w:rStyle w:val="Hyperlink"/>
            <w:lang w:eastAsia="en-AU"/>
          </w:rPr>
          <w:t>20-5904</w:t>
        </w:r>
      </w:hyperlink>
    </w:p>
    <w:p w:rsidR="007022F2" w:rsidRPr="002F4F7E" w:rsidRDefault="007022F2" w:rsidP="007022F2">
      <w:pPr>
        <w:rPr>
          <w:lang w:eastAsia="en-AU"/>
        </w:rPr>
      </w:pPr>
    </w:p>
    <w:p w:rsidR="007022F2" w:rsidRPr="002F4F7E" w:rsidRDefault="007022F2" w:rsidP="007022F2">
      <w:pPr>
        <w:rPr>
          <w:lang w:eastAsia="en-AU"/>
        </w:rPr>
      </w:pPr>
      <w:r w:rsidRPr="002F4F7E">
        <w:rPr>
          <w:b/>
          <w:lang w:eastAsia="en-AU"/>
        </w:rPr>
        <w:t>Judgment delivered:</w:t>
      </w:r>
      <w:r>
        <w:rPr>
          <w:lang w:eastAsia="en-AU"/>
        </w:rPr>
        <w:t xml:space="preserve"> 14 June 2021</w:t>
      </w:r>
    </w:p>
    <w:p w:rsidR="007022F2" w:rsidRPr="002F4F7E" w:rsidRDefault="007022F2" w:rsidP="007022F2">
      <w:pPr>
        <w:rPr>
          <w:lang w:eastAsia="en-AU"/>
        </w:rPr>
      </w:pPr>
    </w:p>
    <w:p w:rsidR="007022F2" w:rsidRPr="002F4F7E" w:rsidRDefault="007022F2" w:rsidP="007022F2">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7022F2" w:rsidRPr="002F4F7E" w:rsidRDefault="007022F2" w:rsidP="007022F2">
      <w:pPr>
        <w:rPr>
          <w:lang w:eastAsia="en-AU"/>
        </w:rPr>
      </w:pPr>
    </w:p>
    <w:p w:rsidR="007022F2" w:rsidRPr="002F4F7E" w:rsidRDefault="007022F2" w:rsidP="007022F2">
      <w:pPr>
        <w:rPr>
          <w:b/>
          <w:lang w:eastAsia="en-AU"/>
        </w:rPr>
      </w:pPr>
      <w:r>
        <w:rPr>
          <w:b/>
          <w:lang w:eastAsia="en-AU"/>
        </w:rPr>
        <w:t>Catchwords:</w:t>
      </w:r>
    </w:p>
    <w:p w:rsidR="007022F2" w:rsidRPr="00856E9C" w:rsidRDefault="007022F2" w:rsidP="007022F2">
      <w:pPr>
        <w:rPr>
          <w:b/>
          <w:highlight w:val="yellow"/>
          <w:lang w:eastAsia="en-AU"/>
        </w:rPr>
      </w:pPr>
    </w:p>
    <w:p w:rsidR="007022F2" w:rsidRPr="007022F2" w:rsidRDefault="007022F2" w:rsidP="007022F2">
      <w:pPr>
        <w:ind w:left="720"/>
        <w:rPr>
          <w:lang w:eastAsia="en-AU"/>
        </w:rPr>
      </w:pPr>
      <w:r>
        <w:rPr>
          <w:lang w:eastAsia="en-AU"/>
        </w:rPr>
        <w:t>Criminal law – Sentencing – Mandatory minimum</w:t>
      </w:r>
      <w:r w:rsidR="00DD43BF">
        <w:rPr>
          <w:lang w:eastAsia="en-AU"/>
        </w:rPr>
        <w:t xml:space="preserve"> sentence</w:t>
      </w:r>
      <w:r>
        <w:rPr>
          <w:lang w:eastAsia="en-AU"/>
        </w:rPr>
        <w:t xml:space="preserve"> – Sentence reduction – Where Congress passed </w:t>
      </w:r>
      <w:r>
        <w:rPr>
          <w:i/>
          <w:lang w:eastAsia="en-AU"/>
        </w:rPr>
        <w:t>Fair Sentencing Act</w:t>
      </w:r>
      <w:r w:rsidR="00F739E5">
        <w:rPr>
          <w:i/>
          <w:lang w:eastAsia="en-AU"/>
        </w:rPr>
        <w:t xml:space="preserve"> 2010</w:t>
      </w:r>
      <w:r>
        <w:rPr>
          <w:lang w:eastAsia="en-AU"/>
        </w:rPr>
        <w:t xml:space="preserve">, which increased quantity of crack cocaine needed to trigger mandatory minimum sentence, and </w:t>
      </w:r>
      <w:r>
        <w:rPr>
          <w:i/>
          <w:lang w:eastAsia="en-AU"/>
        </w:rPr>
        <w:t>First Step Act</w:t>
      </w:r>
      <w:r w:rsidR="00893D0C">
        <w:rPr>
          <w:i/>
          <w:lang w:eastAsia="en-AU"/>
        </w:rPr>
        <w:t xml:space="preserve"> 2018</w:t>
      </w:r>
      <w:r>
        <w:rPr>
          <w:lang w:eastAsia="en-AU"/>
        </w:rPr>
        <w:t xml:space="preserve">, which made changes retroactive and permitted persons to apply for resentencing under </w:t>
      </w:r>
      <w:r>
        <w:rPr>
          <w:i/>
          <w:lang w:eastAsia="en-AU"/>
        </w:rPr>
        <w:t>Fair Sentencing Act</w:t>
      </w:r>
      <w:r>
        <w:rPr>
          <w:lang w:eastAsia="en-AU"/>
        </w:rPr>
        <w:t xml:space="preserve"> – </w:t>
      </w:r>
      <w:r>
        <w:rPr>
          <w:lang w:eastAsia="en-AU"/>
        </w:rPr>
        <w:lastRenderedPageBreak/>
        <w:t xml:space="preserve">Where petitioner convicted of possession with intent to distribute unspecified amount of crack – Where petitioner not sentenced based on quantity of crack and mandatory minimum not applied – Where petitioner sought resentencing on ground he was convicted of crack offense modified by </w:t>
      </w:r>
      <w:r>
        <w:rPr>
          <w:i/>
          <w:lang w:eastAsia="en-AU"/>
        </w:rPr>
        <w:t xml:space="preserve">Fair Sentencing Act </w:t>
      </w:r>
      <w:r>
        <w:rPr>
          <w:lang w:eastAsia="en-AU"/>
        </w:rPr>
        <w:t xml:space="preserve">– Where District Court denied request and Eleventh Circuit affirmed – Whether </w:t>
      </w:r>
      <w:r w:rsidR="00893D0C">
        <w:rPr>
          <w:lang w:eastAsia="en-AU"/>
        </w:rPr>
        <w:t xml:space="preserve">crack offender </w:t>
      </w:r>
      <w:r>
        <w:rPr>
          <w:lang w:eastAsia="en-AU"/>
        </w:rPr>
        <w:t xml:space="preserve">eligible for sentence </w:t>
      </w:r>
      <w:r w:rsidR="00893D0C">
        <w:rPr>
          <w:lang w:eastAsia="en-AU"/>
        </w:rPr>
        <w:t xml:space="preserve">reduction under </w:t>
      </w:r>
      <w:r w:rsidR="00893D0C">
        <w:rPr>
          <w:i/>
          <w:lang w:eastAsia="en-AU"/>
        </w:rPr>
        <w:t>First Step Act</w:t>
      </w:r>
      <w:r w:rsidR="00893D0C">
        <w:rPr>
          <w:lang w:eastAsia="en-AU"/>
        </w:rPr>
        <w:t xml:space="preserve"> even if offense did not trigger mandatory minimum sentence. </w:t>
      </w:r>
    </w:p>
    <w:p w:rsidR="007022F2" w:rsidRPr="00856E9C" w:rsidRDefault="007022F2" w:rsidP="007022F2">
      <w:pPr>
        <w:ind w:left="720"/>
        <w:rPr>
          <w:highlight w:val="yellow"/>
          <w:lang w:eastAsia="en-AU"/>
        </w:rPr>
      </w:pPr>
    </w:p>
    <w:p w:rsidR="007022F2" w:rsidRDefault="007022F2" w:rsidP="007022F2">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Affirmed.   </w:t>
      </w:r>
    </w:p>
    <w:p w:rsidR="007022F2" w:rsidRDefault="007022F2" w:rsidP="007022F2">
      <w:pPr>
        <w:pStyle w:val="BullDivider1"/>
        <w:pBdr>
          <w:bottom w:val="dotted" w:sz="4" w:space="0" w:color="auto"/>
        </w:pBdr>
      </w:pPr>
    </w:p>
    <w:p w:rsidR="007022F2" w:rsidRDefault="007022F2" w:rsidP="007022F2"/>
    <w:p w:rsidR="00DF5FB8" w:rsidRPr="00992ECF" w:rsidRDefault="00DF5FB8" w:rsidP="00DF5FB8">
      <w:pPr>
        <w:pStyle w:val="Heading2"/>
        <w:rPr>
          <w:i w:val="0"/>
        </w:rPr>
      </w:pPr>
      <w:r>
        <w:t>Borden v United States</w:t>
      </w:r>
    </w:p>
    <w:p w:rsidR="00DF5FB8" w:rsidRPr="002F4F7E" w:rsidRDefault="00DF5FB8" w:rsidP="00DF5FB8">
      <w:pPr>
        <w:rPr>
          <w:lang w:eastAsia="en-AU"/>
        </w:rPr>
      </w:pPr>
      <w:r>
        <w:rPr>
          <w:b/>
          <w:lang w:eastAsia="en-AU"/>
        </w:rPr>
        <w:t>Supreme Court of the United States</w:t>
      </w:r>
      <w:r w:rsidRPr="002F4F7E">
        <w:rPr>
          <w:b/>
          <w:lang w:eastAsia="en-AU"/>
        </w:rPr>
        <w:t xml:space="preserve">: </w:t>
      </w:r>
      <w:hyperlink r:id="rId33" w:history="1">
        <w:r w:rsidR="00A00246">
          <w:rPr>
            <w:rStyle w:val="Hyperlink"/>
            <w:lang w:eastAsia="en-AU"/>
          </w:rPr>
          <w:t>Docket No.</w:t>
        </w:r>
        <w:r w:rsidRPr="0052214A">
          <w:rPr>
            <w:rStyle w:val="Hyperlink"/>
            <w:lang w:eastAsia="en-AU"/>
          </w:rPr>
          <w:t xml:space="preserve"> 19-</w:t>
        </w:r>
        <w:r>
          <w:rPr>
            <w:rStyle w:val="Hyperlink"/>
            <w:lang w:eastAsia="en-AU"/>
          </w:rPr>
          <w:t>5410</w:t>
        </w:r>
      </w:hyperlink>
    </w:p>
    <w:p w:rsidR="00DF5FB8" w:rsidRPr="002F4F7E" w:rsidRDefault="00DF5FB8" w:rsidP="00DF5FB8">
      <w:pPr>
        <w:rPr>
          <w:lang w:eastAsia="en-AU"/>
        </w:rPr>
      </w:pPr>
    </w:p>
    <w:p w:rsidR="00DF5FB8" w:rsidRPr="002F4F7E" w:rsidRDefault="00DF5FB8" w:rsidP="00DF5FB8">
      <w:pPr>
        <w:rPr>
          <w:lang w:eastAsia="en-AU"/>
        </w:rPr>
      </w:pPr>
      <w:r w:rsidRPr="002F4F7E">
        <w:rPr>
          <w:b/>
          <w:lang w:eastAsia="en-AU"/>
        </w:rPr>
        <w:t>Judgment delivered:</w:t>
      </w:r>
      <w:r>
        <w:rPr>
          <w:lang w:eastAsia="en-AU"/>
        </w:rPr>
        <w:t xml:space="preserve"> 10 June 2021</w:t>
      </w:r>
    </w:p>
    <w:p w:rsidR="00DF5FB8" w:rsidRPr="002F4F7E" w:rsidRDefault="00DF5FB8" w:rsidP="00DF5FB8">
      <w:pPr>
        <w:rPr>
          <w:lang w:eastAsia="en-AU"/>
        </w:rPr>
      </w:pPr>
    </w:p>
    <w:p w:rsidR="00DF5FB8" w:rsidRPr="002F4F7E" w:rsidRDefault="00DF5FB8" w:rsidP="00DF5FB8">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DF5FB8" w:rsidRPr="002F4F7E" w:rsidRDefault="00DF5FB8" w:rsidP="00DF5FB8">
      <w:pPr>
        <w:rPr>
          <w:lang w:eastAsia="en-AU"/>
        </w:rPr>
      </w:pPr>
    </w:p>
    <w:p w:rsidR="00DF5FB8" w:rsidRPr="002F4F7E" w:rsidRDefault="00DF5FB8" w:rsidP="00DF5FB8">
      <w:pPr>
        <w:rPr>
          <w:b/>
          <w:lang w:eastAsia="en-AU"/>
        </w:rPr>
      </w:pPr>
      <w:r>
        <w:rPr>
          <w:b/>
          <w:lang w:eastAsia="en-AU"/>
        </w:rPr>
        <w:t>Catchwords:</w:t>
      </w:r>
    </w:p>
    <w:p w:rsidR="00DF5FB8" w:rsidRPr="00856E9C" w:rsidRDefault="00DF5FB8" w:rsidP="00DF5FB8">
      <w:pPr>
        <w:rPr>
          <w:b/>
          <w:highlight w:val="yellow"/>
          <w:lang w:eastAsia="en-AU"/>
        </w:rPr>
      </w:pPr>
    </w:p>
    <w:p w:rsidR="00DF5FB8" w:rsidRPr="006B7FBE" w:rsidRDefault="00DF5FB8" w:rsidP="00DF5FB8">
      <w:pPr>
        <w:ind w:left="720"/>
        <w:rPr>
          <w:lang w:eastAsia="en-AU"/>
        </w:rPr>
      </w:pPr>
      <w:r>
        <w:rPr>
          <w:lang w:eastAsia="en-AU"/>
        </w:rPr>
        <w:t>Criminal law –</w:t>
      </w:r>
      <w:r w:rsidR="008751A2">
        <w:rPr>
          <w:lang w:eastAsia="en-AU"/>
        </w:rPr>
        <w:t xml:space="preserve"> </w:t>
      </w:r>
      <w:r w:rsidR="00334D29">
        <w:rPr>
          <w:lang w:eastAsia="en-AU"/>
        </w:rPr>
        <w:t xml:space="preserve">Violent felony – </w:t>
      </w:r>
      <w:proofErr w:type="spellStart"/>
      <w:r w:rsidR="00334D29">
        <w:rPr>
          <w:lang w:eastAsia="en-AU"/>
        </w:rPr>
        <w:t>Mens</w:t>
      </w:r>
      <w:proofErr w:type="spellEnd"/>
      <w:r w:rsidR="00334D29">
        <w:rPr>
          <w:lang w:eastAsia="en-AU"/>
        </w:rPr>
        <w:t xml:space="preserve"> rea – Recklessness </w:t>
      </w:r>
      <w:r w:rsidR="0028582D">
        <w:rPr>
          <w:lang w:eastAsia="en-AU"/>
        </w:rPr>
        <w:t>–</w:t>
      </w:r>
      <w:r w:rsidR="00334D29">
        <w:rPr>
          <w:lang w:eastAsia="en-AU"/>
        </w:rPr>
        <w:t xml:space="preserve"> </w:t>
      </w:r>
      <w:r w:rsidR="0028582D">
        <w:rPr>
          <w:lang w:eastAsia="en-AU"/>
        </w:rPr>
        <w:t xml:space="preserve">Where </w:t>
      </w:r>
      <w:r w:rsidR="0028582D">
        <w:rPr>
          <w:i/>
          <w:lang w:eastAsia="en-AU"/>
        </w:rPr>
        <w:t xml:space="preserve">Armed Career Criminal Act </w:t>
      </w:r>
      <w:r w:rsidR="0028582D">
        <w:rPr>
          <w:lang w:eastAsia="en-AU"/>
        </w:rPr>
        <w:t xml:space="preserve">provided 15-year mandatory minimum sentence for persons found guilty of illegally possessing firearm who have three or more prior convictions for violent felony – Where offense </w:t>
      </w:r>
      <w:r w:rsidR="0028582D">
        <w:rPr>
          <w:lang w:eastAsia="en-AU"/>
        </w:rPr>
        <w:br/>
        <w:t>“violent felony” if involves use of physical force against another</w:t>
      </w:r>
      <w:r w:rsidR="006B7FBE">
        <w:rPr>
          <w:lang w:eastAsia="en-AU"/>
        </w:rPr>
        <w:t xml:space="preserve"> – Where, in </w:t>
      </w:r>
      <w:proofErr w:type="spellStart"/>
      <w:r w:rsidR="006B7FBE">
        <w:rPr>
          <w:i/>
          <w:lang w:eastAsia="en-AU"/>
        </w:rPr>
        <w:t>Leocal</w:t>
      </w:r>
      <w:proofErr w:type="spellEnd"/>
      <w:r w:rsidR="006B7FBE">
        <w:rPr>
          <w:i/>
          <w:lang w:eastAsia="en-AU"/>
        </w:rPr>
        <w:t xml:space="preserve"> v Ashcroft</w:t>
      </w:r>
      <w:r w:rsidR="006B7FBE">
        <w:rPr>
          <w:lang w:eastAsia="en-AU"/>
        </w:rPr>
        <w:t xml:space="preserve">, 543 US 1, Supreme Court held offense involving </w:t>
      </w:r>
      <w:proofErr w:type="spellStart"/>
      <w:r w:rsidR="006B7FBE">
        <w:rPr>
          <w:lang w:eastAsia="en-AU"/>
        </w:rPr>
        <w:t>mens</w:t>
      </w:r>
      <w:proofErr w:type="spellEnd"/>
      <w:r w:rsidR="006B7FBE">
        <w:rPr>
          <w:lang w:eastAsia="en-AU"/>
        </w:rPr>
        <w:t xml:space="preserve"> rea of negligence not violent felony – Where petitioner pleaded guilty to </w:t>
      </w:r>
      <w:r w:rsidR="003F2862">
        <w:rPr>
          <w:lang w:eastAsia="en-AU"/>
        </w:rPr>
        <w:t xml:space="preserve">being felon in </w:t>
      </w:r>
      <w:r w:rsidR="006B7FBE">
        <w:rPr>
          <w:lang w:eastAsia="en-AU"/>
        </w:rPr>
        <w:t xml:space="preserve">illegal possession of firearm – Where petitioner had three prior convictions and one involved reckless aggravated assault – Where District Court applied mandatory minimum sentence and Sixth Circuit affirmed – Whether offense with </w:t>
      </w:r>
      <w:proofErr w:type="spellStart"/>
      <w:r w:rsidR="006B7FBE">
        <w:rPr>
          <w:lang w:eastAsia="en-AU"/>
        </w:rPr>
        <w:t>mens</w:t>
      </w:r>
      <w:proofErr w:type="spellEnd"/>
      <w:r w:rsidR="006B7FBE">
        <w:rPr>
          <w:lang w:eastAsia="en-AU"/>
        </w:rPr>
        <w:t xml:space="preserve"> rea of recklessness “violent felony”. </w:t>
      </w:r>
    </w:p>
    <w:p w:rsidR="008751A2" w:rsidRPr="00856E9C" w:rsidRDefault="008751A2" w:rsidP="00DF5FB8">
      <w:pPr>
        <w:ind w:left="720"/>
        <w:rPr>
          <w:highlight w:val="yellow"/>
          <w:lang w:eastAsia="en-AU"/>
        </w:rPr>
      </w:pPr>
    </w:p>
    <w:p w:rsidR="00DF5FB8" w:rsidRDefault="00DF5FB8" w:rsidP="00DF5FB8">
      <w:pPr>
        <w:rPr>
          <w:lang w:eastAsia="en-AU"/>
        </w:rPr>
      </w:pPr>
      <w:r w:rsidRPr="002F4F7E">
        <w:rPr>
          <w:b/>
          <w:lang w:eastAsia="en-AU"/>
        </w:rPr>
        <w:t>Held (</w:t>
      </w:r>
      <w:r w:rsidR="00E166BA">
        <w:rPr>
          <w:b/>
          <w:lang w:eastAsia="en-AU"/>
        </w:rPr>
        <w:t>5</w:t>
      </w:r>
      <w:r>
        <w:rPr>
          <w:b/>
          <w:lang w:eastAsia="en-AU"/>
        </w:rPr>
        <w:t>:</w:t>
      </w:r>
      <w:r w:rsidR="00E166BA">
        <w:rPr>
          <w:b/>
          <w:lang w:eastAsia="en-AU"/>
        </w:rPr>
        <w:t>4</w:t>
      </w:r>
      <w:r w:rsidRPr="002F4F7E">
        <w:rPr>
          <w:b/>
          <w:lang w:eastAsia="en-AU"/>
        </w:rPr>
        <w:t xml:space="preserve">): </w:t>
      </w:r>
      <w:r>
        <w:rPr>
          <w:lang w:eastAsia="en-AU"/>
        </w:rPr>
        <w:t xml:space="preserve">Reversed and remanded.   </w:t>
      </w:r>
    </w:p>
    <w:p w:rsidR="00DF5FB8" w:rsidRDefault="00DF5FB8" w:rsidP="00DF5FB8">
      <w:pPr>
        <w:pStyle w:val="BullDivider1"/>
        <w:pBdr>
          <w:bottom w:val="dotted" w:sz="4" w:space="0" w:color="auto"/>
        </w:pBdr>
      </w:pPr>
    </w:p>
    <w:p w:rsidR="00073905" w:rsidRDefault="00073905" w:rsidP="00073905"/>
    <w:p w:rsidR="00711F06" w:rsidRPr="00992ECF" w:rsidRDefault="00711F06" w:rsidP="00711F06">
      <w:pPr>
        <w:pStyle w:val="Heading2"/>
        <w:rPr>
          <w:i w:val="0"/>
        </w:rPr>
      </w:pPr>
      <w:r>
        <w:t>Van Buren v United States</w:t>
      </w:r>
    </w:p>
    <w:p w:rsidR="00711F06" w:rsidRPr="002F4F7E" w:rsidRDefault="00711F06" w:rsidP="00711F06">
      <w:pPr>
        <w:rPr>
          <w:lang w:eastAsia="en-AU"/>
        </w:rPr>
      </w:pPr>
      <w:r>
        <w:rPr>
          <w:b/>
          <w:lang w:eastAsia="en-AU"/>
        </w:rPr>
        <w:t>Supreme Court of the United States</w:t>
      </w:r>
      <w:r w:rsidRPr="002F4F7E">
        <w:rPr>
          <w:b/>
          <w:lang w:eastAsia="en-AU"/>
        </w:rPr>
        <w:t xml:space="preserve">: </w:t>
      </w:r>
      <w:hyperlink r:id="rId34" w:history="1">
        <w:r w:rsidR="00A00246">
          <w:rPr>
            <w:rStyle w:val="Hyperlink"/>
            <w:lang w:eastAsia="en-AU"/>
          </w:rPr>
          <w:t>Docket No.</w:t>
        </w:r>
        <w:r w:rsidRPr="0052214A">
          <w:rPr>
            <w:rStyle w:val="Hyperlink"/>
            <w:lang w:eastAsia="en-AU"/>
          </w:rPr>
          <w:t xml:space="preserve"> 19-</w:t>
        </w:r>
        <w:r>
          <w:rPr>
            <w:rStyle w:val="Hyperlink"/>
            <w:lang w:eastAsia="en-AU"/>
          </w:rPr>
          <w:t>783</w:t>
        </w:r>
      </w:hyperlink>
    </w:p>
    <w:p w:rsidR="00711F06" w:rsidRPr="002F4F7E" w:rsidRDefault="00711F06" w:rsidP="00711F06">
      <w:pPr>
        <w:rPr>
          <w:lang w:eastAsia="en-AU"/>
        </w:rPr>
      </w:pPr>
    </w:p>
    <w:p w:rsidR="00711F06" w:rsidRPr="002F4F7E" w:rsidRDefault="00711F06" w:rsidP="00711F06">
      <w:pPr>
        <w:rPr>
          <w:lang w:eastAsia="en-AU"/>
        </w:rPr>
      </w:pPr>
      <w:r w:rsidRPr="002F4F7E">
        <w:rPr>
          <w:b/>
          <w:lang w:eastAsia="en-AU"/>
        </w:rPr>
        <w:t>Judgment delivered:</w:t>
      </w:r>
      <w:r>
        <w:rPr>
          <w:lang w:eastAsia="en-AU"/>
        </w:rPr>
        <w:t xml:space="preserve"> 3 June 2021</w:t>
      </w:r>
    </w:p>
    <w:p w:rsidR="00711F06" w:rsidRPr="002F4F7E" w:rsidRDefault="00711F06" w:rsidP="00711F06">
      <w:pPr>
        <w:rPr>
          <w:lang w:eastAsia="en-AU"/>
        </w:rPr>
      </w:pPr>
    </w:p>
    <w:p w:rsidR="00711F06" w:rsidRPr="002F4F7E" w:rsidRDefault="00711F06" w:rsidP="00711F06">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711F06" w:rsidRPr="002F4F7E" w:rsidRDefault="00711F06" w:rsidP="00711F06">
      <w:pPr>
        <w:rPr>
          <w:lang w:eastAsia="en-AU"/>
        </w:rPr>
      </w:pPr>
    </w:p>
    <w:p w:rsidR="00711F06" w:rsidRPr="002F4F7E" w:rsidRDefault="00711F06" w:rsidP="00711F06">
      <w:pPr>
        <w:rPr>
          <w:b/>
          <w:lang w:eastAsia="en-AU"/>
        </w:rPr>
      </w:pPr>
      <w:r>
        <w:rPr>
          <w:b/>
          <w:lang w:eastAsia="en-AU"/>
        </w:rPr>
        <w:t>Catchwords:</w:t>
      </w:r>
    </w:p>
    <w:p w:rsidR="00711F06" w:rsidRPr="00856E9C" w:rsidRDefault="00711F06" w:rsidP="00711F06">
      <w:pPr>
        <w:rPr>
          <w:b/>
          <w:highlight w:val="yellow"/>
          <w:lang w:eastAsia="en-AU"/>
        </w:rPr>
      </w:pPr>
    </w:p>
    <w:p w:rsidR="00711F06" w:rsidRPr="00B33111" w:rsidRDefault="00711F06" w:rsidP="00711F06">
      <w:pPr>
        <w:ind w:left="720"/>
        <w:rPr>
          <w:lang w:eastAsia="en-AU"/>
        </w:rPr>
      </w:pPr>
      <w:r>
        <w:rPr>
          <w:lang w:eastAsia="en-AU"/>
        </w:rPr>
        <w:t xml:space="preserve">Criminal law – </w:t>
      </w:r>
      <w:r w:rsidR="00B33111">
        <w:rPr>
          <w:lang w:eastAsia="en-AU"/>
        </w:rPr>
        <w:t>Computer fraud and abuse – Definition of “exceeds authorised access”</w:t>
      </w:r>
      <w:r w:rsidR="00962406">
        <w:rPr>
          <w:lang w:eastAsia="en-AU"/>
        </w:rPr>
        <w:t xml:space="preserve"> – </w:t>
      </w:r>
      <w:r w:rsidR="00B33111">
        <w:rPr>
          <w:lang w:eastAsia="en-AU"/>
        </w:rPr>
        <w:t xml:space="preserve">Where </w:t>
      </w:r>
      <w:r w:rsidR="00B33111">
        <w:t xml:space="preserve">§1030(a)(2) of </w:t>
      </w:r>
      <w:r w:rsidR="00B33111">
        <w:rPr>
          <w:i/>
        </w:rPr>
        <w:t>Computer Fraud and Abuse Act 1986</w:t>
      </w:r>
      <w:r w:rsidR="00B33111">
        <w:t xml:space="preserve"> subjects to criminal liability person</w:t>
      </w:r>
      <w:r w:rsidR="00962406">
        <w:t>s</w:t>
      </w:r>
      <w:r w:rsidR="00B33111">
        <w:t xml:space="preserve"> who intentionally access </w:t>
      </w:r>
      <w:r w:rsidR="00B33111">
        <w:lastRenderedPageBreak/>
        <w:t xml:space="preserve">computer without authorisation or exceeds authorised access – Where “exceeds authorised access” defined in §1030(e)(6) to mean access to computer with authorisation and use access to obtain information accessor not entitled to obtain – Where petitioner former police officer used </w:t>
      </w:r>
      <w:r w:rsidR="00C35F19">
        <w:t xml:space="preserve">own valid credentials on patrol car </w:t>
      </w:r>
      <w:r w:rsidR="00B33111">
        <w:t xml:space="preserve">computer to access licence plate information in exchange for money – Where petitioner charged with violation of §1030(a)(2) and convicted – Where petitioner </w:t>
      </w:r>
      <w:r w:rsidR="00C35F19">
        <w:t xml:space="preserve">unsuccessfully </w:t>
      </w:r>
      <w:r w:rsidR="00B33111">
        <w:t>appealed to Eleventh Circuit</w:t>
      </w:r>
      <w:r w:rsidR="00C35F19">
        <w:t xml:space="preserve"> – Whether definition “exceeds authorised access” applie</w:t>
      </w:r>
      <w:r w:rsidR="00962406">
        <w:t>d</w:t>
      </w:r>
      <w:r w:rsidR="00C35F19">
        <w:t xml:space="preserve"> only to those who obtain</w:t>
      </w:r>
      <w:r w:rsidR="00962406">
        <w:t>ed</w:t>
      </w:r>
      <w:r w:rsidR="00C35F19">
        <w:t xml:space="preserve"> information to which their computer acce</w:t>
      </w:r>
      <w:r w:rsidR="00962406">
        <w:t>s</w:t>
      </w:r>
      <w:r w:rsidR="00C35F19">
        <w:t>s not extend – Whether  “exceeds authorised access” extend</w:t>
      </w:r>
      <w:r w:rsidR="00962406">
        <w:t>ed</w:t>
      </w:r>
      <w:r w:rsidR="00C35F19">
        <w:t xml:space="preserve"> to those who misuse</w:t>
      </w:r>
      <w:r w:rsidR="00962406">
        <w:t>d</w:t>
      </w:r>
      <w:r w:rsidR="00C35F19">
        <w:t xml:space="preserve"> computer access they already ha</w:t>
      </w:r>
      <w:r w:rsidR="00962406">
        <w:t>d</w:t>
      </w:r>
      <w:r w:rsidR="00C35F19">
        <w:t xml:space="preserve">. </w:t>
      </w:r>
    </w:p>
    <w:p w:rsidR="00711F06" w:rsidRPr="00856E9C" w:rsidRDefault="00711F06" w:rsidP="00711F06">
      <w:pPr>
        <w:ind w:left="720"/>
        <w:rPr>
          <w:highlight w:val="yellow"/>
          <w:lang w:eastAsia="en-AU"/>
        </w:rPr>
      </w:pPr>
    </w:p>
    <w:p w:rsidR="00711F06" w:rsidRDefault="00711F06" w:rsidP="00711F06">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Reversed and remanded.   </w:t>
      </w:r>
    </w:p>
    <w:p w:rsidR="00711F06" w:rsidRDefault="00711F06" w:rsidP="00711F06">
      <w:pPr>
        <w:pStyle w:val="BullDivider1"/>
        <w:pBdr>
          <w:bottom w:val="dotted" w:sz="4" w:space="0" w:color="auto"/>
        </w:pBdr>
      </w:pPr>
    </w:p>
    <w:p w:rsidR="00711F06" w:rsidRDefault="00711F06" w:rsidP="00711F06"/>
    <w:p w:rsidR="00073905" w:rsidRPr="00992ECF" w:rsidRDefault="00073905" w:rsidP="00073905">
      <w:pPr>
        <w:pStyle w:val="Heading2"/>
        <w:rPr>
          <w:i w:val="0"/>
        </w:rPr>
      </w:pPr>
      <w:proofErr w:type="spellStart"/>
      <w:r>
        <w:t>Senwedi</w:t>
      </w:r>
      <w:proofErr w:type="spellEnd"/>
      <w:r>
        <w:t xml:space="preserve"> v The State</w:t>
      </w:r>
    </w:p>
    <w:p w:rsidR="00073905" w:rsidRPr="002F4F7E" w:rsidRDefault="00073905" w:rsidP="00073905">
      <w:pPr>
        <w:rPr>
          <w:lang w:eastAsia="en-AU"/>
        </w:rPr>
      </w:pPr>
      <w:r>
        <w:rPr>
          <w:b/>
          <w:lang w:eastAsia="en-AU"/>
        </w:rPr>
        <w:t>Constitutional Court of South Africa</w:t>
      </w:r>
      <w:r w:rsidRPr="002F4F7E">
        <w:rPr>
          <w:b/>
          <w:lang w:eastAsia="en-AU"/>
        </w:rPr>
        <w:t xml:space="preserve">: </w:t>
      </w:r>
      <w:hyperlink r:id="rId35" w:history="1">
        <w:r w:rsidRPr="0034394C">
          <w:rPr>
            <w:rStyle w:val="Hyperlink"/>
            <w:lang w:eastAsia="en-AU"/>
          </w:rPr>
          <w:t xml:space="preserve">[2021] ZACC </w:t>
        </w:r>
        <w:r w:rsidR="0034394C" w:rsidRPr="0034394C">
          <w:rPr>
            <w:rStyle w:val="Hyperlink"/>
            <w:lang w:eastAsia="en-AU"/>
          </w:rPr>
          <w:t>12</w:t>
        </w:r>
      </w:hyperlink>
    </w:p>
    <w:p w:rsidR="00073905" w:rsidRPr="002F4F7E" w:rsidRDefault="00073905" w:rsidP="00073905">
      <w:pPr>
        <w:rPr>
          <w:lang w:eastAsia="en-AU"/>
        </w:rPr>
      </w:pPr>
    </w:p>
    <w:p w:rsidR="00073905" w:rsidRPr="002F4F7E" w:rsidRDefault="00073905" w:rsidP="00073905">
      <w:pPr>
        <w:rPr>
          <w:lang w:eastAsia="en-AU"/>
        </w:rPr>
      </w:pPr>
      <w:r w:rsidRPr="002F4F7E">
        <w:rPr>
          <w:b/>
          <w:lang w:eastAsia="en-AU"/>
        </w:rPr>
        <w:t>Judgment delivered:</w:t>
      </w:r>
      <w:r>
        <w:rPr>
          <w:lang w:eastAsia="en-AU"/>
        </w:rPr>
        <w:t xml:space="preserve"> </w:t>
      </w:r>
      <w:r w:rsidR="0034394C">
        <w:rPr>
          <w:lang w:eastAsia="en-AU"/>
        </w:rPr>
        <w:t>21</w:t>
      </w:r>
      <w:r>
        <w:rPr>
          <w:lang w:eastAsia="en-AU"/>
        </w:rPr>
        <w:t xml:space="preserve"> May 2021</w:t>
      </w:r>
    </w:p>
    <w:p w:rsidR="00073905" w:rsidRPr="002F4F7E" w:rsidRDefault="00073905" w:rsidP="00073905">
      <w:pPr>
        <w:rPr>
          <w:lang w:eastAsia="en-AU"/>
        </w:rPr>
      </w:pPr>
    </w:p>
    <w:p w:rsidR="00073905" w:rsidRPr="002F4F7E" w:rsidRDefault="00073905" w:rsidP="00073905">
      <w:pPr>
        <w:rPr>
          <w:lang w:eastAsia="en-AU"/>
        </w:rPr>
      </w:pPr>
      <w:r w:rsidRPr="002F4F7E">
        <w:rPr>
          <w:b/>
          <w:lang w:eastAsia="en-AU"/>
        </w:rPr>
        <w:t>Coram:</w:t>
      </w:r>
      <w:r>
        <w:rPr>
          <w:b/>
          <w:lang w:eastAsia="en-AU"/>
        </w:rPr>
        <w:t xml:space="preserve"> </w:t>
      </w:r>
      <w:proofErr w:type="spellStart"/>
      <w:r w:rsidR="0034394C" w:rsidRPr="0034394C">
        <w:rPr>
          <w:lang w:eastAsia="en-AU"/>
        </w:rPr>
        <w:t>Mogoeng</w:t>
      </w:r>
      <w:proofErr w:type="spellEnd"/>
      <w:r w:rsidR="0034394C" w:rsidRPr="0034394C">
        <w:rPr>
          <w:lang w:eastAsia="en-AU"/>
        </w:rPr>
        <w:t xml:space="preserve"> CJ, Jafta, </w:t>
      </w:r>
      <w:proofErr w:type="spellStart"/>
      <w:r w:rsidR="0034394C" w:rsidRPr="0034394C">
        <w:rPr>
          <w:lang w:eastAsia="en-AU"/>
        </w:rPr>
        <w:t>Khampepe</w:t>
      </w:r>
      <w:proofErr w:type="spellEnd"/>
      <w:r w:rsidR="0034394C" w:rsidRPr="0034394C">
        <w:rPr>
          <w:lang w:eastAsia="en-AU"/>
        </w:rPr>
        <w:t xml:space="preserve">, </w:t>
      </w:r>
      <w:proofErr w:type="spellStart"/>
      <w:r w:rsidR="0034394C" w:rsidRPr="0034394C">
        <w:rPr>
          <w:lang w:eastAsia="en-AU"/>
        </w:rPr>
        <w:t>Madlanga</w:t>
      </w:r>
      <w:proofErr w:type="spellEnd"/>
      <w:r w:rsidR="0034394C" w:rsidRPr="0034394C">
        <w:rPr>
          <w:lang w:eastAsia="en-AU"/>
        </w:rPr>
        <w:t xml:space="preserve">, </w:t>
      </w:r>
      <w:proofErr w:type="spellStart"/>
      <w:r w:rsidR="0034394C" w:rsidRPr="0034394C">
        <w:rPr>
          <w:lang w:eastAsia="en-AU"/>
        </w:rPr>
        <w:t>Majiedt</w:t>
      </w:r>
      <w:proofErr w:type="spellEnd"/>
      <w:r w:rsidR="0034394C" w:rsidRPr="0034394C">
        <w:rPr>
          <w:lang w:eastAsia="en-AU"/>
        </w:rPr>
        <w:t xml:space="preserve"> </w:t>
      </w:r>
      <w:r w:rsidR="0034394C">
        <w:rPr>
          <w:lang w:eastAsia="en-AU"/>
        </w:rPr>
        <w:t>J</w:t>
      </w:r>
      <w:r w:rsidR="0034394C" w:rsidRPr="0034394C">
        <w:rPr>
          <w:lang w:eastAsia="en-AU"/>
        </w:rPr>
        <w:t xml:space="preserve">J, </w:t>
      </w:r>
      <w:proofErr w:type="spellStart"/>
      <w:r w:rsidR="0034394C" w:rsidRPr="0034394C">
        <w:rPr>
          <w:lang w:eastAsia="en-AU"/>
        </w:rPr>
        <w:t>Mathopo</w:t>
      </w:r>
      <w:proofErr w:type="spellEnd"/>
      <w:r w:rsidR="0034394C" w:rsidRPr="0034394C">
        <w:rPr>
          <w:lang w:eastAsia="en-AU"/>
        </w:rPr>
        <w:t xml:space="preserve"> AJ, </w:t>
      </w:r>
      <w:proofErr w:type="spellStart"/>
      <w:r w:rsidR="0034394C" w:rsidRPr="0034394C">
        <w:rPr>
          <w:lang w:eastAsia="en-AU"/>
        </w:rPr>
        <w:t>Mhlantla</w:t>
      </w:r>
      <w:proofErr w:type="spellEnd"/>
      <w:r w:rsidR="0034394C" w:rsidRPr="0034394C">
        <w:rPr>
          <w:lang w:eastAsia="en-AU"/>
        </w:rPr>
        <w:t xml:space="preserve">, Theron, </w:t>
      </w:r>
      <w:proofErr w:type="spellStart"/>
      <w:r w:rsidR="0034394C" w:rsidRPr="0034394C">
        <w:rPr>
          <w:lang w:eastAsia="en-AU"/>
        </w:rPr>
        <w:t>Tshiqi</w:t>
      </w:r>
      <w:proofErr w:type="spellEnd"/>
      <w:r w:rsidR="0034394C">
        <w:rPr>
          <w:lang w:eastAsia="en-AU"/>
        </w:rPr>
        <w:t xml:space="preserve"> JJ and</w:t>
      </w:r>
      <w:r w:rsidR="0034394C" w:rsidRPr="0034394C">
        <w:rPr>
          <w:lang w:eastAsia="en-AU"/>
        </w:rPr>
        <w:t xml:space="preserve"> Victor AJ</w:t>
      </w:r>
    </w:p>
    <w:p w:rsidR="00073905" w:rsidRPr="002F4F7E" w:rsidRDefault="00073905" w:rsidP="00073905">
      <w:pPr>
        <w:rPr>
          <w:lang w:eastAsia="en-AU"/>
        </w:rPr>
      </w:pPr>
    </w:p>
    <w:p w:rsidR="00073905" w:rsidRPr="002F4F7E" w:rsidRDefault="00073905" w:rsidP="00073905">
      <w:pPr>
        <w:rPr>
          <w:b/>
          <w:lang w:eastAsia="en-AU"/>
        </w:rPr>
      </w:pPr>
      <w:r>
        <w:rPr>
          <w:b/>
          <w:lang w:eastAsia="en-AU"/>
        </w:rPr>
        <w:t>Catchwords:</w:t>
      </w:r>
    </w:p>
    <w:p w:rsidR="00073905" w:rsidRPr="00856E9C" w:rsidRDefault="00073905" w:rsidP="00073905">
      <w:pPr>
        <w:rPr>
          <w:b/>
          <w:highlight w:val="yellow"/>
          <w:lang w:eastAsia="en-AU"/>
        </w:rPr>
      </w:pPr>
    </w:p>
    <w:p w:rsidR="00073905" w:rsidRDefault="00073905" w:rsidP="00073905">
      <w:pPr>
        <w:ind w:left="720"/>
        <w:rPr>
          <w:lang w:eastAsia="en-AU"/>
        </w:rPr>
      </w:pPr>
      <w:r w:rsidRPr="005244A9">
        <w:rPr>
          <w:lang w:eastAsia="en-AU"/>
        </w:rPr>
        <w:t xml:space="preserve">Criminal law — </w:t>
      </w:r>
      <w:r w:rsidR="0034394C">
        <w:rPr>
          <w:lang w:eastAsia="en-AU"/>
        </w:rPr>
        <w:t xml:space="preserve">Sentencing – Non-parole period – Retrospectivity – Where applicant convicted of murder and sentenced to life imprisonment with 25-year non-parole period on 14 May 2002 – Where, at time of conviction and sentencing, maximum non-parole period 20 years – Where applicant applied to Supreme Court of Appeals for reconsideration of conviction and sentence pursuant to s 17(2)(f) of </w:t>
      </w:r>
      <w:r w:rsidR="0034394C">
        <w:rPr>
          <w:i/>
          <w:lang w:eastAsia="en-AU"/>
        </w:rPr>
        <w:t>Superior Courts Act 10 of 2013</w:t>
      </w:r>
      <w:r w:rsidR="0034394C">
        <w:rPr>
          <w:lang w:eastAsia="en-AU"/>
        </w:rPr>
        <w:t xml:space="preserve"> – Where reconsideration application dismissed because submitted prior to </w:t>
      </w:r>
      <w:r w:rsidR="0034394C">
        <w:rPr>
          <w:i/>
          <w:lang w:eastAsia="en-AU"/>
        </w:rPr>
        <w:t>Superior Courts Act</w:t>
      </w:r>
      <w:r w:rsidR="0034394C">
        <w:rPr>
          <w:lang w:eastAsia="en-AU"/>
        </w:rPr>
        <w:t xml:space="preserve"> c</w:t>
      </w:r>
      <w:r w:rsidR="00962406">
        <w:rPr>
          <w:lang w:eastAsia="en-AU"/>
        </w:rPr>
        <w:t>oming</w:t>
      </w:r>
      <w:r w:rsidR="0034394C">
        <w:rPr>
          <w:lang w:eastAsia="en-AU"/>
        </w:rPr>
        <w:t xml:space="preserve"> into operation – </w:t>
      </w:r>
      <w:r w:rsidR="0020034F">
        <w:rPr>
          <w:lang w:eastAsia="en-AU"/>
        </w:rPr>
        <w:t xml:space="preserve">Where s 276B of </w:t>
      </w:r>
      <w:r w:rsidR="0020034F">
        <w:rPr>
          <w:i/>
          <w:lang w:eastAsia="en-AU"/>
        </w:rPr>
        <w:t>Criminal Procedure Act 51 of 1977</w:t>
      </w:r>
      <w:r w:rsidR="0020034F">
        <w:rPr>
          <w:lang w:eastAsia="en-AU"/>
        </w:rPr>
        <w:t xml:space="preserve"> provides maximum non-parole period of 25 years and commenced operation on 1 October 2004 – </w:t>
      </w:r>
      <w:r w:rsidR="0034394C">
        <w:rPr>
          <w:lang w:eastAsia="en-AU"/>
        </w:rPr>
        <w:t xml:space="preserve">Whether refusal by Supreme Court of Appeals to hear application violated right to equal protection – </w:t>
      </w:r>
      <w:r w:rsidR="0020034F">
        <w:rPr>
          <w:lang w:eastAsia="en-AU"/>
        </w:rPr>
        <w:t xml:space="preserve">Whether s 276B of </w:t>
      </w:r>
      <w:r w:rsidR="0020034F">
        <w:rPr>
          <w:i/>
          <w:lang w:eastAsia="en-AU"/>
        </w:rPr>
        <w:t xml:space="preserve">Criminal Procedure Act </w:t>
      </w:r>
      <w:r w:rsidR="0020034F">
        <w:rPr>
          <w:lang w:eastAsia="en-AU"/>
        </w:rPr>
        <w:t xml:space="preserve">applies retrospectively - </w:t>
      </w:r>
      <w:r w:rsidR="0034394C">
        <w:rPr>
          <w:lang w:eastAsia="en-AU"/>
        </w:rPr>
        <w:t xml:space="preserve">Whether </w:t>
      </w:r>
      <w:r w:rsidR="0020034F">
        <w:rPr>
          <w:lang w:eastAsia="en-AU"/>
        </w:rPr>
        <w:t xml:space="preserve">court erred in </w:t>
      </w:r>
      <w:r w:rsidR="0034394C">
        <w:rPr>
          <w:lang w:eastAsia="en-AU"/>
        </w:rPr>
        <w:t>imposi</w:t>
      </w:r>
      <w:r w:rsidR="0020034F">
        <w:rPr>
          <w:lang w:eastAsia="en-AU"/>
        </w:rPr>
        <w:t xml:space="preserve">ng </w:t>
      </w:r>
      <w:r w:rsidR="0034394C">
        <w:rPr>
          <w:lang w:eastAsia="en-AU"/>
        </w:rPr>
        <w:t>25</w:t>
      </w:r>
      <w:r w:rsidR="0020034F">
        <w:rPr>
          <w:lang w:eastAsia="en-AU"/>
        </w:rPr>
        <w:t>-</w:t>
      </w:r>
      <w:r w:rsidR="0034394C">
        <w:rPr>
          <w:lang w:eastAsia="en-AU"/>
        </w:rPr>
        <w:t>year non-parole period</w:t>
      </w:r>
      <w:r w:rsidR="0020034F">
        <w:rPr>
          <w:lang w:eastAsia="en-AU"/>
        </w:rPr>
        <w:t xml:space="preserve">. </w:t>
      </w:r>
    </w:p>
    <w:p w:rsidR="0034394C" w:rsidRPr="00856E9C" w:rsidRDefault="0034394C" w:rsidP="0034394C">
      <w:pPr>
        <w:rPr>
          <w:highlight w:val="yellow"/>
          <w:lang w:eastAsia="en-AU"/>
        </w:rPr>
      </w:pPr>
    </w:p>
    <w:p w:rsidR="00073905" w:rsidRDefault="00073905" w:rsidP="00073905">
      <w:pPr>
        <w:rPr>
          <w:lang w:eastAsia="en-AU"/>
        </w:rPr>
      </w:pPr>
      <w:r w:rsidRPr="002F4F7E">
        <w:rPr>
          <w:b/>
          <w:lang w:eastAsia="en-AU"/>
        </w:rPr>
        <w:t>Held (</w:t>
      </w:r>
      <w:r w:rsidR="0034394C">
        <w:rPr>
          <w:b/>
          <w:lang w:eastAsia="en-AU"/>
        </w:rPr>
        <w:t>10</w:t>
      </w:r>
      <w:r>
        <w:rPr>
          <w:b/>
          <w:lang w:eastAsia="en-AU"/>
        </w:rPr>
        <w:t>:</w:t>
      </w:r>
      <w:r w:rsidR="0034394C">
        <w:rPr>
          <w:b/>
          <w:lang w:eastAsia="en-AU"/>
        </w:rPr>
        <w:t>0</w:t>
      </w:r>
      <w:r w:rsidRPr="002F4F7E">
        <w:rPr>
          <w:b/>
          <w:lang w:eastAsia="en-AU"/>
        </w:rPr>
        <w:t xml:space="preserve">): </w:t>
      </w:r>
      <w:r w:rsidR="0034394C">
        <w:rPr>
          <w:lang w:eastAsia="en-AU"/>
        </w:rPr>
        <w:t xml:space="preserve">Leave to appeal granted; appeal allowed. </w:t>
      </w:r>
      <w:r>
        <w:rPr>
          <w:lang w:eastAsia="en-AU"/>
        </w:rPr>
        <w:t xml:space="preserve"> </w:t>
      </w:r>
    </w:p>
    <w:p w:rsidR="00073905" w:rsidRDefault="00073905" w:rsidP="00073905">
      <w:pPr>
        <w:pStyle w:val="BullDivider1"/>
        <w:pBdr>
          <w:bottom w:val="dotted" w:sz="4" w:space="0" w:color="auto"/>
        </w:pBdr>
      </w:pPr>
    </w:p>
    <w:p w:rsidR="00073905" w:rsidRDefault="00073905" w:rsidP="00073905">
      <w:pPr>
        <w:rPr>
          <w:lang w:eastAsia="en-AU"/>
        </w:rPr>
      </w:pPr>
    </w:p>
    <w:p w:rsidR="0052214A" w:rsidRPr="00992ECF" w:rsidRDefault="0052214A" w:rsidP="0052214A">
      <w:pPr>
        <w:pStyle w:val="Heading2"/>
        <w:rPr>
          <w:i w:val="0"/>
        </w:rPr>
      </w:pPr>
      <w:r>
        <w:t xml:space="preserve">Edwards v </w:t>
      </w:r>
      <w:proofErr w:type="spellStart"/>
      <w:r>
        <w:t>Vannoy</w:t>
      </w:r>
      <w:proofErr w:type="spellEnd"/>
    </w:p>
    <w:p w:rsidR="0052214A" w:rsidRPr="002F4F7E" w:rsidRDefault="0052214A" w:rsidP="0052214A">
      <w:pPr>
        <w:rPr>
          <w:lang w:eastAsia="en-AU"/>
        </w:rPr>
      </w:pPr>
      <w:r>
        <w:rPr>
          <w:b/>
          <w:lang w:eastAsia="en-AU"/>
        </w:rPr>
        <w:t>Supreme Court of the United States</w:t>
      </w:r>
      <w:r w:rsidRPr="002F4F7E">
        <w:rPr>
          <w:b/>
          <w:lang w:eastAsia="en-AU"/>
        </w:rPr>
        <w:t xml:space="preserve">: </w:t>
      </w:r>
      <w:hyperlink r:id="rId36" w:history="1">
        <w:r w:rsidR="00A00246">
          <w:rPr>
            <w:rStyle w:val="Hyperlink"/>
            <w:lang w:eastAsia="en-AU"/>
          </w:rPr>
          <w:t>Docket No.</w:t>
        </w:r>
        <w:r w:rsidRPr="0052214A">
          <w:rPr>
            <w:rStyle w:val="Hyperlink"/>
            <w:lang w:eastAsia="en-AU"/>
          </w:rPr>
          <w:t xml:space="preserve"> 19-5807</w:t>
        </w:r>
      </w:hyperlink>
    </w:p>
    <w:p w:rsidR="0052214A" w:rsidRPr="002F4F7E" w:rsidRDefault="0052214A" w:rsidP="0052214A">
      <w:pPr>
        <w:rPr>
          <w:lang w:eastAsia="en-AU"/>
        </w:rPr>
      </w:pPr>
    </w:p>
    <w:p w:rsidR="0052214A" w:rsidRPr="002F4F7E" w:rsidRDefault="0052214A" w:rsidP="0052214A">
      <w:pPr>
        <w:rPr>
          <w:lang w:eastAsia="en-AU"/>
        </w:rPr>
      </w:pPr>
      <w:r w:rsidRPr="002F4F7E">
        <w:rPr>
          <w:b/>
          <w:lang w:eastAsia="en-AU"/>
        </w:rPr>
        <w:t>Judgment delivered:</w:t>
      </w:r>
      <w:r>
        <w:rPr>
          <w:lang w:eastAsia="en-AU"/>
        </w:rPr>
        <w:t xml:space="preserve"> 17 May 2021</w:t>
      </w:r>
    </w:p>
    <w:p w:rsidR="0052214A" w:rsidRPr="002F4F7E" w:rsidRDefault="0052214A" w:rsidP="0052214A">
      <w:pPr>
        <w:rPr>
          <w:lang w:eastAsia="en-AU"/>
        </w:rPr>
      </w:pPr>
    </w:p>
    <w:p w:rsidR="0052214A" w:rsidRPr="002F4F7E" w:rsidRDefault="0052214A" w:rsidP="0052214A">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52214A" w:rsidRPr="002F4F7E" w:rsidRDefault="0052214A" w:rsidP="0052214A">
      <w:pPr>
        <w:rPr>
          <w:lang w:eastAsia="en-AU"/>
        </w:rPr>
      </w:pPr>
    </w:p>
    <w:p w:rsidR="0052214A" w:rsidRPr="002F4F7E" w:rsidRDefault="0052214A" w:rsidP="0052214A">
      <w:pPr>
        <w:rPr>
          <w:b/>
          <w:lang w:eastAsia="en-AU"/>
        </w:rPr>
      </w:pPr>
      <w:r>
        <w:rPr>
          <w:b/>
          <w:lang w:eastAsia="en-AU"/>
        </w:rPr>
        <w:lastRenderedPageBreak/>
        <w:t>Catchwords:</w:t>
      </w:r>
    </w:p>
    <w:p w:rsidR="0052214A" w:rsidRPr="00856E9C" w:rsidRDefault="0052214A" w:rsidP="0052214A">
      <w:pPr>
        <w:rPr>
          <w:b/>
          <w:highlight w:val="yellow"/>
          <w:lang w:eastAsia="en-AU"/>
        </w:rPr>
      </w:pPr>
    </w:p>
    <w:p w:rsidR="0052214A" w:rsidRPr="00645051" w:rsidRDefault="003637CE" w:rsidP="0052214A">
      <w:pPr>
        <w:ind w:left="720"/>
        <w:rPr>
          <w:lang w:eastAsia="en-AU"/>
        </w:rPr>
      </w:pPr>
      <w:r>
        <w:rPr>
          <w:lang w:eastAsia="en-AU"/>
        </w:rPr>
        <w:t>Criminal law – Criminal procedure</w:t>
      </w:r>
      <w:r w:rsidR="00645051">
        <w:rPr>
          <w:lang w:eastAsia="en-AU"/>
        </w:rPr>
        <w:t xml:space="preserve"> </w:t>
      </w:r>
      <w:r>
        <w:rPr>
          <w:lang w:eastAsia="en-AU"/>
        </w:rPr>
        <w:t xml:space="preserve">– </w:t>
      </w:r>
      <w:r w:rsidR="00645051">
        <w:rPr>
          <w:lang w:eastAsia="en-AU"/>
        </w:rPr>
        <w:t xml:space="preserve">Retroactive application of new rule – </w:t>
      </w:r>
      <w:r w:rsidR="004065B5">
        <w:rPr>
          <w:lang w:eastAsia="en-AU"/>
        </w:rPr>
        <w:t xml:space="preserve">Federal collateral review </w:t>
      </w:r>
      <w:r w:rsidR="00645051">
        <w:rPr>
          <w:lang w:eastAsia="en-AU"/>
        </w:rPr>
        <w:t xml:space="preserve">– Jury unanimity rule – </w:t>
      </w:r>
      <w:r>
        <w:rPr>
          <w:lang w:eastAsia="en-AU"/>
        </w:rPr>
        <w:t xml:space="preserve">Where </w:t>
      </w:r>
      <w:r w:rsidR="00645051">
        <w:rPr>
          <w:lang w:eastAsia="en-AU"/>
        </w:rPr>
        <w:t>11 of 12 Louisiana jurors</w:t>
      </w:r>
      <w:r>
        <w:rPr>
          <w:lang w:eastAsia="en-AU"/>
        </w:rPr>
        <w:t xml:space="preserve"> found petitioner guilty of </w:t>
      </w:r>
      <w:r w:rsidR="00645051">
        <w:rPr>
          <w:lang w:eastAsia="en-AU"/>
        </w:rPr>
        <w:t xml:space="preserve">some </w:t>
      </w:r>
      <w:r>
        <w:rPr>
          <w:lang w:eastAsia="en-AU"/>
        </w:rPr>
        <w:t>serious crimes</w:t>
      </w:r>
      <w:r w:rsidR="00645051">
        <w:rPr>
          <w:lang w:eastAsia="en-AU"/>
        </w:rPr>
        <w:t xml:space="preserve"> and 10 jurors found petitioner guilty of other crimes</w:t>
      </w:r>
      <w:r>
        <w:rPr>
          <w:lang w:eastAsia="en-AU"/>
        </w:rPr>
        <w:t xml:space="preserve"> – Where at time of conviction, Louisiana law permitted non-unanimous </w:t>
      </w:r>
      <w:r w:rsidR="00645051">
        <w:rPr>
          <w:lang w:eastAsia="en-AU"/>
        </w:rPr>
        <w:t xml:space="preserve">jury verdicts if at least 10 of 12 jurors returned guilty verdict – Where petitioner exhausted avenues for direct review – Where Supreme Court in </w:t>
      </w:r>
      <w:r w:rsidR="00645051">
        <w:rPr>
          <w:i/>
          <w:lang w:eastAsia="en-AU"/>
        </w:rPr>
        <w:t>Ramos v Louisiana</w:t>
      </w:r>
      <w:r w:rsidR="00645051">
        <w:rPr>
          <w:lang w:eastAsia="en-AU"/>
        </w:rPr>
        <w:t xml:space="preserve">, 590 US ___, overturned precedent in </w:t>
      </w:r>
      <w:r w:rsidR="00645051">
        <w:rPr>
          <w:i/>
          <w:lang w:eastAsia="en-AU"/>
        </w:rPr>
        <w:t>Apodaca v Oregon</w:t>
      </w:r>
      <w:r w:rsidR="00645051">
        <w:rPr>
          <w:lang w:eastAsia="en-AU"/>
        </w:rPr>
        <w:t xml:space="preserve">, 406 US 404, and held state jury must be unanimous to convict for serious crimes – Where petitioner applied for federal collateral review, relying on jury unanimity rule in </w:t>
      </w:r>
      <w:r w:rsidR="00645051">
        <w:rPr>
          <w:i/>
          <w:lang w:eastAsia="en-AU"/>
        </w:rPr>
        <w:t xml:space="preserve">Ramos </w:t>
      </w:r>
      <w:r w:rsidR="00645051">
        <w:rPr>
          <w:lang w:eastAsia="en-AU"/>
        </w:rPr>
        <w:t xml:space="preserve">to overturn conviction – Whether Fifth Circuit denied claim - Whether </w:t>
      </w:r>
      <w:r w:rsidR="00645051">
        <w:rPr>
          <w:i/>
          <w:lang w:eastAsia="en-AU"/>
        </w:rPr>
        <w:t xml:space="preserve">Ramos </w:t>
      </w:r>
      <w:r w:rsidR="00645051">
        <w:rPr>
          <w:lang w:eastAsia="en-AU"/>
        </w:rPr>
        <w:t xml:space="preserve">new rule of criminal procedure – Whether </w:t>
      </w:r>
      <w:r w:rsidR="00645051">
        <w:rPr>
          <w:i/>
          <w:lang w:eastAsia="en-AU"/>
        </w:rPr>
        <w:t xml:space="preserve">Ramos </w:t>
      </w:r>
      <w:r w:rsidR="00645051">
        <w:rPr>
          <w:lang w:eastAsia="en-AU"/>
        </w:rPr>
        <w:t xml:space="preserve">applies retroactively on federal collateral review. </w:t>
      </w:r>
    </w:p>
    <w:p w:rsidR="0052214A" w:rsidRPr="00856E9C" w:rsidRDefault="0052214A" w:rsidP="0052214A">
      <w:pPr>
        <w:ind w:left="720"/>
        <w:rPr>
          <w:highlight w:val="yellow"/>
          <w:lang w:eastAsia="en-AU"/>
        </w:rPr>
      </w:pPr>
    </w:p>
    <w:p w:rsidR="0052214A" w:rsidRDefault="0052214A" w:rsidP="0052214A">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Affirmed.  </w:t>
      </w:r>
    </w:p>
    <w:p w:rsidR="0052214A" w:rsidRDefault="0052214A" w:rsidP="0052214A">
      <w:pPr>
        <w:pStyle w:val="BullDivider1"/>
        <w:pBdr>
          <w:bottom w:val="dotted" w:sz="4" w:space="0" w:color="auto"/>
        </w:pBdr>
      </w:pPr>
    </w:p>
    <w:p w:rsidR="009960F6" w:rsidRDefault="009960F6" w:rsidP="009960F6"/>
    <w:p w:rsidR="00817392" w:rsidRPr="00992ECF" w:rsidRDefault="00817392" w:rsidP="00817392">
      <w:pPr>
        <w:pStyle w:val="Heading2"/>
        <w:rPr>
          <w:i w:val="0"/>
        </w:rPr>
      </w:pPr>
      <w:r>
        <w:t>R v GF</w:t>
      </w:r>
    </w:p>
    <w:p w:rsidR="00817392" w:rsidRPr="002F4F7E" w:rsidRDefault="00817392" w:rsidP="00817392">
      <w:pPr>
        <w:rPr>
          <w:lang w:eastAsia="en-AU"/>
        </w:rPr>
      </w:pPr>
      <w:r>
        <w:rPr>
          <w:b/>
          <w:lang w:eastAsia="en-AU"/>
        </w:rPr>
        <w:t>Supreme Court of Canada</w:t>
      </w:r>
      <w:r w:rsidRPr="002F4F7E">
        <w:rPr>
          <w:b/>
          <w:lang w:eastAsia="en-AU"/>
        </w:rPr>
        <w:t xml:space="preserve">: </w:t>
      </w:r>
      <w:hyperlink r:id="rId37" w:history="1">
        <w:r w:rsidRPr="00400757">
          <w:rPr>
            <w:rStyle w:val="Hyperlink"/>
            <w:lang w:eastAsia="en-AU"/>
          </w:rPr>
          <w:t>[2021] SCC</w:t>
        </w:r>
        <w:r>
          <w:rPr>
            <w:rStyle w:val="Hyperlink"/>
            <w:lang w:eastAsia="en-AU"/>
          </w:rPr>
          <w:t xml:space="preserve"> 20</w:t>
        </w:r>
      </w:hyperlink>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Judgment delivered:</w:t>
      </w:r>
      <w:r>
        <w:rPr>
          <w:lang w:eastAsia="en-AU"/>
        </w:rPr>
        <w:t xml:space="preserve"> 14 May 2021</w:t>
      </w:r>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Coram:</w:t>
      </w:r>
      <w:r>
        <w:rPr>
          <w:b/>
          <w:lang w:eastAsia="en-AU"/>
        </w:rPr>
        <w:t xml:space="preserve"> </w:t>
      </w:r>
      <w:r>
        <w:rPr>
          <w:lang w:eastAsia="en-AU"/>
        </w:rPr>
        <w:t xml:space="preserve">Wagner CJ, </w:t>
      </w:r>
      <w:proofErr w:type="spellStart"/>
      <w:r>
        <w:rPr>
          <w:lang w:eastAsia="en-AU"/>
        </w:rPr>
        <w:t>Abella</w:t>
      </w:r>
      <w:proofErr w:type="spellEnd"/>
      <w:r>
        <w:rPr>
          <w:lang w:eastAsia="en-AU"/>
        </w:rPr>
        <w:t xml:space="preserve">, </w:t>
      </w:r>
      <w:proofErr w:type="spellStart"/>
      <w:r>
        <w:rPr>
          <w:lang w:eastAsia="en-AU"/>
        </w:rPr>
        <w:t>Moldaver</w:t>
      </w:r>
      <w:proofErr w:type="spellEnd"/>
      <w:r>
        <w:rPr>
          <w:lang w:eastAsia="en-AU"/>
        </w:rPr>
        <w:t xml:space="preserve">, Karakatsanis, </w:t>
      </w:r>
      <w:proofErr w:type="spellStart"/>
      <w:r w:rsidRPr="00400757">
        <w:rPr>
          <w:lang w:eastAsia="en-AU"/>
        </w:rPr>
        <w:t>Côté</w:t>
      </w:r>
      <w:proofErr w:type="spellEnd"/>
      <w:r>
        <w:rPr>
          <w:lang w:eastAsia="en-AU"/>
        </w:rPr>
        <w:t xml:space="preserve">, Brown, Rowe, Martin and </w:t>
      </w:r>
      <w:proofErr w:type="spellStart"/>
      <w:r>
        <w:rPr>
          <w:lang w:eastAsia="en-AU"/>
        </w:rPr>
        <w:t>Kasirer</w:t>
      </w:r>
      <w:proofErr w:type="spellEnd"/>
      <w:r>
        <w:rPr>
          <w:lang w:eastAsia="en-AU"/>
        </w:rPr>
        <w:t xml:space="preserve"> JJ</w:t>
      </w:r>
    </w:p>
    <w:p w:rsidR="00817392" w:rsidRPr="002F4F7E" w:rsidRDefault="00817392" w:rsidP="00817392">
      <w:pPr>
        <w:rPr>
          <w:lang w:eastAsia="en-AU"/>
        </w:rPr>
      </w:pPr>
    </w:p>
    <w:p w:rsidR="00817392" w:rsidRPr="002F4F7E" w:rsidRDefault="00817392" w:rsidP="00817392">
      <w:pPr>
        <w:rPr>
          <w:b/>
          <w:lang w:eastAsia="en-AU"/>
        </w:rPr>
      </w:pPr>
      <w:r>
        <w:rPr>
          <w:b/>
          <w:lang w:eastAsia="en-AU"/>
        </w:rPr>
        <w:t>Catchwords:</w:t>
      </w:r>
    </w:p>
    <w:p w:rsidR="00817392" w:rsidRPr="00856E9C" w:rsidRDefault="00817392" w:rsidP="00817392">
      <w:pPr>
        <w:rPr>
          <w:b/>
          <w:highlight w:val="yellow"/>
          <w:lang w:eastAsia="en-AU"/>
        </w:rPr>
      </w:pPr>
    </w:p>
    <w:p w:rsidR="00817392" w:rsidRDefault="00817392" w:rsidP="00817392">
      <w:pPr>
        <w:ind w:left="720"/>
        <w:rPr>
          <w:lang w:eastAsia="en-AU"/>
        </w:rPr>
      </w:pPr>
      <w:r w:rsidRPr="005244A9">
        <w:rPr>
          <w:lang w:eastAsia="en-AU"/>
        </w:rPr>
        <w:t xml:space="preserve">Criminal law — Sexual assault — Consent — Capacity to consent — </w:t>
      </w:r>
      <w:r>
        <w:rPr>
          <w:lang w:eastAsia="en-AU"/>
        </w:rPr>
        <w:t>Where c</w:t>
      </w:r>
      <w:r w:rsidRPr="005244A9">
        <w:rPr>
          <w:lang w:eastAsia="en-AU"/>
        </w:rPr>
        <w:t>omplainant testif</w:t>
      </w:r>
      <w:r>
        <w:rPr>
          <w:lang w:eastAsia="en-AU"/>
        </w:rPr>
        <w:t>ied</w:t>
      </w:r>
      <w:r w:rsidRPr="005244A9">
        <w:rPr>
          <w:lang w:eastAsia="en-AU"/>
        </w:rPr>
        <w:t xml:space="preserve"> to incapacity to consent due to intoxication and to having expressed non</w:t>
      </w:r>
      <w:r w:rsidRPr="005244A9">
        <w:rPr>
          <w:rFonts w:ascii="Cambria Math" w:hAnsi="Cambria Math" w:cs="Cambria Math"/>
          <w:lang w:eastAsia="en-AU"/>
        </w:rPr>
        <w:t>‑</w:t>
      </w:r>
      <w:r w:rsidRPr="005244A9">
        <w:rPr>
          <w:lang w:eastAsia="en-AU"/>
        </w:rPr>
        <w:t xml:space="preserve">consent to sexual activity </w:t>
      </w:r>
      <w:r w:rsidRPr="005244A9">
        <w:rPr>
          <w:rFonts w:cs="Verdana"/>
          <w:lang w:eastAsia="en-AU"/>
        </w:rPr>
        <w:t>—</w:t>
      </w:r>
      <w:r w:rsidRPr="005244A9">
        <w:rPr>
          <w:lang w:eastAsia="en-AU"/>
        </w:rPr>
        <w:t xml:space="preserve"> </w:t>
      </w:r>
      <w:r>
        <w:rPr>
          <w:lang w:eastAsia="en-AU"/>
        </w:rPr>
        <w:t>Where a</w:t>
      </w:r>
      <w:r w:rsidRPr="005244A9">
        <w:rPr>
          <w:lang w:eastAsia="en-AU"/>
        </w:rPr>
        <w:t>ccused convicted of sexual assault at trial but Court of Appeal order</w:t>
      </w:r>
      <w:r>
        <w:rPr>
          <w:lang w:eastAsia="en-AU"/>
        </w:rPr>
        <w:t>ed</w:t>
      </w:r>
      <w:r w:rsidRPr="005244A9">
        <w:rPr>
          <w:lang w:eastAsia="en-AU"/>
        </w:rPr>
        <w:t xml:space="preserve"> new trial — Whether trial judge required to address consent and capacity to consent separately when both at issue — Whether trial judge’s reasons sufficient — </w:t>
      </w:r>
      <w:r w:rsidRPr="005244A9">
        <w:rPr>
          <w:i/>
          <w:lang w:eastAsia="en-AU"/>
        </w:rPr>
        <w:t>Criminal Code</w:t>
      </w:r>
      <w:r w:rsidRPr="005244A9">
        <w:rPr>
          <w:lang w:eastAsia="en-AU"/>
        </w:rPr>
        <w:t>, RSC 1985, c C</w:t>
      </w:r>
      <w:r w:rsidRPr="005244A9">
        <w:rPr>
          <w:rFonts w:ascii="Cambria Math" w:hAnsi="Cambria Math" w:cs="Cambria Math"/>
          <w:lang w:eastAsia="en-AU"/>
        </w:rPr>
        <w:t>‑</w:t>
      </w:r>
      <w:r w:rsidRPr="005244A9">
        <w:rPr>
          <w:lang w:eastAsia="en-AU"/>
        </w:rPr>
        <w:t>46, ss 265(3) , 273.1.</w:t>
      </w:r>
    </w:p>
    <w:p w:rsidR="00817392" w:rsidRPr="00856E9C" w:rsidRDefault="00817392" w:rsidP="00817392">
      <w:pPr>
        <w:ind w:left="720"/>
        <w:rPr>
          <w:highlight w:val="yellow"/>
          <w:lang w:eastAsia="en-AU"/>
        </w:rPr>
      </w:pPr>
    </w:p>
    <w:p w:rsidR="00817392" w:rsidRDefault="00817392" w:rsidP="00817392">
      <w:pPr>
        <w:rPr>
          <w:lang w:eastAsia="en-AU"/>
        </w:rPr>
      </w:pPr>
      <w:r w:rsidRPr="002F4F7E">
        <w:rPr>
          <w:b/>
          <w:lang w:eastAsia="en-AU"/>
        </w:rPr>
        <w:t>Held (</w:t>
      </w:r>
      <w:r>
        <w:rPr>
          <w:b/>
          <w:lang w:eastAsia="en-AU"/>
        </w:rPr>
        <w:t>8:1</w:t>
      </w:r>
      <w:r w:rsidRPr="002F4F7E">
        <w:rPr>
          <w:b/>
          <w:lang w:eastAsia="en-AU"/>
        </w:rPr>
        <w:t xml:space="preserve">): </w:t>
      </w:r>
      <w:r>
        <w:rPr>
          <w:lang w:eastAsia="en-AU"/>
        </w:rPr>
        <w:t xml:space="preserve">Appeal dismissed. </w:t>
      </w:r>
    </w:p>
    <w:p w:rsidR="00817392" w:rsidRDefault="00817392" w:rsidP="00817392">
      <w:pPr>
        <w:pStyle w:val="BullDivider1"/>
        <w:pBdr>
          <w:bottom w:val="dotted" w:sz="4" w:space="0" w:color="auto"/>
        </w:pBdr>
      </w:pPr>
    </w:p>
    <w:p w:rsidR="00817392" w:rsidRDefault="00817392" w:rsidP="00817392">
      <w:pPr>
        <w:rPr>
          <w:lang w:eastAsia="en-AU"/>
        </w:rPr>
      </w:pPr>
    </w:p>
    <w:p w:rsidR="009960F6" w:rsidRPr="00992ECF" w:rsidRDefault="009960F6" w:rsidP="009960F6">
      <w:pPr>
        <w:pStyle w:val="Heading2"/>
        <w:rPr>
          <w:i w:val="0"/>
        </w:rPr>
      </w:pPr>
      <w:r>
        <w:t>R v CP</w:t>
      </w:r>
    </w:p>
    <w:p w:rsidR="009960F6" w:rsidRPr="002F4F7E" w:rsidRDefault="00400757" w:rsidP="009960F6">
      <w:pPr>
        <w:rPr>
          <w:lang w:eastAsia="en-AU"/>
        </w:rPr>
      </w:pPr>
      <w:r>
        <w:rPr>
          <w:b/>
          <w:lang w:eastAsia="en-AU"/>
        </w:rPr>
        <w:t>Supreme Court of Canada</w:t>
      </w:r>
      <w:r w:rsidR="009960F6" w:rsidRPr="002F4F7E">
        <w:rPr>
          <w:b/>
          <w:lang w:eastAsia="en-AU"/>
        </w:rPr>
        <w:t xml:space="preserve">: </w:t>
      </w:r>
      <w:hyperlink r:id="rId38" w:history="1">
        <w:r w:rsidRPr="00400757">
          <w:rPr>
            <w:rStyle w:val="Hyperlink"/>
            <w:lang w:eastAsia="en-AU"/>
          </w:rPr>
          <w:t>[2021] SCC 19</w:t>
        </w:r>
      </w:hyperlink>
    </w:p>
    <w:p w:rsidR="009960F6" w:rsidRPr="002F4F7E" w:rsidRDefault="009960F6" w:rsidP="009960F6">
      <w:pPr>
        <w:rPr>
          <w:lang w:eastAsia="en-AU"/>
        </w:rPr>
      </w:pPr>
    </w:p>
    <w:p w:rsidR="009960F6" w:rsidRPr="002F4F7E" w:rsidRDefault="009960F6" w:rsidP="009960F6">
      <w:pPr>
        <w:rPr>
          <w:lang w:eastAsia="en-AU"/>
        </w:rPr>
      </w:pPr>
      <w:r w:rsidRPr="002F4F7E">
        <w:rPr>
          <w:b/>
          <w:lang w:eastAsia="en-AU"/>
        </w:rPr>
        <w:t>Judgment delivered:</w:t>
      </w:r>
      <w:r>
        <w:rPr>
          <w:lang w:eastAsia="en-AU"/>
        </w:rPr>
        <w:t xml:space="preserve"> </w:t>
      </w:r>
      <w:r w:rsidR="00400757">
        <w:rPr>
          <w:lang w:eastAsia="en-AU"/>
        </w:rPr>
        <w:t>7</w:t>
      </w:r>
      <w:r>
        <w:rPr>
          <w:lang w:eastAsia="en-AU"/>
        </w:rPr>
        <w:t xml:space="preserve"> May 2021</w:t>
      </w:r>
    </w:p>
    <w:p w:rsidR="009960F6" w:rsidRPr="002F4F7E" w:rsidRDefault="009960F6" w:rsidP="009960F6">
      <w:pPr>
        <w:rPr>
          <w:lang w:eastAsia="en-AU"/>
        </w:rPr>
      </w:pPr>
    </w:p>
    <w:p w:rsidR="009960F6" w:rsidRPr="002F4F7E" w:rsidRDefault="009960F6" w:rsidP="009960F6">
      <w:pPr>
        <w:rPr>
          <w:lang w:eastAsia="en-AU"/>
        </w:rPr>
      </w:pPr>
      <w:r w:rsidRPr="002F4F7E">
        <w:rPr>
          <w:b/>
          <w:lang w:eastAsia="en-AU"/>
        </w:rPr>
        <w:t>Coram:</w:t>
      </w:r>
      <w:r>
        <w:rPr>
          <w:b/>
          <w:lang w:eastAsia="en-AU"/>
        </w:rPr>
        <w:t xml:space="preserve"> </w:t>
      </w:r>
      <w:r w:rsidR="00400757">
        <w:rPr>
          <w:lang w:eastAsia="en-AU"/>
        </w:rPr>
        <w:t xml:space="preserve">Wagner CJ, </w:t>
      </w:r>
      <w:proofErr w:type="spellStart"/>
      <w:r w:rsidR="00400757">
        <w:rPr>
          <w:lang w:eastAsia="en-AU"/>
        </w:rPr>
        <w:t>Abella</w:t>
      </w:r>
      <w:proofErr w:type="spellEnd"/>
      <w:r w:rsidR="00400757">
        <w:rPr>
          <w:lang w:eastAsia="en-AU"/>
        </w:rPr>
        <w:t xml:space="preserve">, </w:t>
      </w:r>
      <w:proofErr w:type="spellStart"/>
      <w:r w:rsidR="00400757">
        <w:rPr>
          <w:lang w:eastAsia="en-AU"/>
        </w:rPr>
        <w:t>Moldaver</w:t>
      </w:r>
      <w:proofErr w:type="spellEnd"/>
      <w:r w:rsidR="00400757">
        <w:rPr>
          <w:lang w:eastAsia="en-AU"/>
        </w:rPr>
        <w:t xml:space="preserve">, Karakatsanis, </w:t>
      </w:r>
      <w:proofErr w:type="spellStart"/>
      <w:r w:rsidR="00400757" w:rsidRPr="00400757">
        <w:rPr>
          <w:lang w:eastAsia="en-AU"/>
        </w:rPr>
        <w:t>Côté</w:t>
      </w:r>
      <w:proofErr w:type="spellEnd"/>
      <w:r w:rsidR="00400757">
        <w:rPr>
          <w:lang w:eastAsia="en-AU"/>
        </w:rPr>
        <w:t xml:space="preserve">, Brown, Rowe, Martin and </w:t>
      </w:r>
      <w:proofErr w:type="spellStart"/>
      <w:r w:rsidR="00400757">
        <w:rPr>
          <w:lang w:eastAsia="en-AU"/>
        </w:rPr>
        <w:t>Kasirer</w:t>
      </w:r>
      <w:proofErr w:type="spellEnd"/>
      <w:r w:rsidR="00400757">
        <w:rPr>
          <w:lang w:eastAsia="en-AU"/>
        </w:rPr>
        <w:t xml:space="preserve"> JJ</w:t>
      </w:r>
    </w:p>
    <w:p w:rsidR="009960F6" w:rsidRPr="002F4F7E" w:rsidRDefault="009960F6" w:rsidP="009960F6">
      <w:pPr>
        <w:rPr>
          <w:lang w:eastAsia="en-AU"/>
        </w:rPr>
      </w:pPr>
    </w:p>
    <w:p w:rsidR="009960F6" w:rsidRPr="002F4F7E" w:rsidRDefault="009960F6" w:rsidP="009960F6">
      <w:pPr>
        <w:rPr>
          <w:b/>
          <w:lang w:eastAsia="en-AU"/>
        </w:rPr>
      </w:pPr>
      <w:r>
        <w:rPr>
          <w:b/>
          <w:lang w:eastAsia="en-AU"/>
        </w:rPr>
        <w:t>Catchwords:</w:t>
      </w:r>
    </w:p>
    <w:p w:rsidR="009960F6" w:rsidRPr="00856E9C" w:rsidRDefault="009960F6" w:rsidP="009960F6">
      <w:pPr>
        <w:rPr>
          <w:b/>
          <w:highlight w:val="yellow"/>
          <w:lang w:eastAsia="en-AU"/>
        </w:rPr>
      </w:pPr>
    </w:p>
    <w:p w:rsidR="00400757" w:rsidRDefault="00400757" w:rsidP="00400757">
      <w:pPr>
        <w:ind w:left="720"/>
        <w:rPr>
          <w:lang w:eastAsia="en-AU"/>
        </w:rPr>
      </w:pPr>
      <w:r>
        <w:rPr>
          <w:lang w:eastAsia="en-AU"/>
        </w:rPr>
        <w:lastRenderedPageBreak/>
        <w:t xml:space="preserve">Criminal law — Appeals — Unreasonable verdict — </w:t>
      </w:r>
      <w:r w:rsidR="004B567E">
        <w:rPr>
          <w:lang w:eastAsia="en-AU"/>
        </w:rPr>
        <w:t>Where a</w:t>
      </w:r>
      <w:r>
        <w:rPr>
          <w:lang w:eastAsia="en-AU"/>
        </w:rPr>
        <w:t xml:space="preserve">ccused young person convicted of sexual assault by judge sitting alone — </w:t>
      </w:r>
      <w:r w:rsidR="004B567E">
        <w:rPr>
          <w:lang w:eastAsia="en-AU"/>
        </w:rPr>
        <w:t>Where a</w:t>
      </w:r>
      <w:r>
        <w:rPr>
          <w:lang w:eastAsia="en-AU"/>
        </w:rPr>
        <w:t>ccused appeal</w:t>
      </w:r>
      <w:r w:rsidR="004B567E">
        <w:rPr>
          <w:lang w:eastAsia="en-AU"/>
        </w:rPr>
        <w:t>ed</w:t>
      </w:r>
      <w:r>
        <w:rPr>
          <w:lang w:eastAsia="en-AU"/>
        </w:rPr>
        <w:t xml:space="preserve"> conviction on basis verdict unreasonable — </w:t>
      </w:r>
      <w:r w:rsidR="004B567E">
        <w:rPr>
          <w:lang w:eastAsia="en-AU"/>
        </w:rPr>
        <w:t>Where c</w:t>
      </w:r>
      <w:r>
        <w:rPr>
          <w:lang w:eastAsia="en-AU"/>
        </w:rPr>
        <w:t>onviction affirmed by majority of Court of Appeal — Whether verdict unreasonable.</w:t>
      </w:r>
    </w:p>
    <w:p w:rsidR="00400757" w:rsidRDefault="00400757" w:rsidP="00400757">
      <w:pPr>
        <w:ind w:left="720"/>
        <w:rPr>
          <w:lang w:eastAsia="en-AU"/>
        </w:rPr>
      </w:pPr>
    </w:p>
    <w:p w:rsidR="009960F6" w:rsidRDefault="00400757" w:rsidP="00400757">
      <w:pPr>
        <w:ind w:left="720"/>
        <w:rPr>
          <w:lang w:eastAsia="en-AU"/>
        </w:rPr>
      </w:pPr>
      <w:r>
        <w:rPr>
          <w:lang w:eastAsia="en-AU"/>
        </w:rPr>
        <w:t xml:space="preserve">Constitutional law — </w:t>
      </w:r>
      <w:r w:rsidRPr="00250630">
        <w:rPr>
          <w:i/>
          <w:lang w:eastAsia="en-AU"/>
        </w:rPr>
        <w:t>Charter of Rights</w:t>
      </w:r>
      <w:r>
        <w:rPr>
          <w:lang w:eastAsia="en-AU"/>
        </w:rPr>
        <w:t xml:space="preserve"> — Right to liberty — Fundamental justice — Right to equality — Young persons — Appeals to Supreme Court of Canada — </w:t>
      </w:r>
      <w:r w:rsidR="00250630">
        <w:rPr>
          <w:lang w:eastAsia="en-AU"/>
        </w:rPr>
        <w:t>Where a</w:t>
      </w:r>
      <w:r>
        <w:rPr>
          <w:lang w:eastAsia="en-AU"/>
        </w:rPr>
        <w:t xml:space="preserve">ccused young person convicted of sexual assault — </w:t>
      </w:r>
      <w:r w:rsidR="00250630">
        <w:rPr>
          <w:lang w:eastAsia="en-AU"/>
        </w:rPr>
        <w:t>Where m</w:t>
      </w:r>
      <w:r>
        <w:rPr>
          <w:lang w:eastAsia="en-AU"/>
        </w:rPr>
        <w:t>ajority of Court of Appeal affirm</w:t>
      </w:r>
      <w:r w:rsidR="00250630">
        <w:rPr>
          <w:lang w:eastAsia="en-AU"/>
        </w:rPr>
        <w:t>ed</w:t>
      </w:r>
      <w:r>
        <w:rPr>
          <w:lang w:eastAsia="en-AU"/>
        </w:rPr>
        <w:t xml:space="preserve"> conviction but one judge dissent</w:t>
      </w:r>
      <w:r w:rsidR="00250630">
        <w:rPr>
          <w:lang w:eastAsia="en-AU"/>
        </w:rPr>
        <w:t>ed</w:t>
      </w:r>
      <w:r>
        <w:rPr>
          <w:lang w:eastAsia="en-AU"/>
        </w:rPr>
        <w:t xml:space="preserve"> — </w:t>
      </w:r>
      <w:r w:rsidR="00250630">
        <w:rPr>
          <w:lang w:eastAsia="en-AU"/>
        </w:rPr>
        <w:t>Where y</w:t>
      </w:r>
      <w:r>
        <w:rPr>
          <w:lang w:eastAsia="en-AU"/>
        </w:rPr>
        <w:t>oung person fil</w:t>
      </w:r>
      <w:r w:rsidR="00250630">
        <w:rPr>
          <w:lang w:eastAsia="en-AU"/>
        </w:rPr>
        <w:t>ed</w:t>
      </w:r>
      <w:r>
        <w:rPr>
          <w:lang w:eastAsia="en-AU"/>
        </w:rPr>
        <w:t xml:space="preserve"> appeal as of right to Supreme Court under s 691(1)(a) of </w:t>
      </w:r>
      <w:r w:rsidRPr="00250630">
        <w:rPr>
          <w:i/>
          <w:lang w:eastAsia="en-AU"/>
        </w:rPr>
        <w:t>Criminal Code</w:t>
      </w:r>
      <w:r>
        <w:rPr>
          <w:lang w:eastAsia="en-AU"/>
        </w:rPr>
        <w:t xml:space="preserve">  — </w:t>
      </w:r>
      <w:r w:rsidR="00250630">
        <w:rPr>
          <w:lang w:eastAsia="en-AU"/>
        </w:rPr>
        <w:t>Where s</w:t>
      </w:r>
      <w:r>
        <w:rPr>
          <w:lang w:eastAsia="en-AU"/>
        </w:rPr>
        <w:t xml:space="preserve"> 37(10)  of </w:t>
      </w:r>
      <w:r w:rsidRPr="00250630">
        <w:rPr>
          <w:i/>
          <w:lang w:eastAsia="en-AU"/>
        </w:rPr>
        <w:t>Youth Criminal Justice Act</w:t>
      </w:r>
      <w:r>
        <w:rPr>
          <w:lang w:eastAsia="en-AU"/>
        </w:rPr>
        <w:t xml:space="preserve"> stat</w:t>
      </w:r>
      <w:r w:rsidR="00250630">
        <w:rPr>
          <w:lang w:eastAsia="en-AU"/>
        </w:rPr>
        <w:t>ed</w:t>
      </w:r>
      <w:r>
        <w:rPr>
          <w:lang w:eastAsia="en-AU"/>
        </w:rPr>
        <w:t xml:space="preserve"> that no appeal lies to Supreme Court unless young person granted leave to appeal — Whether s 37(10) of </w:t>
      </w:r>
      <w:r w:rsidRPr="00250630">
        <w:rPr>
          <w:i/>
          <w:lang w:eastAsia="en-AU"/>
        </w:rPr>
        <w:t>Youth Criminal Justice A</w:t>
      </w:r>
      <w:r w:rsidRPr="00250630">
        <w:rPr>
          <w:lang w:eastAsia="en-AU"/>
        </w:rPr>
        <w:t xml:space="preserve">ct </w:t>
      </w:r>
      <w:r>
        <w:rPr>
          <w:lang w:eastAsia="en-AU"/>
        </w:rPr>
        <w:t xml:space="preserve">infringes young person’s right to equality and right not to be deprived of liberty except in accordance with principles of fundamental justice — </w:t>
      </w:r>
      <w:r w:rsidRPr="00250630">
        <w:rPr>
          <w:i/>
          <w:lang w:eastAsia="en-AU"/>
        </w:rPr>
        <w:t>Canadian Charter of Rights and Freedoms</w:t>
      </w:r>
      <w:r>
        <w:rPr>
          <w:lang w:eastAsia="en-AU"/>
        </w:rPr>
        <w:t xml:space="preserve">, ss 1 , 7, 15 — </w:t>
      </w:r>
      <w:r w:rsidRPr="00250630">
        <w:rPr>
          <w:i/>
          <w:lang w:eastAsia="en-AU"/>
        </w:rPr>
        <w:t>Youth Criminal Justice Act</w:t>
      </w:r>
      <w:r>
        <w:rPr>
          <w:lang w:eastAsia="en-AU"/>
        </w:rPr>
        <w:t>, SC 2002, c</w:t>
      </w:r>
      <w:r w:rsidR="00250630">
        <w:rPr>
          <w:lang w:eastAsia="en-AU"/>
        </w:rPr>
        <w:t xml:space="preserve"> </w:t>
      </w:r>
      <w:r>
        <w:rPr>
          <w:lang w:eastAsia="en-AU"/>
        </w:rPr>
        <w:t>1, s 37(10)</w:t>
      </w:r>
      <w:r w:rsidR="005244A9">
        <w:rPr>
          <w:lang w:eastAsia="en-AU"/>
        </w:rPr>
        <w:t>.</w:t>
      </w:r>
    </w:p>
    <w:p w:rsidR="00400757" w:rsidRPr="00856E9C" w:rsidRDefault="00400757" w:rsidP="00400757">
      <w:pPr>
        <w:ind w:left="720"/>
        <w:rPr>
          <w:highlight w:val="yellow"/>
          <w:lang w:eastAsia="en-AU"/>
        </w:rPr>
      </w:pPr>
    </w:p>
    <w:p w:rsidR="009960F6" w:rsidRDefault="009960F6" w:rsidP="009960F6">
      <w:pPr>
        <w:rPr>
          <w:lang w:eastAsia="en-AU"/>
        </w:rPr>
      </w:pPr>
      <w:r w:rsidRPr="002F4F7E">
        <w:rPr>
          <w:b/>
          <w:lang w:eastAsia="en-AU"/>
        </w:rPr>
        <w:t>Held (</w:t>
      </w:r>
      <w:r w:rsidR="00400757">
        <w:rPr>
          <w:b/>
          <w:lang w:eastAsia="en-AU"/>
        </w:rPr>
        <w:t>8</w:t>
      </w:r>
      <w:r>
        <w:rPr>
          <w:b/>
          <w:lang w:eastAsia="en-AU"/>
        </w:rPr>
        <w:t>:</w:t>
      </w:r>
      <w:r w:rsidR="00400757">
        <w:rPr>
          <w:b/>
          <w:lang w:eastAsia="en-AU"/>
        </w:rPr>
        <w:t>1</w:t>
      </w:r>
      <w:r w:rsidRPr="002F4F7E">
        <w:rPr>
          <w:b/>
          <w:lang w:eastAsia="en-AU"/>
        </w:rPr>
        <w:t xml:space="preserve">): </w:t>
      </w:r>
      <w:r>
        <w:rPr>
          <w:lang w:eastAsia="en-AU"/>
        </w:rPr>
        <w:t xml:space="preserve">Appeal dismissed. </w:t>
      </w:r>
    </w:p>
    <w:p w:rsidR="00BF673D" w:rsidRPr="00B546B2" w:rsidRDefault="00BF673D" w:rsidP="00BF673D">
      <w:pPr>
        <w:pStyle w:val="BullDivider2"/>
        <w:rPr>
          <w:rFonts w:cs="Arial"/>
          <w:highlight w:val="yellow"/>
        </w:rPr>
      </w:pPr>
    </w:p>
    <w:p w:rsidR="00EA5D6E" w:rsidRDefault="00EA5D6E" w:rsidP="00EA5D6E"/>
    <w:p w:rsidR="00EA5D6E" w:rsidRPr="00B20BAC" w:rsidRDefault="00EA5D6E" w:rsidP="00EA5D6E">
      <w:pPr>
        <w:pStyle w:val="Heading1"/>
      </w:pPr>
      <w:r>
        <w:t>Environment</w:t>
      </w:r>
      <w:r w:rsidR="00B7105D">
        <w:t>al</w:t>
      </w:r>
      <w:r>
        <w:t xml:space="preserve"> Law</w:t>
      </w:r>
    </w:p>
    <w:p w:rsidR="00EA5D6E" w:rsidRDefault="00EA5D6E" w:rsidP="00EA5D6E"/>
    <w:p w:rsidR="00B7105D" w:rsidRPr="00992ECF" w:rsidRDefault="00B7105D" w:rsidP="00B7105D">
      <w:pPr>
        <w:pStyle w:val="Heading2"/>
        <w:rPr>
          <w:i w:val="0"/>
        </w:rPr>
      </w:pPr>
      <w:proofErr w:type="spellStart"/>
      <w:r>
        <w:t>Hollyfrontier</w:t>
      </w:r>
      <w:proofErr w:type="spellEnd"/>
      <w:r>
        <w:t xml:space="preserve"> Cheyenne Refining LLC &amp; </w:t>
      </w:r>
      <w:proofErr w:type="spellStart"/>
      <w:r>
        <w:t>Ors</w:t>
      </w:r>
      <w:proofErr w:type="spellEnd"/>
      <w:r>
        <w:t xml:space="preserve"> v Renewable Fuels Association &amp; </w:t>
      </w:r>
      <w:proofErr w:type="spellStart"/>
      <w:r>
        <w:t>Ors</w:t>
      </w:r>
      <w:proofErr w:type="spellEnd"/>
    </w:p>
    <w:p w:rsidR="00B7105D" w:rsidRPr="002F4F7E" w:rsidRDefault="00B7105D" w:rsidP="00B7105D">
      <w:pPr>
        <w:rPr>
          <w:lang w:eastAsia="en-AU"/>
        </w:rPr>
      </w:pPr>
      <w:r>
        <w:rPr>
          <w:b/>
          <w:lang w:eastAsia="en-AU"/>
        </w:rPr>
        <w:t>Supreme Court of the United States</w:t>
      </w:r>
      <w:r w:rsidRPr="002F4F7E">
        <w:rPr>
          <w:b/>
          <w:lang w:eastAsia="en-AU"/>
        </w:rPr>
        <w:t xml:space="preserve">: </w:t>
      </w:r>
      <w:hyperlink r:id="rId39" w:history="1">
        <w:r>
          <w:rPr>
            <w:rStyle w:val="Hyperlink"/>
            <w:lang w:eastAsia="en-AU"/>
          </w:rPr>
          <w:t>Docket No.</w:t>
        </w:r>
        <w:r w:rsidRPr="00381B5C">
          <w:rPr>
            <w:rStyle w:val="Hyperlink"/>
            <w:lang w:eastAsia="en-AU"/>
          </w:rPr>
          <w:t xml:space="preserve"> </w:t>
        </w:r>
        <w:r>
          <w:rPr>
            <w:rStyle w:val="Hyperlink"/>
            <w:lang w:eastAsia="en-AU"/>
          </w:rPr>
          <w:t>20-472</w:t>
        </w:r>
      </w:hyperlink>
    </w:p>
    <w:p w:rsidR="00B7105D" w:rsidRPr="002F4F7E" w:rsidRDefault="00B7105D" w:rsidP="00B7105D">
      <w:pPr>
        <w:rPr>
          <w:lang w:eastAsia="en-AU"/>
        </w:rPr>
      </w:pPr>
    </w:p>
    <w:p w:rsidR="00B7105D" w:rsidRPr="002F4F7E" w:rsidRDefault="00B7105D" w:rsidP="00B7105D">
      <w:pPr>
        <w:rPr>
          <w:lang w:eastAsia="en-AU"/>
        </w:rPr>
      </w:pPr>
      <w:r w:rsidRPr="002F4F7E">
        <w:rPr>
          <w:b/>
          <w:lang w:eastAsia="en-AU"/>
        </w:rPr>
        <w:t>Judgment delivered:</w:t>
      </w:r>
      <w:r>
        <w:rPr>
          <w:lang w:eastAsia="en-AU"/>
        </w:rPr>
        <w:t xml:space="preserve"> 25 June 2021</w:t>
      </w:r>
    </w:p>
    <w:p w:rsidR="00B7105D" w:rsidRPr="002F4F7E" w:rsidRDefault="00B7105D" w:rsidP="00B7105D">
      <w:pPr>
        <w:rPr>
          <w:lang w:eastAsia="en-AU"/>
        </w:rPr>
      </w:pPr>
    </w:p>
    <w:p w:rsidR="00B7105D" w:rsidRDefault="00B7105D" w:rsidP="00B7105D">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B7105D" w:rsidRPr="002F4F7E" w:rsidRDefault="00B7105D" w:rsidP="00B7105D">
      <w:pPr>
        <w:rPr>
          <w:lang w:eastAsia="en-AU"/>
        </w:rPr>
      </w:pPr>
    </w:p>
    <w:p w:rsidR="00B7105D" w:rsidRPr="002F4F7E" w:rsidRDefault="00B7105D" w:rsidP="00B7105D">
      <w:pPr>
        <w:rPr>
          <w:b/>
          <w:lang w:eastAsia="en-AU"/>
        </w:rPr>
      </w:pPr>
      <w:r>
        <w:rPr>
          <w:b/>
          <w:lang w:eastAsia="en-AU"/>
        </w:rPr>
        <w:t>Catchwords:</w:t>
      </w:r>
    </w:p>
    <w:p w:rsidR="00B7105D" w:rsidRPr="00856E9C" w:rsidRDefault="00B7105D" w:rsidP="00B7105D">
      <w:pPr>
        <w:rPr>
          <w:b/>
          <w:highlight w:val="yellow"/>
          <w:lang w:eastAsia="en-AU"/>
        </w:rPr>
      </w:pPr>
    </w:p>
    <w:p w:rsidR="00B7105D" w:rsidRPr="00856E9C" w:rsidRDefault="00B7105D" w:rsidP="00B7105D">
      <w:pPr>
        <w:ind w:left="720"/>
        <w:rPr>
          <w:highlight w:val="yellow"/>
          <w:lang w:eastAsia="en-AU"/>
        </w:rPr>
      </w:pPr>
      <w:r>
        <w:rPr>
          <w:lang w:eastAsia="en-AU"/>
        </w:rPr>
        <w:t xml:space="preserve">Environmental law – Renewable fuel refinery exemption – Extension – Where </w:t>
      </w:r>
      <w:r>
        <w:t>42 USC §7545(o) required most domestic refineries to blend renewable fuels into fuels produced and provided exemption for small refineries until 2011 – Where §7545(o)(9)(A)(ii) allowed Environmental Protection Agency (EPA) to “extend” exemption for at least two years, if renewable fuel requirement would impose disproportionate economic hardship – Where §7545(o)(9)(B)(</w:t>
      </w:r>
      <w:proofErr w:type="spellStart"/>
      <w:r>
        <w:t>i</w:t>
      </w:r>
      <w:proofErr w:type="spellEnd"/>
      <w:r>
        <w:t>) provided small refineries may at any time petitioner for “extension” of exemption for reason of disproportionate economic hardship – Where petitioner small refineries initially received exemption under §7545(o)(9)(A)(ii), saw it lapse, and then later petitioned for exemption  under §7545(o)(9)(B)(</w:t>
      </w:r>
      <w:proofErr w:type="spellStart"/>
      <w:r>
        <w:t>i</w:t>
      </w:r>
      <w:proofErr w:type="spellEnd"/>
      <w:r>
        <w:t xml:space="preserve">) – Where EPA granted </w:t>
      </w:r>
      <w:r w:rsidR="00160A55">
        <w:t>extensions</w:t>
      </w:r>
      <w:r>
        <w:t xml:space="preserve"> and respondent </w:t>
      </w:r>
      <w:r w:rsidR="00160A55">
        <w:t>renewable fuel producers objected – Where Tenth Circuit vacated EPA decision – Whether petitioners eligible for “extension” despite original exemptio</w:t>
      </w:r>
      <w:r w:rsidR="00E16A3B">
        <w:t>n</w:t>
      </w:r>
      <w:r w:rsidR="00160A55">
        <w:t xml:space="preserve"> lapsed. </w:t>
      </w:r>
    </w:p>
    <w:p w:rsidR="00B7105D" w:rsidRDefault="00B7105D" w:rsidP="00B7105D">
      <w:pPr>
        <w:rPr>
          <w:b/>
          <w:lang w:eastAsia="en-AU"/>
        </w:rPr>
      </w:pPr>
    </w:p>
    <w:p w:rsidR="00B7105D" w:rsidRPr="00B7105D" w:rsidRDefault="00B7105D" w:rsidP="00B7105D">
      <w:pPr>
        <w:rPr>
          <w:lang w:eastAsia="en-AU"/>
        </w:rPr>
      </w:pPr>
      <w:r w:rsidRPr="002F4F7E">
        <w:rPr>
          <w:b/>
          <w:lang w:eastAsia="en-AU"/>
        </w:rPr>
        <w:lastRenderedPageBreak/>
        <w:t>Held (</w:t>
      </w:r>
      <w:r>
        <w:rPr>
          <w:b/>
          <w:lang w:eastAsia="en-AU"/>
        </w:rPr>
        <w:t>6:3</w:t>
      </w:r>
      <w:r w:rsidRPr="002F4F7E">
        <w:rPr>
          <w:b/>
          <w:lang w:eastAsia="en-AU"/>
        </w:rPr>
        <w:t xml:space="preserve">): </w:t>
      </w:r>
      <w:r w:rsidRPr="006D2F99">
        <w:rPr>
          <w:lang w:eastAsia="en-AU"/>
        </w:rPr>
        <w:t>Reverse</w:t>
      </w:r>
      <w:r>
        <w:rPr>
          <w:lang w:eastAsia="en-AU"/>
        </w:rPr>
        <w:t xml:space="preserve">d.  </w:t>
      </w:r>
    </w:p>
    <w:p w:rsidR="00B7105D" w:rsidRDefault="00B7105D" w:rsidP="00B7105D">
      <w:pPr>
        <w:pStyle w:val="BullDivider1"/>
        <w:pBdr>
          <w:bottom w:val="dotted" w:sz="4" w:space="0" w:color="auto"/>
        </w:pBdr>
      </w:pPr>
    </w:p>
    <w:p w:rsidR="00B7105D" w:rsidRPr="00B7105D" w:rsidRDefault="00B7105D" w:rsidP="00B7105D">
      <w:pPr>
        <w:rPr>
          <w:lang w:eastAsia="en-AU"/>
        </w:rPr>
      </w:pPr>
    </w:p>
    <w:p w:rsidR="00EA5D6E" w:rsidRPr="00992ECF" w:rsidRDefault="008060C3" w:rsidP="00EA5D6E">
      <w:pPr>
        <w:pStyle w:val="Heading2"/>
        <w:rPr>
          <w:i w:val="0"/>
        </w:rPr>
      </w:pPr>
      <w:r>
        <w:t>Guam v United States</w:t>
      </w:r>
    </w:p>
    <w:p w:rsidR="00EA5D6E" w:rsidRPr="002F4F7E" w:rsidRDefault="00EA5D6E" w:rsidP="00EA5D6E">
      <w:pPr>
        <w:rPr>
          <w:lang w:eastAsia="en-AU"/>
        </w:rPr>
      </w:pPr>
      <w:r>
        <w:rPr>
          <w:b/>
          <w:lang w:eastAsia="en-AU"/>
        </w:rPr>
        <w:t xml:space="preserve">Supreme Court of </w:t>
      </w:r>
      <w:r w:rsidR="008060C3">
        <w:rPr>
          <w:b/>
          <w:lang w:eastAsia="en-AU"/>
        </w:rPr>
        <w:t>the United States</w:t>
      </w:r>
      <w:r w:rsidRPr="002F4F7E">
        <w:rPr>
          <w:b/>
          <w:lang w:eastAsia="en-AU"/>
        </w:rPr>
        <w:t xml:space="preserve">: </w:t>
      </w:r>
      <w:hyperlink r:id="rId40" w:history="1">
        <w:r w:rsidR="00A00246">
          <w:rPr>
            <w:rStyle w:val="Hyperlink"/>
            <w:lang w:eastAsia="en-AU"/>
          </w:rPr>
          <w:t>Docket No.</w:t>
        </w:r>
        <w:r w:rsidR="008060C3" w:rsidRPr="00381B5C">
          <w:rPr>
            <w:rStyle w:val="Hyperlink"/>
            <w:lang w:eastAsia="en-AU"/>
          </w:rPr>
          <w:t xml:space="preserve"> </w:t>
        </w:r>
        <w:r w:rsidR="00381B5C" w:rsidRPr="00381B5C">
          <w:rPr>
            <w:rStyle w:val="Hyperlink"/>
            <w:lang w:eastAsia="en-AU"/>
          </w:rPr>
          <w:t>20-382</w:t>
        </w:r>
      </w:hyperlink>
    </w:p>
    <w:p w:rsidR="00EA5D6E" w:rsidRPr="002F4F7E" w:rsidRDefault="00EA5D6E" w:rsidP="00EA5D6E">
      <w:pPr>
        <w:rPr>
          <w:lang w:eastAsia="en-AU"/>
        </w:rPr>
      </w:pPr>
    </w:p>
    <w:p w:rsidR="00EA5D6E" w:rsidRPr="002F4F7E" w:rsidRDefault="00EA5D6E" w:rsidP="00EA5D6E">
      <w:pPr>
        <w:rPr>
          <w:lang w:eastAsia="en-AU"/>
        </w:rPr>
      </w:pPr>
      <w:r w:rsidRPr="002F4F7E">
        <w:rPr>
          <w:b/>
          <w:lang w:eastAsia="en-AU"/>
        </w:rPr>
        <w:t>Judgment delivered:</w:t>
      </w:r>
      <w:r>
        <w:rPr>
          <w:lang w:eastAsia="en-AU"/>
        </w:rPr>
        <w:t xml:space="preserve"> </w:t>
      </w:r>
      <w:r w:rsidR="00381B5C">
        <w:rPr>
          <w:lang w:eastAsia="en-AU"/>
        </w:rPr>
        <w:t xml:space="preserve">24 May </w:t>
      </w:r>
      <w:r>
        <w:rPr>
          <w:lang w:eastAsia="en-AU"/>
        </w:rPr>
        <w:t>2021</w:t>
      </w:r>
    </w:p>
    <w:p w:rsidR="00EA5D6E" w:rsidRPr="002F4F7E" w:rsidRDefault="00EA5D6E" w:rsidP="00EA5D6E">
      <w:pPr>
        <w:rPr>
          <w:lang w:eastAsia="en-AU"/>
        </w:rPr>
      </w:pPr>
    </w:p>
    <w:p w:rsidR="00EA5D6E" w:rsidRDefault="00EA5D6E" w:rsidP="00EA5D6E">
      <w:pPr>
        <w:rPr>
          <w:lang w:eastAsia="en-AU"/>
        </w:rPr>
      </w:pPr>
      <w:r w:rsidRPr="002F4F7E">
        <w:rPr>
          <w:b/>
          <w:lang w:eastAsia="en-AU"/>
        </w:rPr>
        <w:t>Coram:</w:t>
      </w:r>
      <w:r>
        <w:rPr>
          <w:b/>
          <w:lang w:eastAsia="en-AU"/>
        </w:rPr>
        <w:t xml:space="preserve"> </w:t>
      </w:r>
      <w:r w:rsidR="001E2B94">
        <w:rPr>
          <w:lang w:eastAsia="en-AU"/>
        </w:rPr>
        <w:t xml:space="preserve">Roberts CJ, Thomas, </w:t>
      </w:r>
      <w:proofErr w:type="spellStart"/>
      <w:r w:rsidR="001E2B94">
        <w:rPr>
          <w:lang w:eastAsia="en-AU"/>
        </w:rPr>
        <w:t>Breyer</w:t>
      </w:r>
      <w:proofErr w:type="spellEnd"/>
      <w:r w:rsidR="001E2B94">
        <w:rPr>
          <w:lang w:eastAsia="en-AU"/>
        </w:rPr>
        <w:t xml:space="preserve">, Alito, Sotomayor, </w:t>
      </w:r>
      <w:proofErr w:type="spellStart"/>
      <w:r w:rsidR="001E2B94">
        <w:rPr>
          <w:lang w:eastAsia="en-AU"/>
        </w:rPr>
        <w:t>Kagan</w:t>
      </w:r>
      <w:proofErr w:type="spellEnd"/>
      <w:r w:rsidR="001E2B94">
        <w:rPr>
          <w:lang w:eastAsia="en-AU"/>
        </w:rPr>
        <w:t>, Gorsuch, Kavanaugh and Barrett JJ</w:t>
      </w:r>
    </w:p>
    <w:p w:rsidR="001E2B94" w:rsidRPr="002F4F7E" w:rsidRDefault="001E2B94" w:rsidP="00EA5D6E">
      <w:pPr>
        <w:rPr>
          <w:lang w:eastAsia="en-AU"/>
        </w:rPr>
      </w:pPr>
    </w:p>
    <w:p w:rsidR="00EA5D6E" w:rsidRPr="002F4F7E" w:rsidRDefault="00EA5D6E" w:rsidP="00EA5D6E">
      <w:pPr>
        <w:rPr>
          <w:b/>
          <w:lang w:eastAsia="en-AU"/>
        </w:rPr>
      </w:pPr>
      <w:r>
        <w:rPr>
          <w:b/>
          <w:lang w:eastAsia="en-AU"/>
        </w:rPr>
        <w:t>Catchwords:</w:t>
      </w:r>
    </w:p>
    <w:p w:rsidR="00EA5D6E" w:rsidRPr="00856E9C" w:rsidRDefault="00EA5D6E" w:rsidP="00EA5D6E">
      <w:pPr>
        <w:rPr>
          <w:b/>
          <w:highlight w:val="yellow"/>
          <w:lang w:eastAsia="en-AU"/>
        </w:rPr>
      </w:pPr>
    </w:p>
    <w:p w:rsidR="00EA5D6E" w:rsidRPr="006D47BC" w:rsidRDefault="006D47BC" w:rsidP="00EA5D6E">
      <w:pPr>
        <w:ind w:left="720"/>
        <w:rPr>
          <w:lang w:eastAsia="en-AU"/>
        </w:rPr>
      </w:pPr>
      <w:r>
        <w:rPr>
          <w:lang w:eastAsia="en-AU"/>
        </w:rPr>
        <w:t>Environment</w:t>
      </w:r>
      <w:r w:rsidR="00B7105D">
        <w:rPr>
          <w:lang w:eastAsia="en-AU"/>
        </w:rPr>
        <w:t>al</w:t>
      </w:r>
      <w:r>
        <w:rPr>
          <w:lang w:eastAsia="en-AU"/>
        </w:rPr>
        <w:t xml:space="preserve"> law – </w:t>
      </w:r>
      <w:r w:rsidR="00B7105D">
        <w:rPr>
          <w:lang w:eastAsia="en-AU"/>
        </w:rPr>
        <w:t xml:space="preserve">Compliance – Contribution and cost-recovery – </w:t>
      </w:r>
      <w:r>
        <w:rPr>
          <w:lang w:eastAsia="en-AU"/>
        </w:rPr>
        <w:t xml:space="preserve">Where, in 2004, Guam and Environmental Protection Agency (EPA) entered into consent decree that resolved litigation filed by EPA alleging violations of </w:t>
      </w:r>
      <w:r>
        <w:rPr>
          <w:i/>
          <w:lang w:eastAsia="en-AU"/>
        </w:rPr>
        <w:t xml:space="preserve">Clean Water Act </w:t>
      </w:r>
      <w:r>
        <w:rPr>
          <w:lang w:eastAsia="en-AU"/>
        </w:rPr>
        <w:t xml:space="preserve">by </w:t>
      </w:r>
      <w:r w:rsidR="007C3EBD">
        <w:rPr>
          <w:lang w:eastAsia="en-AU"/>
        </w:rPr>
        <w:t>Guam</w:t>
      </w:r>
      <w:r>
        <w:rPr>
          <w:lang w:eastAsia="en-AU"/>
        </w:rPr>
        <w:t xml:space="preserve"> in respect of </w:t>
      </w:r>
      <w:proofErr w:type="spellStart"/>
      <w:r>
        <w:rPr>
          <w:lang w:eastAsia="en-AU"/>
        </w:rPr>
        <w:t>Ordot</w:t>
      </w:r>
      <w:proofErr w:type="spellEnd"/>
      <w:r>
        <w:rPr>
          <w:lang w:eastAsia="en-AU"/>
        </w:rPr>
        <w:t xml:space="preserve"> Dump – Where </w:t>
      </w:r>
      <w:r w:rsidR="00217F3A">
        <w:rPr>
          <w:lang w:eastAsia="en-AU"/>
        </w:rPr>
        <w:t xml:space="preserve">consent </w:t>
      </w:r>
      <w:r>
        <w:rPr>
          <w:lang w:eastAsia="en-AU"/>
        </w:rPr>
        <w:t xml:space="preserve">decree required Guam to pay civil penalty and take certain actions, and stated compliance would constitute full settlement and satisfaction of </w:t>
      </w:r>
      <w:r>
        <w:rPr>
          <w:i/>
          <w:lang w:eastAsia="en-AU"/>
        </w:rPr>
        <w:t xml:space="preserve">Clean Water Act </w:t>
      </w:r>
      <w:r>
        <w:rPr>
          <w:lang w:eastAsia="en-AU"/>
        </w:rPr>
        <w:t>claim – Where, in 2017, Guam sued United States</w:t>
      </w:r>
      <w:r w:rsidR="00DC4D7A">
        <w:rPr>
          <w:lang w:eastAsia="en-AU"/>
        </w:rPr>
        <w:t xml:space="preserve"> </w:t>
      </w:r>
      <w:r w:rsidR="009B3C0E">
        <w:rPr>
          <w:lang w:eastAsia="en-AU"/>
        </w:rPr>
        <w:t xml:space="preserve">to recover costs of compliance from United States </w:t>
      </w:r>
      <w:r w:rsidR="00DC4D7A">
        <w:rPr>
          <w:lang w:eastAsia="en-AU"/>
        </w:rPr>
        <w:t xml:space="preserve">for its use of </w:t>
      </w:r>
      <w:proofErr w:type="spellStart"/>
      <w:r w:rsidR="00DC4D7A">
        <w:rPr>
          <w:lang w:eastAsia="en-AU"/>
        </w:rPr>
        <w:t>Ordot</w:t>
      </w:r>
      <w:proofErr w:type="spellEnd"/>
      <w:r w:rsidR="00DC4D7A">
        <w:rPr>
          <w:lang w:eastAsia="en-AU"/>
        </w:rPr>
        <w:t xml:space="preserve"> Dump, claiming “cost-recovery” pursuant to </w:t>
      </w:r>
      <w:r w:rsidR="00DC4D7A">
        <w:t xml:space="preserve">§107(a) of </w:t>
      </w:r>
      <w:r w:rsidR="00DC4D7A">
        <w:rPr>
          <w:i/>
        </w:rPr>
        <w:t xml:space="preserve">Comprehensive Environmental Response, Compensation and Liability Act of 1980 </w:t>
      </w:r>
      <w:r w:rsidR="00DC4D7A">
        <w:t>(CERCLA)</w:t>
      </w:r>
      <w:r w:rsidR="00DC4D7A">
        <w:rPr>
          <w:lang w:eastAsia="en-AU"/>
        </w:rPr>
        <w:t xml:space="preserve"> and “contribution” </w:t>
      </w:r>
      <w:r w:rsidR="009B3C0E">
        <w:rPr>
          <w:lang w:eastAsia="en-AU"/>
        </w:rPr>
        <w:t xml:space="preserve">pursuant to </w:t>
      </w:r>
      <w:r w:rsidR="009B3C0E">
        <w:t>§113(f) of CERCLA – Where DC Circuit rejected contribution claim because time-barred and rejected cost-recovery claim because party eligible for contribution claim cannot assert cost-recovery claim – Where</w:t>
      </w:r>
      <w:r w:rsidR="00C5326F">
        <w:t>, in Supreme Court,</w:t>
      </w:r>
      <w:r w:rsidR="009B3C0E">
        <w:t xml:space="preserve"> </w:t>
      </w:r>
      <w:r w:rsidR="00C5326F">
        <w:t>Guam now contends that it was never eligible for contribution claim – Whether 2004 consent decree gave rise to contribution claim</w:t>
      </w:r>
      <w:r w:rsidR="005E5D9C">
        <w:t xml:space="preserve"> </w:t>
      </w:r>
      <w:r w:rsidR="00C5326F">
        <w:t>– Whe</w:t>
      </w:r>
      <w:r w:rsidR="005E5D9C">
        <w:t xml:space="preserve">ther Guam entitled to cost-recovery claim. </w:t>
      </w:r>
    </w:p>
    <w:p w:rsidR="006D47BC" w:rsidRPr="00856E9C" w:rsidRDefault="006D47BC" w:rsidP="00EA5D6E">
      <w:pPr>
        <w:ind w:left="720"/>
        <w:rPr>
          <w:highlight w:val="yellow"/>
          <w:lang w:eastAsia="en-AU"/>
        </w:rPr>
      </w:pPr>
    </w:p>
    <w:p w:rsidR="00EA5D6E" w:rsidRDefault="00EA5D6E" w:rsidP="00EA5D6E">
      <w:pPr>
        <w:rPr>
          <w:lang w:eastAsia="en-AU"/>
        </w:rPr>
      </w:pPr>
      <w:r w:rsidRPr="002F4F7E">
        <w:rPr>
          <w:b/>
          <w:lang w:eastAsia="en-AU"/>
        </w:rPr>
        <w:t>Held (</w:t>
      </w:r>
      <w:r>
        <w:rPr>
          <w:b/>
          <w:lang w:eastAsia="en-AU"/>
        </w:rPr>
        <w:t>9:0</w:t>
      </w:r>
      <w:r w:rsidRPr="002F4F7E">
        <w:rPr>
          <w:b/>
          <w:lang w:eastAsia="en-AU"/>
        </w:rPr>
        <w:t xml:space="preserve">): </w:t>
      </w:r>
      <w:r w:rsidR="001E2B94" w:rsidRPr="006D2F99">
        <w:rPr>
          <w:lang w:eastAsia="en-AU"/>
        </w:rPr>
        <w:t>Reverse</w:t>
      </w:r>
      <w:r w:rsidR="001E2B94">
        <w:rPr>
          <w:lang w:eastAsia="en-AU"/>
        </w:rPr>
        <w:t xml:space="preserve">d and remanded. </w:t>
      </w:r>
      <w:r>
        <w:rPr>
          <w:lang w:eastAsia="en-AU"/>
        </w:rPr>
        <w:t xml:space="preserve"> </w:t>
      </w:r>
    </w:p>
    <w:p w:rsidR="00EA5D6E" w:rsidRDefault="00EA5D6E" w:rsidP="00EA5D6E">
      <w:pPr>
        <w:pStyle w:val="BullDivider2"/>
        <w:rPr>
          <w:rFonts w:cs="Arial"/>
          <w:highlight w:val="yellow"/>
        </w:rPr>
      </w:pPr>
    </w:p>
    <w:p w:rsidR="00BF673D" w:rsidRDefault="00BF673D" w:rsidP="00BF673D"/>
    <w:p w:rsidR="00BF673D" w:rsidRPr="00B20BAC" w:rsidRDefault="00BF673D" w:rsidP="00BF673D">
      <w:pPr>
        <w:pStyle w:val="Heading1"/>
      </w:pPr>
      <w:r>
        <w:t>Family Law</w:t>
      </w:r>
    </w:p>
    <w:p w:rsidR="00BF673D" w:rsidRDefault="00BF673D" w:rsidP="00BF673D"/>
    <w:p w:rsidR="00BF673D" w:rsidRPr="00992ECF" w:rsidRDefault="00BF673D" w:rsidP="00BF673D">
      <w:pPr>
        <w:pStyle w:val="Heading2"/>
        <w:rPr>
          <w:i w:val="0"/>
        </w:rPr>
      </w:pPr>
      <w:r>
        <w:t>Colucci v Colucci</w:t>
      </w:r>
    </w:p>
    <w:p w:rsidR="00BF673D" w:rsidRPr="002F4F7E" w:rsidRDefault="00BF673D" w:rsidP="00BF673D">
      <w:pPr>
        <w:rPr>
          <w:lang w:eastAsia="en-AU"/>
        </w:rPr>
      </w:pPr>
      <w:r>
        <w:rPr>
          <w:b/>
          <w:lang w:eastAsia="en-AU"/>
        </w:rPr>
        <w:t>Supreme Court of Canada</w:t>
      </w:r>
      <w:r w:rsidRPr="002F4F7E">
        <w:rPr>
          <w:b/>
          <w:lang w:eastAsia="en-AU"/>
        </w:rPr>
        <w:t xml:space="preserve">: </w:t>
      </w:r>
      <w:hyperlink r:id="rId41" w:history="1">
        <w:r w:rsidRPr="00400757">
          <w:rPr>
            <w:rStyle w:val="Hyperlink"/>
            <w:lang w:eastAsia="en-AU"/>
          </w:rPr>
          <w:t xml:space="preserve">[2021] SCC </w:t>
        </w:r>
        <w:r>
          <w:rPr>
            <w:rStyle w:val="Hyperlink"/>
            <w:lang w:eastAsia="en-AU"/>
          </w:rPr>
          <w:t>24</w:t>
        </w:r>
      </w:hyperlink>
    </w:p>
    <w:p w:rsidR="00BF673D" w:rsidRPr="002F4F7E" w:rsidRDefault="00BF673D" w:rsidP="00BF673D">
      <w:pPr>
        <w:rPr>
          <w:lang w:eastAsia="en-AU"/>
        </w:rPr>
      </w:pPr>
    </w:p>
    <w:p w:rsidR="00BF673D" w:rsidRPr="002F4F7E" w:rsidRDefault="00BF673D" w:rsidP="00BF673D">
      <w:pPr>
        <w:rPr>
          <w:lang w:eastAsia="en-AU"/>
        </w:rPr>
      </w:pPr>
      <w:r w:rsidRPr="002F4F7E">
        <w:rPr>
          <w:b/>
          <w:lang w:eastAsia="en-AU"/>
        </w:rPr>
        <w:t>Judgment delivered:</w:t>
      </w:r>
      <w:r>
        <w:rPr>
          <w:lang w:eastAsia="en-AU"/>
        </w:rPr>
        <w:t xml:space="preserve"> 4 June 2021</w:t>
      </w:r>
    </w:p>
    <w:p w:rsidR="00BF673D" w:rsidRPr="002F4F7E" w:rsidRDefault="00BF673D" w:rsidP="00BF673D">
      <w:pPr>
        <w:rPr>
          <w:lang w:eastAsia="en-AU"/>
        </w:rPr>
      </w:pPr>
    </w:p>
    <w:p w:rsidR="00BF673D" w:rsidRPr="002F4F7E" w:rsidRDefault="00BF673D" w:rsidP="00BF673D">
      <w:pPr>
        <w:rPr>
          <w:lang w:eastAsia="en-AU"/>
        </w:rPr>
      </w:pPr>
      <w:r w:rsidRPr="002F4F7E">
        <w:rPr>
          <w:b/>
          <w:lang w:eastAsia="en-AU"/>
        </w:rPr>
        <w:t>Coram:</w:t>
      </w:r>
      <w:r>
        <w:rPr>
          <w:b/>
          <w:lang w:eastAsia="en-AU"/>
        </w:rPr>
        <w:t xml:space="preserve"> </w:t>
      </w:r>
      <w:r>
        <w:rPr>
          <w:lang w:eastAsia="en-AU"/>
        </w:rPr>
        <w:t xml:space="preserve">Wagner CJ, </w:t>
      </w:r>
      <w:proofErr w:type="spellStart"/>
      <w:r>
        <w:rPr>
          <w:lang w:eastAsia="en-AU"/>
        </w:rPr>
        <w:t>Abella</w:t>
      </w:r>
      <w:proofErr w:type="spellEnd"/>
      <w:r>
        <w:rPr>
          <w:lang w:eastAsia="en-AU"/>
        </w:rPr>
        <w:t xml:space="preserve">, </w:t>
      </w:r>
      <w:proofErr w:type="spellStart"/>
      <w:r>
        <w:rPr>
          <w:lang w:eastAsia="en-AU"/>
        </w:rPr>
        <w:t>Moldaver</w:t>
      </w:r>
      <w:proofErr w:type="spellEnd"/>
      <w:r>
        <w:rPr>
          <w:lang w:eastAsia="en-AU"/>
        </w:rPr>
        <w:t xml:space="preserve">, Karakatsanis, </w:t>
      </w:r>
      <w:proofErr w:type="spellStart"/>
      <w:r w:rsidRPr="00400757">
        <w:rPr>
          <w:lang w:eastAsia="en-AU"/>
        </w:rPr>
        <w:t>Côté</w:t>
      </w:r>
      <w:proofErr w:type="spellEnd"/>
      <w:r>
        <w:rPr>
          <w:lang w:eastAsia="en-AU"/>
        </w:rPr>
        <w:t xml:space="preserve">, Brown, Rowe, Martin and </w:t>
      </w:r>
      <w:proofErr w:type="spellStart"/>
      <w:r>
        <w:rPr>
          <w:lang w:eastAsia="en-AU"/>
        </w:rPr>
        <w:t>Kasirer</w:t>
      </w:r>
      <w:proofErr w:type="spellEnd"/>
      <w:r>
        <w:rPr>
          <w:lang w:eastAsia="en-AU"/>
        </w:rPr>
        <w:t xml:space="preserve"> JJ</w:t>
      </w:r>
    </w:p>
    <w:p w:rsidR="00BF673D" w:rsidRPr="002F4F7E" w:rsidRDefault="00BF673D" w:rsidP="00BF673D">
      <w:pPr>
        <w:rPr>
          <w:lang w:eastAsia="en-AU"/>
        </w:rPr>
      </w:pPr>
    </w:p>
    <w:p w:rsidR="00BF673D" w:rsidRPr="002F4F7E" w:rsidRDefault="00BF673D" w:rsidP="00BF673D">
      <w:pPr>
        <w:rPr>
          <w:b/>
          <w:lang w:eastAsia="en-AU"/>
        </w:rPr>
      </w:pPr>
      <w:r>
        <w:rPr>
          <w:b/>
          <w:lang w:eastAsia="en-AU"/>
        </w:rPr>
        <w:t>Catchwords:</w:t>
      </w:r>
    </w:p>
    <w:p w:rsidR="00BF673D" w:rsidRPr="00856E9C" w:rsidRDefault="00BF673D" w:rsidP="00BF673D">
      <w:pPr>
        <w:rPr>
          <w:b/>
          <w:highlight w:val="yellow"/>
          <w:lang w:eastAsia="en-AU"/>
        </w:rPr>
      </w:pPr>
    </w:p>
    <w:p w:rsidR="00BF673D" w:rsidRDefault="00BF673D" w:rsidP="00BF673D">
      <w:pPr>
        <w:ind w:left="720"/>
        <w:rPr>
          <w:lang w:eastAsia="en-AU"/>
        </w:rPr>
      </w:pPr>
      <w:r w:rsidRPr="00BF673D">
        <w:rPr>
          <w:lang w:eastAsia="en-AU"/>
        </w:rPr>
        <w:t xml:space="preserve">Family law — Support — Child support — Retroactive decrease — Rescission of arrears — </w:t>
      </w:r>
      <w:r>
        <w:rPr>
          <w:lang w:eastAsia="en-AU"/>
        </w:rPr>
        <w:t>Where f</w:t>
      </w:r>
      <w:r w:rsidRPr="00BF673D">
        <w:rPr>
          <w:lang w:eastAsia="en-AU"/>
        </w:rPr>
        <w:t>ather ow</w:t>
      </w:r>
      <w:r>
        <w:rPr>
          <w:lang w:eastAsia="en-AU"/>
        </w:rPr>
        <w:t>ed</w:t>
      </w:r>
      <w:r w:rsidRPr="00BF673D">
        <w:rPr>
          <w:lang w:eastAsia="en-AU"/>
        </w:rPr>
        <w:t xml:space="preserve"> $170,000 in child support arrears and s</w:t>
      </w:r>
      <w:r>
        <w:rPr>
          <w:lang w:eastAsia="en-AU"/>
        </w:rPr>
        <w:t>ought</w:t>
      </w:r>
      <w:r w:rsidRPr="00BF673D">
        <w:rPr>
          <w:lang w:eastAsia="en-AU"/>
        </w:rPr>
        <w:t xml:space="preserve"> retroactive decrease in child support and rescission of arrears — </w:t>
      </w:r>
      <w:r>
        <w:rPr>
          <w:lang w:eastAsia="en-AU"/>
        </w:rPr>
        <w:t>Where f</w:t>
      </w:r>
      <w:r w:rsidRPr="00BF673D">
        <w:rPr>
          <w:lang w:eastAsia="en-AU"/>
        </w:rPr>
        <w:t xml:space="preserve">ramework governing applications by payor parent to </w:t>
      </w:r>
      <w:r w:rsidRPr="00BF673D">
        <w:rPr>
          <w:lang w:eastAsia="en-AU"/>
        </w:rPr>
        <w:lastRenderedPageBreak/>
        <w:t xml:space="preserve">retroactively decrease child support based on material change in circumstances — </w:t>
      </w:r>
      <w:r>
        <w:rPr>
          <w:lang w:eastAsia="en-AU"/>
        </w:rPr>
        <w:t>Where f</w:t>
      </w:r>
      <w:r w:rsidRPr="00BF673D">
        <w:rPr>
          <w:lang w:eastAsia="en-AU"/>
        </w:rPr>
        <w:t xml:space="preserve">ramework governing applications by payor parent for rescission of child support arrears based on current and ongoing inability to pay — </w:t>
      </w:r>
      <w:r w:rsidRPr="00BF673D">
        <w:rPr>
          <w:i/>
          <w:lang w:eastAsia="en-AU"/>
        </w:rPr>
        <w:t>Divorce Act</w:t>
      </w:r>
      <w:r w:rsidRPr="00BF673D">
        <w:rPr>
          <w:lang w:eastAsia="en-AU"/>
        </w:rPr>
        <w:t>, RS</w:t>
      </w:r>
      <w:r>
        <w:rPr>
          <w:lang w:eastAsia="en-AU"/>
        </w:rPr>
        <w:t>C</w:t>
      </w:r>
      <w:r w:rsidRPr="00BF673D">
        <w:rPr>
          <w:lang w:eastAsia="en-AU"/>
        </w:rPr>
        <w:t xml:space="preserve"> 1985, c 3 (2nd Supp), s 17</w:t>
      </w:r>
      <w:r>
        <w:rPr>
          <w:lang w:eastAsia="en-AU"/>
        </w:rPr>
        <w:t>.</w:t>
      </w:r>
    </w:p>
    <w:p w:rsidR="00BF673D" w:rsidRPr="00856E9C" w:rsidRDefault="00BF673D" w:rsidP="00BF673D">
      <w:pPr>
        <w:ind w:left="720"/>
        <w:rPr>
          <w:highlight w:val="yellow"/>
          <w:lang w:eastAsia="en-AU"/>
        </w:rPr>
      </w:pPr>
    </w:p>
    <w:p w:rsidR="00BF673D" w:rsidRDefault="00BF673D" w:rsidP="00BF673D">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Appeal dismissed. </w:t>
      </w:r>
    </w:p>
    <w:p w:rsidR="009960F6" w:rsidRDefault="009960F6" w:rsidP="009960F6">
      <w:pPr>
        <w:pStyle w:val="BullDivider2"/>
        <w:rPr>
          <w:rFonts w:cs="Arial"/>
          <w:highlight w:val="yellow"/>
        </w:rPr>
      </w:pPr>
    </w:p>
    <w:p w:rsidR="00E040A6" w:rsidRDefault="00E040A6" w:rsidP="00E040A6"/>
    <w:p w:rsidR="00E040A6" w:rsidRPr="00B20BAC" w:rsidRDefault="00587DDD" w:rsidP="00E040A6">
      <w:pPr>
        <w:pStyle w:val="Heading1"/>
      </w:pPr>
      <w:r>
        <w:t>Immigration</w:t>
      </w:r>
    </w:p>
    <w:p w:rsidR="0011644F" w:rsidRDefault="0011644F" w:rsidP="0011644F"/>
    <w:p w:rsidR="001C44B5" w:rsidRPr="00992ECF" w:rsidRDefault="000003B4" w:rsidP="001C44B5">
      <w:pPr>
        <w:pStyle w:val="Heading2"/>
        <w:rPr>
          <w:i w:val="0"/>
        </w:rPr>
      </w:pPr>
      <w:r>
        <w:t xml:space="preserve">Johnson &amp; </w:t>
      </w:r>
      <w:proofErr w:type="spellStart"/>
      <w:r>
        <w:t>Ors</w:t>
      </w:r>
      <w:proofErr w:type="spellEnd"/>
      <w:r>
        <w:t xml:space="preserve"> v Guzman Chavez &amp; </w:t>
      </w:r>
      <w:proofErr w:type="spellStart"/>
      <w:r>
        <w:t>Ors</w:t>
      </w:r>
      <w:proofErr w:type="spellEnd"/>
    </w:p>
    <w:p w:rsidR="001C44B5" w:rsidRPr="002F4F7E" w:rsidRDefault="001C44B5" w:rsidP="001C44B5">
      <w:pPr>
        <w:rPr>
          <w:lang w:eastAsia="en-AU"/>
        </w:rPr>
      </w:pPr>
      <w:r>
        <w:rPr>
          <w:b/>
          <w:lang w:eastAsia="en-AU"/>
        </w:rPr>
        <w:t>Supreme Court of the United States</w:t>
      </w:r>
      <w:r w:rsidRPr="002F4F7E">
        <w:rPr>
          <w:b/>
          <w:lang w:eastAsia="en-AU"/>
        </w:rPr>
        <w:t xml:space="preserve">: </w:t>
      </w:r>
      <w:hyperlink r:id="rId42" w:history="1">
        <w:r>
          <w:rPr>
            <w:rStyle w:val="Hyperlink"/>
            <w:lang w:eastAsia="en-AU"/>
          </w:rPr>
          <w:t>Docket No.</w:t>
        </w:r>
        <w:r w:rsidRPr="0011644F">
          <w:rPr>
            <w:rStyle w:val="Hyperlink"/>
            <w:lang w:eastAsia="en-AU"/>
          </w:rPr>
          <w:t xml:space="preserve"> </w:t>
        </w:r>
        <w:r w:rsidR="000003B4">
          <w:rPr>
            <w:rStyle w:val="Hyperlink"/>
            <w:lang w:eastAsia="en-AU"/>
          </w:rPr>
          <w:t>19-897</w:t>
        </w:r>
      </w:hyperlink>
    </w:p>
    <w:p w:rsidR="001C44B5" w:rsidRPr="002F4F7E" w:rsidRDefault="001C44B5" w:rsidP="001C44B5">
      <w:pPr>
        <w:rPr>
          <w:lang w:eastAsia="en-AU"/>
        </w:rPr>
      </w:pPr>
    </w:p>
    <w:p w:rsidR="001C44B5" w:rsidRPr="002F4F7E" w:rsidRDefault="001C44B5" w:rsidP="001C44B5">
      <w:pPr>
        <w:rPr>
          <w:lang w:eastAsia="en-AU"/>
        </w:rPr>
      </w:pPr>
      <w:r w:rsidRPr="002F4F7E">
        <w:rPr>
          <w:b/>
          <w:lang w:eastAsia="en-AU"/>
        </w:rPr>
        <w:t>Judgment delivered:</w:t>
      </w:r>
      <w:r>
        <w:rPr>
          <w:lang w:eastAsia="en-AU"/>
        </w:rPr>
        <w:t xml:space="preserve"> </w:t>
      </w:r>
      <w:r w:rsidR="00DA09F4">
        <w:rPr>
          <w:lang w:eastAsia="en-AU"/>
        </w:rPr>
        <w:t>29</w:t>
      </w:r>
      <w:r>
        <w:rPr>
          <w:lang w:eastAsia="en-AU"/>
        </w:rPr>
        <w:t xml:space="preserve"> June 2021</w:t>
      </w:r>
    </w:p>
    <w:p w:rsidR="001C44B5" w:rsidRPr="002F4F7E" w:rsidRDefault="001C44B5" w:rsidP="001C44B5">
      <w:pPr>
        <w:rPr>
          <w:lang w:eastAsia="en-AU"/>
        </w:rPr>
      </w:pPr>
    </w:p>
    <w:p w:rsidR="001C44B5" w:rsidRPr="002F4F7E" w:rsidRDefault="001C44B5" w:rsidP="001C44B5">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1C44B5" w:rsidRPr="002F4F7E" w:rsidRDefault="001C44B5" w:rsidP="001C44B5">
      <w:pPr>
        <w:rPr>
          <w:lang w:eastAsia="en-AU"/>
        </w:rPr>
      </w:pPr>
    </w:p>
    <w:p w:rsidR="001C44B5" w:rsidRPr="002F4F7E" w:rsidRDefault="001C44B5" w:rsidP="001C44B5">
      <w:pPr>
        <w:rPr>
          <w:b/>
          <w:lang w:eastAsia="en-AU"/>
        </w:rPr>
      </w:pPr>
      <w:r>
        <w:rPr>
          <w:b/>
          <w:lang w:eastAsia="en-AU"/>
        </w:rPr>
        <w:t>Catchwords:</w:t>
      </w:r>
    </w:p>
    <w:p w:rsidR="001C44B5" w:rsidRPr="00856E9C" w:rsidRDefault="001C44B5" w:rsidP="001C44B5">
      <w:pPr>
        <w:rPr>
          <w:b/>
          <w:highlight w:val="yellow"/>
          <w:lang w:eastAsia="en-AU"/>
        </w:rPr>
      </w:pPr>
    </w:p>
    <w:p w:rsidR="001C44B5" w:rsidRPr="00645051" w:rsidRDefault="001C44B5" w:rsidP="001C44B5">
      <w:pPr>
        <w:ind w:left="720"/>
        <w:rPr>
          <w:lang w:eastAsia="en-AU"/>
        </w:rPr>
      </w:pPr>
      <w:r>
        <w:rPr>
          <w:lang w:eastAsia="en-AU"/>
        </w:rPr>
        <w:t xml:space="preserve">Immigration – </w:t>
      </w:r>
      <w:r w:rsidR="004A07F8">
        <w:rPr>
          <w:lang w:eastAsia="en-AU"/>
        </w:rPr>
        <w:t xml:space="preserve">Removal of aliens – Immigration detention – Where 8 USC </w:t>
      </w:r>
      <w:r w:rsidR="004A07F8">
        <w:t>§1226 provided Department of Homeland Security may detain alien pending decision on whether alien to be removed from United States – Where alien detained under §1226 may apply for release on bond or  conditional parole – Where, if alien ordered removed, detention becomes mandatory until removal – Where §1231 provided if alien removed under that process and re-enters US without authorisation, that person faces reinstatement of prior removal order – Where respondents aliens removed and re-entered without authorisation</w:t>
      </w:r>
      <w:r w:rsidR="001B7401">
        <w:t xml:space="preserve"> – Where Department reinstated removal orders and</w:t>
      </w:r>
      <w:r w:rsidR="004A07F8">
        <w:t xml:space="preserve"> detained </w:t>
      </w:r>
      <w:r w:rsidR="001B7401">
        <w:t>respondents</w:t>
      </w:r>
      <w:r w:rsidR="004A07F8">
        <w:t xml:space="preserve"> – Where respondents sought release on bond – Where petitioner refused to release respondents on basis respondents detained under §1231 not §1226 – Where respondents sought writs of habeas corpus – Where District Court entered summary judgment for respondents and Fourth Circuit affirmed – Whether §1231</w:t>
      </w:r>
      <w:r w:rsidR="001B7401">
        <w:t xml:space="preserve"> or §1226 </w:t>
      </w:r>
      <w:r w:rsidR="004A07F8">
        <w:t xml:space="preserve"> governs detention of aliens subject to reinstated orders of removal</w:t>
      </w:r>
      <w:r w:rsidR="00962406">
        <w:t xml:space="preserve"> </w:t>
      </w:r>
      <w:r w:rsidR="004A07F8">
        <w:t xml:space="preserve">– Whether respondents entitled to release on bond. </w:t>
      </w:r>
    </w:p>
    <w:p w:rsidR="001C44B5" w:rsidRPr="00856E9C" w:rsidRDefault="001C44B5" w:rsidP="001C44B5">
      <w:pPr>
        <w:ind w:left="720"/>
        <w:rPr>
          <w:highlight w:val="yellow"/>
          <w:lang w:eastAsia="en-AU"/>
        </w:rPr>
      </w:pPr>
    </w:p>
    <w:p w:rsidR="001C44B5" w:rsidRDefault="001C44B5" w:rsidP="001C44B5">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Reversed. </w:t>
      </w:r>
    </w:p>
    <w:p w:rsidR="001C44B5" w:rsidRDefault="001C44B5" w:rsidP="001C44B5">
      <w:pPr>
        <w:pStyle w:val="BullDivider1"/>
        <w:pBdr>
          <w:bottom w:val="dotted" w:sz="4" w:space="0" w:color="auto"/>
        </w:pBdr>
      </w:pPr>
    </w:p>
    <w:p w:rsidR="001C44B5" w:rsidRDefault="001C44B5" w:rsidP="001C44B5"/>
    <w:p w:rsidR="0011644F" w:rsidRPr="00992ECF" w:rsidRDefault="0011644F" w:rsidP="0011644F">
      <w:pPr>
        <w:pStyle w:val="Heading2"/>
        <w:rPr>
          <w:i w:val="0"/>
        </w:rPr>
      </w:pPr>
      <w:r>
        <w:t xml:space="preserve">Sanchez </w:t>
      </w:r>
      <w:r w:rsidR="002D309D">
        <w:t>&amp; Anor</w:t>
      </w:r>
      <w:r>
        <w:t xml:space="preserve"> v Mayorkas</w:t>
      </w:r>
    </w:p>
    <w:p w:rsidR="0011644F" w:rsidRPr="002F4F7E" w:rsidRDefault="0011644F" w:rsidP="0011644F">
      <w:pPr>
        <w:rPr>
          <w:lang w:eastAsia="en-AU"/>
        </w:rPr>
      </w:pPr>
      <w:r>
        <w:rPr>
          <w:b/>
          <w:lang w:eastAsia="en-AU"/>
        </w:rPr>
        <w:t>Supreme Court of the United States</w:t>
      </w:r>
      <w:r w:rsidRPr="002F4F7E">
        <w:rPr>
          <w:b/>
          <w:lang w:eastAsia="en-AU"/>
        </w:rPr>
        <w:t xml:space="preserve">: </w:t>
      </w:r>
      <w:hyperlink r:id="rId43" w:history="1">
        <w:r w:rsidR="00A00246">
          <w:rPr>
            <w:rStyle w:val="Hyperlink"/>
            <w:lang w:eastAsia="en-AU"/>
          </w:rPr>
          <w:t>Docket No.</w:t>
        </w:r>
        <w:r w:rsidRPr="0011644F">
          <w:rPr>
            <w:rStyle w:val="Hyperlink"/>
            <w:lang w:eastAsia="en-AU"/>
          </w:rPr>
          <w:t xml:space="preserve"> 20-315</w:t>
        </w:r>
      </w:hyperlink>
    </w:p>
    <w:p w:rsidR="0011644F" w:rsidRPr="002F4F7E" w:rsidRDefault="0011644F" w:rsidP="0011644F">
      <w:pPr>
        <w:rPr>
          <w:lang w:eastAsia="en-AU"/>
        </w:rPr>
      </w:pPr>
    </w:p>
    <w:p w:rsidR="0011644F" w:rsidRPr="002F4F7E" w:rsidRDefault="0011644F" w:rsidP="0011644F">
      <w:pPr>
        <w:rPr>
          <w:lang w:eastAsia="en-AU"/>
        </w:rPr>
      </w:pPr>
      <w:r w:rsidRPr="002F4F7E">
        <w:rPr>
          <w:b/>
          <w:lang w:eastAsia="en-AU"/>
        </w:rPr>
        <w:t>Judgment delivered:</w:t>
      </w:r>
      <w:r>
        <w:rPr>
          <w:lang w:eastAsia="en-AU"/>
        </w:rPr>
        <w:t xml:space="preserve"> 7 June 2021</w:t>
      </w:r>
    </w:p>
    <w:p w:rsidR="0011644F" w:rsidRPr="002F4F7E" w:rsidRDefault="0011644F" w:rsidP="0011644F">
      <w:pPr>
        <w:rPr>
          <w:lang w:eastAsia="en-AU"/>
        </w:rPr>
      </w:pPr>
    </w:p>
    <w:p w:rsidR="0011644F" w:rsidRPr="002F4F7E" w:rsidRDefault="0011644F" w:rsidP="0011644F">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11644F" w:rsidRPr="002F4F7E" w:rsidRDefault="0011644F" w:rsidP="0011644F">
      <w:pPr>
        <w:rPr>
          <w:lang w:eastAsia="en-AU"/>
        </w:rPr>
      </w:pPr>
    </w:p>
    <w:p w:rsidR="0011644F" w:rsidRPr="002F4F7E" w:rsidRDefault="0011644F" w:rsidP="0011644F">
      <w:pPr>
        <w:rPr>
          <w:b/>
          <w:lang w:eastAsia="en-AU"/>
        </w:rPr>
      </w:pPr>
      <w:r>
        <w:rPr>
          <w:b/>
          <w:lang w:eastAsia="en-AU"/>
        </w:rPr>
        <w:t>Catchwords:</w:t>
      </w:r>
    </w:p>
    <w:p w:rsidR="0011644F" w:rsidRPr="00856E9C" w:rsidRDefault="0011644F" w:rsidP="0011644F">
      <w:pPr>
        <w:rPr>
          <w:b/>
          <w:highlight w:val="yellow"/>
          <w:lang w:eastAsia="en-AU"/>
        </w:rPr>
      </w:pPr>
    </w:p>
    <w:p w:rsidR="0011644F" w:rsidRPr="00645051" w:rsidRDefault="001275B1" w:rsidP="0011644F">
      <w:pPr>
        <w:ind w:left="720"/>
        <w:rPr>
          <w:lang w:eastAsia="en-AU"/>
        </w:rPr>
      </w:pPr>
      <w:r>
        <w:rPr>
          <w:lang w:eastAsia="en-AU"/>
        </w:rPr>
        <w:lastRenderedPageBreak/>
        <w:t>Immigration – Lawful permanent resident – Temporary protected status – Unlawful entry – Where petitioner non-citizen entered United States unlawfully in 1997 – Where, in 2001, US Government granted petitioner temporary protected status (TPS)</w:t>
      </w:r>
      <w:r w:rsidR="002E2DDE">
        <w:rPr>
          <w:lang w:eastAsia="en-AU"/>
        </w:rPr>
        <w:t xml:space="preserve"> </w:t>
      </w:r>
      <w:r>
        <w:rPr>
          <w:lang w:eastAsia="en-AU"/>
        </w:rPr>
        <w:t xml:space="preserve">– Where, in 2014, petitioner applied to </w:t>
      </w:r>
      <w:r w:rsidR="002E2DDE">
        <w:rPr>
          <w:lang w:eastAsia="en-AU"/>
        </w:rPr>
        <w:t xml:space="preserve">convert TPS to </w:t>
      </w:r>
      <w:r>
        <w:rPr>
          <w:lang w:eastAsia="en-AU"/>
        </w:rPr>
        <w:t xml:space="preserve">lawful permanent resident (LPR) status </w:t>
      </w:r>
      <w:r w:rsidR="002E2DDE">
        <w:rPr>
          <w:lang w:eastAsia="en-AU"/>
        </w:rPr>
        <w:t xml:space="preserve">– Where US Citizenship and Immigration Services determined petitioner ineligible for LPS status because he entered US unlawfully – Where petitioner successfully challenged determination in District Court, which held TPS required treating petitioner as if he had been lawfully admitted – Where Third Circuit reversed – Whether </w:t>
      </w:r>
      <w:r w:rsidR="0077368A">
        <w:rPr>
          <w:lang w:eastAsia="en-AU"/>
        </w:rPr>
        <w:t>TPS requires treatment of recipient as if t</w:t>
      </w:r>
      <w:r w:rsidR="006B48D1">
        <w:rPr>
          <w:lang w:eastAsia="en-AU"/>
        </w:rPr>
        <w:t xml:space="preserve">hey had been lawfully admitted – Whether TPS recipient who entered unlawfully eligible for LPR status. </w:t>
      </w:r>
    </w:p>
    <w:p w:rsidR="0011644F" w:rsidRPr="00856E9C" w:rsidRDefault="0011644F" w:rsidP="0011644F">
      <w:pPr>
        <w:ind w:left="720"/>
        <w:rPr>
          <w:highlight w:val="yellow"/>
          <w:lang w:eastAsia="en-AU"/>
        </w:rPr>
      </w:pPr>
    </w:p>
    <w:p w:rsidR="0011644F" w:rsidRDefault="0011644F" w:rsidP="0011644F">
      <w:pPr>
        <w:rPr>
          <w:lang w:eastAsia="en-AU"/>
        </w:rPr>
      </w:pPr>
      <w:r w:rsidRPr="002F4F7E">
        <w:rPr>
          <w:b/>
          <w:lang w:eastAsia="en-AU"/>
        </w:rPr>
        <w:t>Held (</w:t>
      </w:r>
      <w:r w:rsidR="00A057C3">
        <w:rPr>
          <w:b/>
          <w:lang w:eastAsia="en-AU"/>
        </w:rPr>
        <w:t>9</w:t>
      </w:r>
      <w:r>
        <w:rPr>
          <w:b/>
          <w:lang w:eastAsia="en-AU"/>
        </w:rPr>
        <w:t>:</w:t>
      </w:r>
      <w:r w:rsidR="00A057C3">
        <w:rPr>
          <w:b/>
          <w:lang w:eastAsia="en-AU"/>
        </w:rPr>
        <w:t>0</w:t>
      </w:r>
      <w:r w:rsidRPr="002F4F7E">
        <w:rPr>
          <w:b/>
          <w:lang w:eastAsia="en-AU"/>
        </w:rPr>
        <w:t xml:space="preserve">): </w:t>
      </w:r>
      <w:r>
        <w:rPr>
          <w:lang w:eastAsia="en-AU"/>
        </w:rPr>
        <w:t xml:space="preserve">Affirmed.  </w:t>
      </w:r>
    </w:p>
    <w:p w:rsidR="0011644F" w:rsidRDefault="0011644F" w:rsidP="0011644F">
      <w:pPr>
        <w:pStyle w:val="BullDivider1"/>
        <w:pBdr>
          <w:bottom w:val="dotted" w:sz="4" w:space="0" w:color="auto"/>
        </w:pBdr>
      </w:pPr>
    </w:p>
    <w:p w:rsidR="00E040A6" w:rsidRDefault="00E040A6" w:rsidP="00E040A6"/>
    <w:p w:rsidR="00E040A6" w:rsidRPr="00992ECF" w:rsidRDefault="00587DDD" w:rsidP="00E040A6">
      <w:pPr>
        <w:pStyle w:val="Heading2"/>
        <w:rPr>
          <w:i w:val="0"/>
        </w:rPr>
      </w:pPr>
      <w:r>
        <w:t>United States v Palomar-Santiago</w:t>
      </w:r>
    </w:p>
    <w:p w:rsidR="00E040A6" w:rsidRPr="002F4F7E" w:rsidRDefault="00E040A6" w:rsidP="00E040A6">
      <w:pPr>
        <w:rPr>
          <w:lang w:eastAsia="en-AU"/>
        </w:rPr>
      </w:pPr>
      <w:r>
        <w:rPr>
          <w:b/>
          <w:lang w:eastAsia="en-AU"/>
        </w:rPr>
        <w:t xml:space="preserve">Supreme Court of </w:t>
      </w:r>
      <w:r w:rsidR="002F2314">
        <w:rPr>
          <w:b/>
          <w:lang w:eastAsia="en-AU"/>
        </w:rPr>
        <w:t>the United States</w:t>
      </w:r>
      <w:r w:rsidRPr="002F4F7E">
        <w:rPr>
          <w:b/>
          <w:lang w:eastAsia="en-AU"/>
        </w:rPr>
        <w:t xml:space="preserve">: </w:t>
      </w:r>
      <w:hyperlink r:id="rId44" w:history="1">
        <w:r w:rsidR="00A00246">
          <w:rPr>
            <w:rStyle w:val="Hyperlink"/>
            <w:lang w:eastAsia="en-AU"/>
          </w:rPr>
          <w:t>Docket No.</w:t>
        </w:r>
        <w:r w:rsidR="002F2314" w:rsidRPr="002F2314">
          <w:rPr>
            <w:rStyle w:val="Hyperlink"/>
            <w:lang w:eastAsia="en-AU"/>
          </w:rPr>
          <w:t xml:space="preserve"> 20-437</w:t>
        </w:r>
      </w:hyperlink>
    </w:p>
    <w:p w:rsidR="00E040A6" w:rsidRPr="002F4F7E" w:rsidRDefault="00E040A6" w:rsidP="00E040A6">
      <w:pPr>
        <w:rPr>
          <w:lang w:eastAsia="en-AU"/>
        </w:rPr>
      </w:pPr>
    </w:p>
    <w:p w:rsidR="00E040A6" w:rsidRPr="002F4F7E" w:rsidRDefault="00E040A6" w:rsidP="00E040A6">
      <w:pPr>
        <w:rPr>
          <w:lang w:eastAsia="en-AU"/>
        </w:rPr>
      </w:pPr>
      <w:r w:rsidRPr="002F4F7E">
        <w:rPr>
          <w:b/>
          <w:lang w:eastAsia="en-AU"/>
        </w:rPr>
        <w:t>Judgment delivered:</w:t>
      </w:r>
      <w:r>
        <w:rPr>
          <w:lang w:eastAsia="en-AU"/>
        </w:rPr>
        <w:t xml:space="preserve"> </w:t>
      </w:r>
      <w:r w:rsidR="002F2314">
        <w:rPr>
          <w:lang w:eastAsia="en-AU"/>
        </w:rPr>
        <w:t>24 May</w:t>
      </w:r>
      <w:r>
        <w:rPr>
          <w:lang w:eastAsia="en-AU"/>
        </w:rPr>
        <w:t xml:space="preserve"> 2021</w:t>
      </w:r>
    </w:p>
    <w:p w:rsidR="00E040A6" w:rsidRPr="002F4F7E" w:rsidRDefault="00E040A6" w:rsidP="00E040A6">
      <w:pPr>
        <w:rPr>
          <w:lang w:eastAsia="en-AU"/>
        </w:rPr>
      </w:pPr>
    </w:p>
    <w:p w:rsidR="00E040A6" w:rsidRPr="002F4F7E" w:rsidRDefault="00E040A6" w:rsidP="00E040A6">
      <w:pPr>
        <w:rPr>
          <w:lang w:eastAsia="en-AU"/>
        </w:rPr>
      </w:pPr>
      <w:r w:rsidRPr="002F4F7E">
        <w:rPr>
          <w:b/>
          <w:lang w:eastAsia="en-AU"/>
        </w:rPr>
        <w:t>Coram:</w:t>
      </w:r>
      <w:r>
        <w:rPr>
          <w:b/>
          <w:lang w:eastAsia="en-AU"/>
        </w:rPr>
        <w:t xml:space="preserve"> </w:t>
      </w:r>
      <w:r w:rsidR="002F2314">
        <w:rPr>
          <w:lang w:eastAsia="en-AU"/>
        </w:rPr>
        <w:t xml:space="preserve">Roberts CJ, Thomas, </w:t>
      </w:r>
      <w:proofErr w:type="spellStart"/>
      <w:r w:rsidR="002F2314">
        <w:rPr>
          <w:lang w:eastAsia="en-AU"/>
        </w:rPr>
        <w:t>Breyer</w:t>
      </w:r>
      <w:proofErr w:type="spellEnd"/>
      <w:r w:rsidR="002F2314">
        <w:rPr>
          <w:lang w:eastAsia="en-AU"/>
        </w:rPr>
        <w:t xml:space="preserve">, Alito, Sotomayor, </w:t>
      </w:r>
      <w:proofErr w:type="spellStart"/>
      <w:r w:rsidR="002F2314">
        <w:rPr>
          <w:lang w:eastAsia="en-AU"/>
        </w:rPr>
        <w:t>Kagan</w:t>
      </w:r>
      <w:proofErr w:type="spellEnd"/>
      <w:r w:rsidR="002F2314">
        <w:rPr>
          <w:lang w:eastAsia="en-AU"/>
        </w:rPr>
        <w:t>, Gorsuch, Kavanaugh and Barrett JJ</w:t>
      </w:r>
    </w:p>
    <w:p w:rsidR="00E040A6" w:rsidRPr="002F4F7E" w:rsidRDefault="00E040A6" w:rsidP="00E040A6">
      <w:pPr>
        <w:rPr>
          <w:lang w:eastAsia="en-AU"/>
        </w:rPr>
      </w:pPr>
    </w:p>
    <w:p w:rsidR="00E040A6" w:rsidRPr="002F4F7E" w:rsidRDefault="00E040A6" w:rsidP="00E040A6">
      <w:pPr>
        <w:rPr>
          <w:b/>
          <w:lang w:eastAsia="en-AU"/>
        </w:rPr>
      </w:pPr>
      <w:r>
        <w:rPr>
          <w:b/>
          <w:lang w:eastAsia="en-AU"/>
        </w:rPr>
        <w:t>Catchwords:</w:t>
      </w:r>
    </w:p>
    <w:p w:rsidR="00E040A6" w:rsidRPr="00856E9C" w:rsidRDefault="00E040A6" w:rsidP="00E040A6">
      <w:pPr>
        <w:rPr>
          <w:b/>
          <w:highlight w:val="yellow"/>
          <w:lang w:eastAsia="en-AU"/>
        </w:rPr>
      </w:pPr>
    </w:p>
    <w:p w:rsidR="00E040A6" w:rsidRPr="002F2314" w:rsidRDefault="002F2314" w:rsidP="00E040A6">
      <w:pPr>
        <w:ind w:left="720"/>
        <w:rPr>
          <w:lang w:eastAsia="en-AU"/>
        </w:rPr>
      </w:pPr>
      <w:r>
        <w:rPr>
          <w:lang w:eastAsia="en-AU"/>
        </w:rPr>
        <w:t xml:space="preserve">Immigration – Unlawful re-entry – Collateral challenge – Where respondent non-citizen convicted of felony DUI in 1988 – Where, at that time, conviction “aggravated felony”, subjecting non-citizen to removal from United States – Where non-citizen subjected to removal order and removed – Where in 2017, respondent found in United States and indicted on one count of unlawful re-entry under 8 USC </w:t>
      </w:r>
      <w:r>
        <w:t>§1326(a)</w:t>
      </w:r>
      <w:r>
        <w:rPr>
          <w:lang w:eastAsia="en-AU"/>
        </w:rPr>
        <w:t xml:space="preserve"> – Where </w:t>
      </w:r>
      <w:r>
        <w:t xml:space="preserve">§1326(d) provided collateral challenge to original removal order may be made only if non-citizen demonstrates three conditions met: exhaustion of administrative remedies, exhaustion of judicial review remedies and order fundamentally unfair – Where respondent moved to dismiss indictment on ground prior removal invalid, based on precedent in </w:t>
      </w:r>
      <w:proofErr w:type="spellStart"/>
      <w:r>
        <w:rPr>
          <w:i/>
        </w:rPr>
        <w:t>Leocal</w:t>
      </w:r>
      <w:proofErr w:type="spellEnd"/>
      <w:r>
        <w:rPr>
          <w:i/>
        </w:rPr>
        <w:t xml:space="preserve"> v Ashcroft</w:t>
      </w:r>
      <w:r>
        <w:t xml:space="preserve">, 543 US 1, which held felony DUI not aggravated felony – Whether Ninth Circuit held respondent excused from proving exhaustion of administrative and judicial review remedies because removal order invalid – Whether invalidity of removal order excuses proof of statutory conditions in §1326(d) – Whether statutory conditions in §1326(d) mandatory.  </w:t>
      </w:r>
    </w:p>
    <w:p w:rsidR="00E040A6" w:rsidRPr="00856E9C" w:rsidRDefault="00E040A6" w:rsidP="00E040A6">
      <w:pPr>
        <w:ind w:left="720"/>
        <w:rPr>
          <w:highlight w:val="yellow"/>
          <w:lang w:eastAsia="en-AU"/>
        </w:rPr>
      </w:pPr>
    </w:p>
    <w:p w:rsidR="00E040A6" w:rsidRDefault="00E040A6" w:rsidP="00E040A6">
      <w:pPr>
        <w:rPr>
          <w:lang w:eastAsia="en-AU"/>
        </w:rPr>
      </w:pPr>
      <w:r w:rsidRPr="002F4F7E">
        <w:rPr>
          <w:b/>
          <w:lang w:eastAsia="en-AU"/>
        </w:rPr>
        <w:t>Held (</w:t>
      </w:r>
      <w:r>
        <w:rPr>
          <w:b/>
          <w:lang w:eastAsia="en-AU"/>
        </w:rPr>
        <w:t>9:0</w:t>
      </w:r>
      <w:r w:rsidRPr="002F4F7E">
        <w:rPr>
          <w:b/>
          <w:lang w:eastAsia="en-AU"/>
        </w:rPr>
        <w:t xml:space="preserve">): </w:t>
      </w:r>
      <w:r w:rsidR="002F2314">
        <w:rPr>
          <w:lang w:eastAsia="en-AU"/>
        </w:rPr>
        <w:t xml:space="preserve">Reversed and remanded. </w:t>
      </w:r>
      <w:r>
        <w:rPr>
          <w:lang w:eastAsia="en-AU"/>
        </w:rPr>
        <w:t xml:space="preserve"> </w:t>
      </w:r>
    </w:p>
    <w:p w:rsidR="00FF306C" w:rsidRDefault="00FF306C" w:rsidP="00FF306C">
      <w:pPr>
        <w:pStyle w:val="BullDivider2"/>
        <w:rPr>
          <w:rFonts w:cs="Arial"/>
          <w:highlight w:val="yellow"/>
        </w:rPr>
      </w:pPr>
    </w:p>
    <w:p w:rsidR="00FF306C" w:rsidRDefault="00FF306C" w:rsidP="00FF306C"/>
    <w:p w:rsidR="00FF306C" w:rsidRPr="00B20BAC" w:rsidRDefault="00FF306C" w:rsidP="00FF306C">
      <w:pPr>
        <w:pStyle w:val="Heading1"/>
      </w:pPr>
      <w:r>
        <w:t>Patents</w:t>
      </w:r>
    </w:p>
    <w:p w:rsidR="00FF306C" w:rsidRDefault="00FF306C" w:rsidP="00FF306C"/>
    <w:p w:rsidR="00FF306C" w:rsidRPr="00992ECF" w:rsidRDefault="00FF306C" w:rsidP="00FF306C">
      <w:pPr>
        <w:pStyle w:val="Heading2"/>
        <w:rPr>
          <w:i w:val="0"/>
        </w:rPr>
      </w:pPr>
      <w:r>
        <w:t xml:space="preserve">Minerva Surgical Inc v Hologic Inc &amp; </w:t>
      </w:r>
      <w:proofErr w:type="spellStart"/>
      <w:r>
        <w:t>Ors</w:t>
      </w:r>
      <w:proofErr w:type="spellEnd"/>
    </w:p>
    <w:p w:rsidR="00FF306C" w:rsidRPr="002F4F7E" w:rsidRDefault="00FF306C" w:rsidP="00FF306C">
      <w:pPr>
        <w:rPr>
          <w:lang w:eastAsia="en-AU"/>
        </w:rPr>
      </w:pPr>
      <w:r>
        <w:rPr>
          <w:b/>
          <w:lang w:eastAsia="en-AU"/>
        </w:rPr>
        <w:t>Supreme Court of the United States</w:t>
      </w:r>
      <w:r w:rsidRPr="002F4F7E">
        <w:rPr>
          <w:b/>
          <w:lang w:eastAsia="en-AU"/>
        </w:rPr>
        <w:t xml:space="preserve">: </w:t>
      </w:r>
      <w:hyperlink r:id="rId45" w:history="1">
        <w:r w:rsidRPr="00533C5A">
          <w:rPr>
            <w:rStyle w:val="Hyperlink"/>
            <w:lang w:eastAsia="en-AU"/>
          </w:rPr>
          <w:t xml:space="preserve">Docket No. </w:t>
        </w:r>
        <w:r>
          <w:rPr>
            <w:rStyle w:val="Hyperlink"/>
            <w:lang w:eastAsia="en-AU"/>
          </w:rPr>
          <w:t>20-440</w:t>
        </w:r>
      </w:hyperlink>
    </w:p>
    <w:p w:rsidR="00FF306C" w:rsidRPr="002F4F7E" w:rsidRDefault="00FF306C" w:rsidP="00FF306C">
      <w:pPr>
        <w:rPr>
          <w:lang w:eastAsia="en-AU"/>
        </w:rPr>
      </w:pPr>
    </w:p>
    <w:p w:rsidR="00FF306C" w:rsidRPr="002F4F7E" w:rsidRDefault="00FF306C" w:rsidP="00FF306C">
      <w:pPr>
        <w:rPr>
          <w:lang w:eastAsia="en-AU"/>
        </w:rPr>
      </w:pPr>
      <w:r w:rsidRPr="002F4F7E">
        <w:rPr>
          <w:b/>
          <w:lang w:eastAsia="en-AU"/>
        </w:rPr>
        <w:t>Judgment delivered:</w:t>
      </w:r>
      <w:r>
        <w:rPr>
          <w:lang w:eastAsia="en-AU"/>
        </w:rPr>
        <w:t xml:space="preserve"> 29 June 2021</w:t>
      </w:r>
    </w:p>
    <w:p w:rsidR="00FF306C" w:rsidRPr="002F4F7E" w:rsidRDefault="00FF306C" w:rsidP="00FF306C">
      <w:pPr>
        <w:rPr>
          <w:lang w:eastAsia="en-AU"/>
        </w:rPr>
      </w:pPr>
    </w:p>
    <w:p w:rsidR="00FF306C" w:rsidRPr="002F4F7E" w:rsidRDefault="00FF306C" w:rsidP="00FF306C">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FF306C" w:rsidRPr="002F4F7E" w:rsidRDefault="00FF306C" w:rsidP="00FF306C">
      <w:pPr>
        <w:rPr>
          <w:lang w:eastAsia="en-AU"/>
        </w:rPr>
      </w:pPr>
    </w:p>
    <w:p w:rsidR="00FF306C" w:rsidRPr="002F4F7E" w:rsidRDefault="00FF306C" w:rsidP="00FF306C">
      <w:pPr>
        <w:rPr>
          <w:b/>
          <w:lang w:eastAsia="en-AU"/>
        </w:rPr>
      </w:pPr>
      <w:r>
        <w:rPr>
          <w:b/>
          <w:lang w:eastAsia="en-AU"/>
        </w:rPr>
        <w:t>Catchwords:</w:t>
      </w:r>
    </w:p>
    <w:p w:rsidR="00FF306C" w:rsidRPr="00856E9C" w:rsidRDefault="00FF306C" w:rsidP="00FF306C">
      <w:pPr>
        <w:rPr>
          <w:b/>
          <w:highlight w:val="yellow"/>
          <w:lang w:eastAsia="en-AU"/>
        </w:rPr>
      </w:pPr>
    </w:p>
    <w:p w:rsidR="00FF306C" w:rsidRDefault="0046591C" w:rsidP="00FF306C">
      <w:pPr>
        <w:ind w:left="720"/>
        <w:rPr>
          <w:lang w:eastAsia="en-AU"/>
        </w:rPr>
      </w:pPr>
      <w:r>
        <w:rPr>
          <w:lang w:eastAsia="en-AU"/>
        </w:rPr>
        <w:t xml:space="preserve">Patents – </w:t>
      </w:r>
      <w:r w:rsidR="0063040D">
        <w:rPr>
          <w:lang w:eastAsia="en-AU"/>
        </w:rPr>
        <w:t xml:space="preserve">Infringement – </w:t>
      </w:r>
      <w:r>
        <w:rPr>
          <w:lang w:eastAsia="en-AU"/>
        </w:rPr>
        <w:t xml:space="preserve">Invalidity of patent – Assignor estoppel </w:t>
      </w:r>
      <w:r w:rsidR="008D6FD6">
        <w:rPr>
          <w:lang w:eastAsia="en-AU"/>
        </w:rPr>
        <w:t xml:space="preserve">– Where inventor of device filed patent application and assigned application to his company, </w:t>
      </w:r>
      <w:proofErr w:type="spellStart"/>
      <w:r w:rsidR="008D6FD6">
        <w:rPr>
          <w:lang w:eastAsia="en-AU"/>
        </w:rPr>
        <w:t>Novacept</w:t>
      </w:r>
      <w:proofErr w:type="spellEnd"/>
      <w:r w:rsidR="008D6FD6">
        <w:rPr>
          <w:lang w:eastAsia="en-AU"/>
        </w:rPr>
        <w:t xml:space="preserve"> Inc – Where Patent and Trademark Office (PTO) issued patent – Where </w:t>
      </w:r>
      <w:proofErr w:type="spellStart"/>
      <w:r w:rsidR="008D6FD6">
        <w:rPr>
          <w:lang w:eastAsia="en-AU"/>
        </w:rPr>
        <w:t>Novacept</w:t>
      </w:r>
      <w:proofErr w:type="spellEnd"/>
      <w:r w:rsidR="008D6FD6">
        <w:rPr>
          <w:lang w:eastAsia="en-AU"/>
        </w:rPr>
        <w:t xml:space="preserve"> Inc acquired by respondent – Where inventor later developed improved device, obtained patent and assigned to petitioner – Whether respondent filed continuation application for original patent and sought to add claims for original device – Where, in application</w:t>
      </w:r>
      <w:r w:rsidR="0063040D">
        <w:rPr>
          <w:lang w:eastAsia="en-AU"/>
        </w:rPr>
        <w:t xml:space="preserve"> for added claim</w:t>
      </w:r>
      <w:r w:rsidR="008D6FD6">
        <w:rPr>
          <w:lang w:eastAsia="en-AU"/>
        </w:rPr>
        <w:t>, respondent described device in broad terms</w:t>
      </w:r>
      <w:r w:rsidR="0063040D">
        <w:rPr>
          <w:lang w:eastAsia="en-AU"/>
        </w:rPr>
        <w:t xml:space="preserve"> – Where PTO issued altered patent to respondent – Where respondent sued petitioner for patent infringement – Where petitioner argued patent invalid because added claim did not match written description – Where respondent invoked assignor estoppel, which would prevent original applicant and assignor from impeaching patent validity – Where District Court and Court of Appeals agreed assignor estoppel barred petitioner’s invalidity defence – Whether assignor estoppel still good law – If so, whether assignor estoppel applies to bar petitioner’s defence, where defence applies to added claim and not original patent. </w:t>
      </w:r>
    </w:p>
    <w:p w:rsidR="0046591C" w:rsidRPr="00856E9C" w:rsidRDefault="0046591C" w:rsidP="00FF306C">
      <w:pPr>
        <w:ind w:left="720"/>
        <w:rPr>
          <w:highlight w:val="yellow"/>
          <w:lang w:eastAsia="en-AU"/>
        </w:rPr>
      </w:pPr>
    </w:p>
    <w:p w:rsidR="00FF306C" w:rsidRDefault="00FF306C" w:rsidP="00FF306C">
      <w:pPr>
        <w:rPr>
          <w:lang w:eastAsia="en-AU"/>
        </w:rPr>
      </w:pPr>
      <w:r w:rsidRPr="002F4F7E">
        <w:rPr>
          <w:b/>
          <w:lang w:eastAsia="en-AU"/>
        </w:rPr>
        <w:t>Held (</w:t>
      </w:r>
      <w:r>
        <w:rPr>
          <w:b/>
          <w:lang w:eastAsia="en-AU"/>
        </w:rPr>
        <w:t>6:3</w:t>
      </w:r>
      <w:r w:rsidRPr="002F4F7E">
        <w:rPr>
          <w:b/>
          <w:lang w:eastAsia="en-AU"/>
        </w:rPr>
        <w:t xml:space="preserve">): </w:t>
      </w:r>
      <w:r w:rsidR="005E6749">
        <w:rPr>
          <w:lang w:eastAsia="en-AU"/>
        </w:rPr>
        <w:t>Vacated</w:t>
      </w:r>
      <w:r>
        <w:rPr>
          <w:lang w:eastAsia="en-AU"/>
        </w:rPr>
        <w:t xml:space="preserve"> and remanded.      </w:t>
      </w:r>
    </w:p>
    <w:p w:rsidR="00E040A6" w:rsidRDefault="00E040A6" w:rsidP="00E040A6">
      <w:pPr>
        <w:pStyle w:val="BullDivider2"/>
        <w:rPr>
          <w:rFonts w:cs="Arial"/>
          <w:highlight w:val="yellow"/>
        </w:rPr>
      </w:pPr>
    </w:p>
    <w:p w:rsidR="001529A9" w:rsidRDefault="001529A9" w:rsidP="001529A9"/>
    <w:p w:rsidR="001529A9" w:rsidRPr="00B20BAC" w:rsidRDefault="001529A9" w:rsidP="001529A9">
      <w:pPr>
        <w:pStyle w:val="Heading1"/>
      </w:pPr>
      <w:r>
        <w:t>Practice and Procedure</w:t>
      </w:r>
    </w:p>
    <w:p w:rsidR="00E07896" w:rsidRDefault="00E07896" w:rsidP="00E07896"/>
    <w:p w:rsidR="003976FB" w:rsidRPr="00992ECF" w:rsidRDefault="003976FB" w:rsidP="003976FB">
      <w:pPr>
        <w:pStyle w:val="Heading2"/>
        <w:rPr>
          <w:i w:val="0"/>
        </w:rPr>
      </w:pPr>
      <w:proofErr w:type="spellStart"/>
      <w:r>
        <w:t>Transunion</w:t>
      </w:r>
      <w:proofErr w:type="spellEnd"/>
      <w:r>
        <w:t xml:space="preserve"> LLC v Ramirez</w:t>
      </w:r>
    </w:p>
    <w:p w:rsidR="003976FB" w:rsidRPr="002F4F7E" w:rsidRDefault="003976FB" w:rsidP="003976FB">
      <w:pPr>
        <w:rPr>
          <w:lang w:eastAsia="en-AU"/>
        </w:rPr>
      </w:pPr>
      <w:r>
        <w:rPr>
          <w:b/>
          <w:lang w:eastAsia="en-AU"/>
        </w:rPr>
        <w:t>Supreme Court of the United States</w:t>
      </w:r>
      <w:r w:rsidRPr="002F4F7E">
        <w:rPr>
          <w:b/>
          <w:lang w:eastAsia="en-AU"/>
        </w:rPr>
        <w:t xml:space="preserve">: </w:t>
      </w:r>
      <w:hyperlink r:id="rId46" w:history="1">
        <w:r w:rsidRPr="00533C5A">
          <w:rPr>
            <w:rStyle w:val="Hyperlink"/>
            <w:lang w:eastAsia="en-AU"/>
          </w:rPr>
          <w:t xml:space="preserve">Docket No. </w:t>
        </w:r>
        <w:r>
          <w:rPr>
            <w:rStyle w:val="Hyperlink"/>
            <w:lang w:eastAsia="en-AU"/>
          </w:rPr>
          <w:t>20-297</w:t>
        </w:r>
      </w:hyperlink>
    </w:p>
    <w:p w:rsidR="003976FB" w:rsidRPr="002F4F7E" w:rsidRDefault="003976FB" w:rsidP="003976FB">
      <w:pPr>
        <w:rPr>
          <w:lang w:eastAsia="en-AU"/>
        </w:rPr>
      </w:pPr>
    </w:p>
    <w:p w:rsidR="003976FB" w:rsidRPr="002F4F7E" w:rsidRDefault="003976FB" w:rsidP="003976FB">
      <w:pPr>
        <w:rPr>
          <w:lang w:eastAsia="en-AU"/>
        </w:rPr>
      </w:pPr>
      <w:r w:rsidRPr="002F4F7E">
        <w:rPr>
          <w:b/>
          <w:lang w:eastAsia="en-AU"/>
        </w:rPr>
        <w:t>Judgment delivered:</w:t>
      </w:r>
      <w:r>
        <w:rPr>
          <w:lang w:eastAsia="en-AU"/>
        </w:rPr>
        <w:t xml:space="preserve"> 25 June 2021</w:t>
      </w:r>
    </w:p>
    <w:p w:rsidR="003976FB" w:rsidRPr="002F4F7E" w:rsidRDefault="003976FB" w:rsidP="003976FB">
      <w:pPr>
        <w:rPr>
          <w:lang w:eastAsia="en-AU"/>
        </w:rPr>
      </w:pPr>
    </w:p>
    <w:p w:rsidR="003976FB" w:rsidRPr="002F4F7E" w:rsidRDefault="003976FB" w:rsidP="003976FB">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3976FB" w:rsidRPr="002F4F7E" w:rsidRDefault="003976FB" w:rsidP="003976FB">
      <w:pPr>
        <w:rPr>
          <w:lang w:eastAsia="en-AU"/>
        </w:rPr>
      </w:pPr>
    </w:p>
    <w:p w:rsidR="003976FB" w:rsidRPr="002F4F7E" w:rsidRDefault="003976FB" w:rsidP="003976FB">
      <w:pPr>
        <w:rPr>
          <w:b/>
          <w:lang w:eastAsia="en-AU"/>
        </w:rPr>
      </w:pPr>
      <w:r>
        <w:rPr>
          <w:b/>
          <w:lang w:eastAsia="en-AU"/>
        </w:rPr>
        <w:t>Catchwords:</w:t>
      </w:r>
    </w:p>
    <w:p w:rsidR="003976FB" w:rsidRPr="00856E9C" w:rsidRDefault="003976FB" w:rsidP="003976FB">
      <w:pPr>
        <w:rPr>
          <w:b/>
          <w:highlight w:val="yellow"/>
          <w:lang w:eastAsia="en-AU"/>
        </w:rPr>
      </w:pPr>
    </w:p>
    <w:p w:rsidR="003976FB" w:rsidRPr="007B5415" w:rsidRDefault="003976FB" w:rsidP="003976FB">
      <w:pPr>
        <w:ind w:left="720"/>
        <w:rPr>
          <w:lang w:eastAsia="en-AU"/>
        </w:rPr>
      </w:pPr>
      <w:r>
        <w:rPr>
          <w:lang w:eastAsia="en-AU"/>
        </w:rPr>
        <w:t xml:space="preserve">Practice and procedure – Standing – Concrete harm – Where petitioner credit reporting agency provided service which compares first and last name of individual with US Treasury Department Office of Foreign Asset Control list of terrorists, drug traffickers and other serious criminals – Where, if individual’s name matched, petitioner placed alert on credit report stating consumer’s name “potential match” to name on Department’s list – Where class of 8,185 </w:t>
      </w:r>
      <w:r w:rsidR="000B20D9">
        <w:rPr>
          <w:lang w:eastAsia="en-AU"/>
        </w:rPr>
        <w:t xml:space="preserve">individuals </w:t>
      </w:r>
      <w:r>
        <w:rPr>
          <w:lang w:eastAsia="en-AU"/>
        </w:rPr>
        <w:t xml:space="preserve">with alerts on their credit files sued petitioner under </w:t>
      </w:r>
      <w:r>
        <w:rPr>
          <w:i/>
          <w:lang w:eastAsia="en-AU"/>
        </w:rPr>
        <w:t xml:space="preserve">Fair Credit Reporting Act </w:t>
      </w:r>
      <w:r>
        <w:rPr>
          <w:lang w:eastAsia="en-AU"/>
        </w:rPr>
        <w:t xml:space="preserve">for failing to use reasonable procedures to ensure accuracy of credit files – Where 6,332 </w:t>
      </w:r>
      <w:r>
        <w:rPr>
          <w:lang w:eastAsia="en-AU"/>
        </w:rPr>
        <w:lastRenderedPageBreak/>
        <w:t xml:space="preserve">class members had alerts but credit report not provided to anyone during relevant time period – Where jury returned verdict for all class members and Ninth Circuit affirmed – Whether class members whose credit reports have alerts but not been provided to anyone have suffered concrete harm – Whether those class members have standing to seek damages against petitioner. </w:t>
      </w:r>
    </w:p>
    <w:p w:rsidR="003976FB" w:rsidRPr="00856E9C" w:rsidRDefault="003976FB" w:rsidP="003976FB">
      <w:pPr>
        <w:ind w:left="720"/>
        <w:rPr>
          <w:highlight w:val="yellow"/>
          <w:lang w:eastAsia="en-AU"/>
        </w:rPr>
      </w:pPr>
    </w:p>
    <w:p w:rsidR="003976FB" w:rsidRDefault="003976FB" w:rsidP="003976FB">
      <w:pPr>
        <w:rPr>
          <w:lang w:eastAsia="en-AU"/>
        </w:rPr>
      </w:pPr>
      <w:r w:rsidRPr="002F4F7E">
        <w:rPr>
          <w:b/>
          <w:lang w:eastAsia="en-AU"/>
        </w:rPr>
        <w:t>Held (</w:t>
      </w:r>
      <w:r>
        <w:rPr>
          <w:b/>
          <w:lang w:eastAsia="en-AU"/>
        </w:rPr>
        <w:t>6:3</w:t>
      </w:r>
      <w:r w:rsidRPr="002F4F7E">
        <w:rPr>
          <w:b/>
          <w:lang w:eastAsia="en-AU"/>
        </w:rPr>
        <w:t xml:space="preserve">): </w:t>
      </w:r>
      <w:r>
        <w:rPr>
          <w:lang w:eastAsia="en-AU"/>
        </w:rPr>
        <w:t xml:space="preserve">Reversed and remanded.      </w:t>
      </w:r>
    </w:p>
    <w:p w:rsidR="003976FB" w:rsidRDefault="003976FB" w:rsidP="003976FB">
      <w:pPr>
        <w:pStyle w:val="BullDivider1"/>
        <w:pBdr>
          <w:bottom w:val="dotted" w:sz="4" w:space="0" w:color="auto"/>
        </w:pBdr>
      </w:pPr>
    </w:p>
    <w:p w:rsidR="003976FB" w:rsidRDefault="003976FB" w:rsidP="000F6AFF">
      <w:pPr>
        <w:pStyle w:val="Heading2"/>
      </w:pPr>
    </w:p>
    <w:p w:rsidR="000F6AFF" w:rsidRPr="000F6AFF" w:rsidRDefault="000F6AFF" w:rsidP="000F6AFF">
      <w:pPr>
        <w:pStyle w:val="Heading2"/>
      </w:pPr>
      <w:r>
        <w:t xml:space="preserve">California </w:t>
      </w:r>
      <w:r w:rsidR="002D309D">
        <w:t xml:space="preserve">&amp; </w:t>
      </w:r>
      <w:proofErr w:type="spellStart"/>
      <w:r w:rsidR="002D309D">
        <w:t>Ors</w:t>
      </w:r>
      <w:proofErr w:type="spellEnd"/>
      <w:r>
        <w:t xml:space="preserve"> v Texas </w:t>
      </w:r>
      <w:r w:rsidR="002D309D">
        <w:t xml:space="preserve">&amp; </w:t>
      </w:r>
      <w:proofErr w:type="spellStart"/>
      <w:r w:rsidR="002D309D">
        <w:t>Ors</w:t>
      </w:r>
      <w:proofErr w:type="spellEnd"/>
      <w:r>
        <w:rPr>
          <w:i w:val="0"/>
        </w:rPr>
        <w:t xml:space="preserve">; </w:t>
      </w:r>
      <w:r>
        <w:t xml:space="preserve">Texas </w:t>
      </w:r>
      <w:r w:rsidR="002D309D">
        <w:t xml:space="preserve">&amp; </w:t>
      </w:r>
      <w:proofErr w:type="spellStart"/>
      <w:r w:rsidR="002D309D">
        <w:t>Ors</w:t>
      </w:r>
      <w:proofErr w:type="spellEnd"/>
      <w:r>
        <w:t xml:space="preserve"> v California </w:t>
      </w:r>
      <w:r w:rsidR="002D309D">
        <w:t xml:space="preserve">&amp; </w:t>
      </w:r>
      <w:proofErr w:type="spellStart"/>
      <w:r w:rsidR="002D309D">
        <w:t>Ors</w:t>
      </w:r>
      <w:proofErr w:type="spellEnd"/>
    </w:p>
    <w:p w:rsidR="000F6AFF" w:rsidRPr="002F4F7E" w:rsidRDefault="000F6AFF" w:rsidP="000F6AFF">
      <w:pPr>
        <w:rPr>
          <w:lang w:eastAsia="en-AU"/>
        </w:rPr>
      </w:pPr>
      <w:r>
        <w:rPr>
          <w:b/>
          <w:lang w:eastAsia="en-AU"/>
        </w:rPr>
        <w:t>Supreme Court of the United States</w:t>
      </w:r>
      <w:r w:rsidRPr="002F4F7E">
        <w:rPr>
          <w:b/>
          <w:lang w:eastAsia="en-AU"/>
        </w:rPr>
        <w:t xml:space="preserve">: </w:t>
      </w:r>
      <w:hyperlink r:id="rId47" w:history="1">
        <w:r>
          <w:rPr>
            <w:rStyle w:val="Hyperlink"/>
            <w:lang w:eastAsia="en-AU"/>
          </w:rPr>
          <w:t>Docket No.</w:t>
        </w:r>
        <w:r w:rsidRPr="0024748B">
          <w:rPr>
            <w:rStyle w:val="Hyperlink"/>
            <w:lang w:eastAsia="en-AU"/>
          </w:rPr>
          <w:t xml:space="preserve"> </w:t>
        </w:r>
        <w:r>
          <w:rPr>
            <w:rStyle w:val="Hyperlink"/>
            <w:lang w:eastAsia="en-AU"/>
          </w:rPr>
          <w:t>19-840; 19-1019</w:t>
        </w:r>
      </w:hyperlink>
    </w:p>
    <w:p w:rsidR="000F6AFF" w:rsidRPr="002F4F7E" w:rsidRDefault="000F6AFF" w:rsidP="000F6AFF">
      <w:pPr>
        <w:rPr>
          <w:lang w:eastAsia="en-AU"/>
        </w:rPr>
      </w:pPr>
    </w:p>
    <w:p w:rsidR="000F6AFF" w:rsidRPr="002F4F7E" w:rsidRDefault="000F6AFF" w:rsidP="000F6AFF">
      <w:pPr>
        <w:rPr>
          <w:lang w:eastAsia="en-AU"/>
        </w:rPr>
      </w:pPr>
      <w:r w:rsidRPr="002F4F7E">
        <w:rPr>
          <w:b/>
          <w:lang w:eastAsia="en-AU"/>
        </w:rPr>
        <w:t>Judgment delivered:</w:t>
      </w:r>
      <w:r w:rsidRPr="002F4F7E">
        <w:rPr>
          <w:lang w:eastAsia="en-AU"/>
        </w:rPr>
        <w:t xml:space="preserve"> </w:t>
      </w:r>
      <w:r>
        <w:rPr>
          <w:lang w:eastAsia="en-AU"/>
        </w:rPr>
        <w:t>17 June 2021</w:t>
      </w:r>
    </w:p>
    <w:p w:rsidR="000F6AFF" w:rsidRPr="002F4F7E" w:rsidRDefault="000F6AFF" w:rsidP="000F6AFF">
      <w:pPr>
        <w:rPr>
          <w:lang w:eastAsia="en-AU"/>
        </w:rPr>
      </w:pPr>
    </w:p>
    <w:p w:rsidR="000F6AFF" w:rsidRPr="002F4F7E" w:rsidRDefault="000F6AFF" w:rsidP="000F6AFF">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0F6AFF" w:rsidRPr="002F4F7E" w:rsidRDefault="000F6AFF" w:rsidP="000F6AFF">
      <w:pPr>
        <w:rPr>
          <w:lang w:eastAsia="en-AU"/>
        </w:rPr>
      </w:pPr>
    </w:p>
    <w:p w:rsidR="000F6AFF" w:rsidRPr="002F4F7E" w:rsidRDefault="000F6AFF" w:rsidP="000F6AFF">
      <w:pPr>
        <w:rPr>
          <w:b/>
          <w:lang w:eastAsia="en-AU"/>
        </w:rPr>
      </w:pPr>
      <w:r>
        <w:rPr>
          <w:b/>
          <w:lang w:eastAsia="en-AU"/>
        </w:rPr>
        <w:t>Catchwords:</w:t>
      </w:r>
    </w:p>
    <w:p w:rsidR="000F6AFF" w:rsidRPr="00856E9C" w:rsidRDefault="000F6AFF" w:rsidP="000F6AFF">
      <w:pPr>
        <w:rPr>
          <w:b/>
          <w:highlight w:val="yellow"/>
          <w:lang w:eastAsia="en-AU"/>
        </w:rPr>
      </w:pPr>
    </w:p>
    <w:p w:rsidR="000F6AFF" w:rsidRPr="00006BC8" w:rsidRDefault="000F6AFF" w:rsidP="000F6AFF">
      <w:pPr>
        <w:ind w:left="720"/>
        <w:rPr>
          <w:lang w:eastAsia="en-AU"/>
        </w:rPr>
      </w:pPr>
      <w:r>
        <w:rPr>
          <w:lang w:eastAsia="en-AU"/>
        </w:rPr>
        <w:t xml:space="preserve">Practice and procedure – </w:t>
      </w:r>
      <w:r w:rsidR="00006BC8">
        <w:rPr>
          <w:lang w:eastAsia="en-AU"/>
        </w:rPr>
        <w:t xml:space="preserve">Standing – </w:t>
      </w:r>
      <w:r w:rsidR="00E3223D">
        <w:rPr>
          <w:lang w:eastAsia="en-AU"/>
        </w:rPr>
        <w:t xml:space="preserve">Past or future injury – </w:t>
      </w:r>
      <w:r w:rsidR="00275701">
        <w:rPr>
          <w:lang w:eastAsia="en-AU"/>
        </w:rPr>
        <w:t xml:space="preserve">Case or controversy – </w:t>
      </w:r>
      <w:r w:rsidR="00006BC8">
        <w:rPr>
          <w:lang w:eastAsia="en-AU"/>
        </w:rPr>
        <w:t xml:space="preserve">Where </w:t>
      </w:r>
      <w:r w:rsidR="00006BC8">
        <w:rPr>
          <w:i/>
          <w:lang w:eastAsia="en-AU"/>
        </w:rPr>
        <w:t xml:space="preserve">Patient Protection and Affordable Care Act </w:t>
      </w:r>
      <w:r w:rsidR="00006BC8">
        <w:rPr>
          <w:lang w:eastAsia="en-AU"/>
        </w:rPr>
        <w:t>originally required most individuals to obtain minimum essential health insurance coverage and imposed monetary penalty on individuals who failed to do so – Where subsequent amendments set amount of penalty to $0 – Where Texas, along with 19 other states, sought declaration</w:t>
      </w:r>
      <w:r w:rsidR="00E3223D">
        <w:rPr>
          <w:lang w:eastAsia="en-AU"/>
        </w:rPr>
        <w:t xml:space="preserve"> and injunction that</w:t>
      </w:r>
      <w:r w:rsidR="00006BC8">
        <w:rPr>
          <w:lang w:eastAsia="en-AU"/>
        </w:rPr>
        <w:t xml:space="preserve"> minimum coverage provision unconstitutional – Where District Court granted</w:t>
      </w:r>
      <w:r w:rsidR="00E3223D">
        <w:rPr>
          <w:lang w:eastAsia="en-AU"/>
        </w:rPr>
        <w:t xml:space="preserve"> relief – </w:t>
      </w:r>
      <w:r w:rsidR="00006BC8">
        <w:rPr>
          <w:lang w:eastAsia="en-AU"/>
        </w:rPr>
        <w:t xml:space="preserve">Where </w:t>
      </w:r>
      <w:r w:rsidR="00E3223D">
        <w:rPr>
          <w:lang w:eastAsia="en-AU"/>
        </w:rPr>
        <w:t>California and 20 other states unsuccessfully appealed to Fifth Circuit on basis Texas lacked standing</w:t>
      </w:r>
      <w:r w:rsidR="00275701">
        <w:rPr>
          <w:lang w:eastAsia="en-AU"/>
        </w:rPr>
        <w:t xml:space="preserve"> – Whether Texas can show past or future injury traceable to provision – Whether matter raises case or controversy – Whether Texas has standing to challenge minimum coverage provision.</w:t>
      </w:r>
    </w:p>
    <w:p w:rsidR="000F6AFF" w:rsidRPr="00856E9C" w:rsidRDefault="000F6AFF" w:rsidP="000F6AFF">
      <w:pPr>
        <w:rPr>
          <w:highlight w:val="yellow"/>
          <w:lang w:eastAsia="en-AU"/>
        </w:rPr>
      </w:pPr>
    </w:p>
    <w:p w:rsidR="000F6AFF" w:rsidRDefault="000F6AFF" w:rsidP="000F6AFF">
      <w:pPr>
        <w:rPr>
          <w:lang w:eastAsia="en-AU"/>
        </w:rPr>
      </w:pPr>
      <w:r w:rsidRPr="002F4F7E">
        <w:rPr>
          <w:b/>
          <w:lang w:eastAsia="en-AU"/>
        </w:rPr>
        <w:t>Held (</w:t>
      </w:r>
      <w:r w:rsidR="00857253">
        <w:rPr>
          <w:b/>
          <w:lang w:eastAsia="en-AU"/>
        </w:rPr>
        <w:t>7</w:t>
      </w:r>
      <w:r>
        <w:rPr>
          <w:b/>
          <w:lang w:eastAsia="en-AU"/>
        </w:rPr>
        <w:t>:</w:t>
      </w:r>
      <w:r w:rsidR="00857253">
        <w:rPr>
          <w:b/>
          <w:lang w:eastAsia="en-AU"/>
        </w:rPr>
        <w:t>2</w:t>
      </w:r>
      <w:r w:rsidRPr="002F4F7E">
        <w:rPr>
          <w:b/>
          <w:lang w:eastAsia="en-AU"/>
        </w:rPr>
        <w:t xml:space="preserve">): </w:t>
      </w:r>
      <w:r>
        <w:rPr>
          <w:lang w:eastAsia="en-AU"/>
        </w:rPr>
        <w:t xml:space="preserve">Reversed and remanded.     </w:t>
      </w:r>
    </w:p>
    <w:p w:rsidR="000F6AFF" w:rsidRDefault="000F6AFF" w:rsidP="000F6AFF">
      <w:pPr>
        <w:pStyle w:val="BullDivider1"/>
        <w:pBdr>
          <w:bottom w:val="dotted" w:sz="4" w:space="0" w:color="auto"/>
        </w:pBdr>
      </w:pPr>
    </w:p>
    <w:p w:rsidR="000F6AFF" w:rsidRDefault="000F6AFF" w:rsidP="000F6AFF"/>
    <w:p w:rsidR="00E07896" w:rsidRPr="002F4F7E" w:rsidRDefault="00E07896" w:rsidP="00E07896">
      <w:pPr>
        <w:pStyle w:val="Heading2"/>
      </w:pPr>
      <w:r>
        <w:t xml:space="preserve">Nestle USA Inc v Doe </w:t>
      </w:r>
      <w:r w:rsidR="002D309D">
        <w:t xml:space="preserve">&amp; </w:t>
      </w:r>
      <w:proofErr w:type="spellStart"/>
      <w:r w:rsidR="002D309D">
        <w:t>Ors</w:t>
      </w:r>
      <w:proofErr w:type="spellEnd"/>
      <w:r>
        <w:t xml:space="preserve">; Cargill Inc v Doe </w:t>
      </w:r>
      <w:r w:rsidR="002D309D">
        <w:t xml:space="preserve">&amp; </w:t>
      </w:r>
      <w:proofErr w:type="spellStart"/>
      <w:r w:rsidR="002D309D">
        <w:t>Ors</w:t>
      </w:r>
      <w:proofErr w:type="spellEnd"/>
      <w:r>
        <w:t xml:space="preserve"> </w:t>
      </w:r>
    </w:p>
    <w:p w:rsidR="00E07896" w:rsidRPr="002F4F7E" w:rsidRDefault="00E07896" w:rsidP="00E07896">
      <w:pPr>
        <w:rPr>
          <w:lang w:eastAsia="en-AU"/>
        </w:rPr>
      </w:pPr>
      <w:r>
        <w:rPr>
          <w:b/>
          <w:lang w:eastAsia="en-AU"/>
        </w:rPr>
        <w:t>Supreme Court of the United States</w:t>
      </w:r>
      <w:r w:rsidRPr="002F4F7E">
        <w:rPr>
          <w:b/>
          <w:lang w:eastAsia="en-AU"/>
        </w:rPr>
        <w:t xml:space="preserve">: </w:t>
      </w:r>
      <w:hyperlink r:id="rId48" w:history="1">
        <w:r>
          <w:rPr>
            <w:rStyle w:val="Hyperlink"/>
            <w:lang w:eastAsia="en-AU"/>
          </w:rPr>
          <w:t>Docket No.</w:t>
        </w:r>
        <w:r w:rsidRPr="0024748B">
          <w:rPr>
            <w:rStyle w:val="Hyperlink"/>
            <w:lang w:eastAsia="en-AU"/>
          </w:rPr>
          <w:t xml:space="preserve"> </w:t>
        </w:r>
        <w:r>
          <w:rPr>
            <w:rStyle w:val="Hyperlink"/>
            <w:lang w:eastAsia="en-AU"/>
          </w:rPr>
          <w:t>19-416; 19-453</w:t>
        </w:r>
      </w:hyperlink>
    </w:p>
    <w:p w:rsidR="00E07896" w:rsidRPr="002F4F7E" w:rsidRDefault="00E07896" w:rsidP="00E07896">
      <w:pPr>
        <w:rPr>
          <w:lang w:eastAsia="en-AU"/>
        </w:rPr>
      </w:pPr>
    </w:p>
    <w:p w:rsidR="00E07896" w:rsidRPr="002F4F7E" w:rsidRDefault="00E07896" w:rsidP="00E07896">
      <w:pPr>
        <w:rPr>
          <w:lang w:eastAsia="en-AU"/>
        </w:rPr>
      </w:pPr>
      <w:r w:rsidRPr="002F4F7E">
        <w:rPr>
          <w:b/>
          <w:lang w:eastAsia="en-AU"/>
        </w:rPr>
        <w:t>Judgment delivered:</w:t>
      </w:r>
      <w:r w:rsidRPr="002F4F7E">
        <w:rPr>
          <w:lang w:eastAsia="en-AU"/>
        </w:rPr>
        <w:t xml:space="preserve"> </w:t>
      </w:r>
      <w:r>
        <w:rPr>
          <w:lang w:eastAsia="en-AU"/>
        </w:rPr>
        <w:t>17 June 2021</w:t>
      </w:r>
    </w:p>
    <w:p w:rsidR="00E07896" w:rsidRPr="002F4F7E" w:rsidRDefault="00E07896" w:rsidP="00E07896">
      <w:pPr>
        <w:rPr>
          <w:lang w:eastAsia="en-AU"/>
        </w:rPr>
      </w:pPr>
    </w:p>
    <w:p w:rsidR="00E07896" w:rsidRPr="002F4F7E" w:rsidRDefault="00E07896" w:rsidP="00E07896">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E07896" w:rsidRPr="002F4F7E" w:rsidRDefault="00E07896" w:rsidP="00E07896">
      <w:pPr>
        <w:rPr>
          <w:lang w:eastAsia="en-AU"/>
        </w:rPr>
      </w:pPr>
    </w:p>
    <w:p w:rsidR="00E07896" w:rsidRPr="002F4F7E" w:rsidRDefault="00E07896" w:rsidP="00E07896">
      <w:pPr>
        <w:rPr>
          <w:b/>
          <w:lang w:eastAsia="en-AU"/>
        </w:rPr>
      </w:pPr>
      <w:r>
        <w:rPr>
          <w:b/>
          <w:lang w:eastAsia="en-AU"/>
        </w:rPr>
        <w:t>Catchwords:</w:t>
      </w:r>
    </w:p>
    <w:p w:rsidR="00E07896" w:rsidRPr="00856E9C" w:rsidRDefault="00E07896" w:rsidP="00E07896">
      <w:pPr>
        <w:rPr>
          <w:b/>
          <w:highlight w:val="yellow"/>
          <w:lang w:eastAsia="en-AU"/>
        </w:rPr>
      </w:pPr>
    </w:p>
    <w:p w:rsidR="00E07896" w:rsidRPr="00E07896" w:rsidRDefault="00E07896" w:rsidP="00E07896">
      <w:pPr>
        <w:ind w:left="720"/>
        <w:rPr>
          <w:lang w:eastAsia="en-AU"/>
        </w:rPr>
      </w:pPr>
      <w:r>
        <w:rPr>
          <w:lang w:eastAsia="en-AU"/>
        </w:rPr>
        <w:t>Practice and procedure – Extraterritoriality – Alien torts – Where respondents individuals from Mali who allege</w:t>
      </w:r>
      <w:r w:rsidR="00962406">
        <w:rPr>
          <w:lang w:eastAsia="en-AU"/>
        </w:rPr>
        <w:t>d</w:t>
      </w:r>
      <w:r>
        <w:rPr>
          <w:lang w:eastAsia="en-AU"/>
        </w:rPr>
        <w:t xml:space="preserve"> they were trafficked into Ivory Coast as child slaves to produce cocoa – Where respondents sued petitioners for aiding and abetting child slavery under </w:t>
      </w:r>
      <w:r>
        <w:rPr>
          <w:i/>
          <w:lang w:eastAsia="en-AU"/>
        </w:rPr>
        <w:t>Alien Torts Statute</w:t>
      </w:r>
      <w:r>
        <w:rPr>
          <w:lang w:eastAsia="en-AU"/>
        </w:rPr>
        <w:t>, which g</w:t>
      </w:r>
      <w:r w:rsidR="00962406">
        <w:rPr>
          <w:lang w:eastAsia="en-AU"/>
        </w:rPr>
        <w:t>ave</w:t>
      </w:r>
      <w:r>
        <w:rPr>
          <w:lang w:eastAsia="en-AU"/>
        </w:rPr>
        <w:t xml:space="preserve"> US </w:t>
      </w:r>
      <w:proofErr w:type="spellStart"/>
      <w:r>
        <w:rPr>
          <w:lang w:eastAsia="en-AU"/>
        </w:rPr>
        <w:t>courts</w:t>
      </w:r>
      <w:proofErr w:type="spellEnd"/>
      <w:r>
        <w:rPr>
          <w:lang w:eastAsia="en-AU"/>
        </w:rPr>
        <w:t xml:space="preserve"> jurisdiction to hear claims brought by aliens for </w:t>
      </w:r>
      <w:r>
        <w:rPr>
          <w:lang w:eastAsia="en-AU"/>
        </w:rPr>
        <w:lastRenderedPageBreak/>
        <w:t xml:space="preserve">torts committed in violation of international law – Where petitioners not own or operate cocoa farms in Ivory coast but </w:t>
      </w:r>
      <w:r w:rsidR="00962406">
        <w:rPr>
          <w:lang w:eastAsia="en-AU"/>
        </w:rPr>
        <w:t>bought from them</w:t>
      </w:r>
      <w:r>
        <w:rPr>
          <w:lang w:eastAsia="en-AU"/>
        </w:rPr>
        <w:t xml:space="preserve"> – Where respondents’ injuries occurred overseas – Where District Court dismissed suit as impermissible extraterritorial application of </w:t>
      </w:r>
      <w:r>
        <w:rPr>
          <w:i/>
          <w:lang w:eastAsia="en-AU"/>
        </w:rPr>
        <w:t>Aliens Tort Statute</w:t>
      </w:r>
      <w:r>
        <w:rPr>
          <w:lang w:eastAsia="en-AU"/>
        </w:rPr>
        <w:t xml:space="preserve"> – Where Ninth Circuit reversed decision on basis petitioner’s operational decisions originated in US – Whether respondents’ suit impermissible extraterritorial application – Whether injuries pleaded have sufficient connection to US. </w:t>
      </w:r>
    </w:p>
    <w:p w:rsidR="00E07896" w:rsidRPr="00856E9C" w:rsidRDefault="00E07896" w:rsidP="00E07896">
      <w:pPr>
        <w:rPr>
          <w:highlight w:val="yellow"/>
          <w:lang w:eastAsia="en-AU"/>
        </w:rPr>
      </w:pPr>
    </w:p>
    <w:p w:rsidR="00E07896" w:rsidRDefault="00E07896" w:rsidP="00E07896">
      <w:pPr>
        <w:rPr>
          <w:lang w:eastAsia="en-AU"/>
        </w:rPr>
      </w:pPr>
      <w:r w:rsidRPr="002F4F7E">
        <w:rPr>
          <w:b/>
          <w:lang w:eastAsia="en-AU"/>
        </w:rPr>
        <w:t>Held (</w:t>
      </w:r>
      <w:r>
        <w:rPr>
          <w:b/>
          <w:lang w:eastAsia="en-AU"/>
        </w:rPr>
        <w:t>8:1</w:t>
      </w:r>
      <w:r w:rsidRPr="002F4F7E">
        <w:rPr>
          <w:b/>
          <w:lang w:eastAsia="en-AU"/>
        </w:rPr>
        <w:t xml:space="preserve">): </w:t>
      </w:r>
      <w:r>
        <w:rPr>
          <w:lang w:eastAsia="en-AU"/>
        </w:rPr>
        <w:t xml:space="preserve">Reversed and remanded.     </w:t>
      </w:r>
    </w:p>
    <w:p w:rsidR="00E07896" w:rsidRDefault="00E07896" w:rsidP="00E07896">
      <w:pPr>
        <w:pStyle w:val="BullDivider1"/>
        <w:pBdr>
          <w:bottom w:val="dotted" w:sz="4" w:space="0" w:color="auto"/>
        </w:pBdr>
      </w:pPr>
    </w:p>
    <w:p w:rsidR="001529A9" w:rsidRDefault="001529A9" w:rsidP="001529A9"/>
    <w:p w:rsidR="00817392" w:rsidRPr="00992ECF" w:rsidRDefault="00817392" w:rsidP="00817392">
      <w:pPr>
        <w:pStyle w:val="Heading2"/>
        <w:rPr>
          <w:i w:val="0"/>
        </w:rPr>
      </w:pPr>
      <w:proofErr w:type="spellStart"/>
      <w:r>
        <w:t>MediaQMI</w:t>
      </w:r>
      <w:proofErr w:type="spellEnd"/>
      <w:r>
        <w:t xml:space="preserve"> </w:t>
      </w:r>
      <w:proofErr w:type="spellStart"/>
      <w:r>
        <w:t>inc</w:t>
      </w:r>
      <w:proofErr w:type="spellEnd"/>
      <w:r>
        <w:t xml:space="preserve"> v Kamel </w:t>
      </w:r>
      <w:r w:rsidR="002D309D">
        <w:t>&amp; Anor</w:t>
      </w:r>
    </w:p>
    <w:p w:rsidR="00817392" w:rsidRPr="002F4F7E" w:rsidRDefault="00817392" w:rsidP="00817392">
      <w:pPr>
        <w:rPr>
          <w:lang w:eastAsia="en-AU"/>
        </w:rPr>
      </w:pPr>
      <w:r>
        <w:rPr>
          <w:b/>
          <w:lang w:eastAsia="en-AU"/>
        </w:rPr>
        <w:t>Supreme Court of Canada</w:t>
      </w:r>
      <w:r w:rsidRPr="002F4F7E">
        <w:rPr>
          <w:b/>
          <w:lang w:eastAsia="en-AU"/>
        </w:rPr>
        <w:t xml:space="preserve">: </w:t>
      </w:r>
      <w:hyperlink r:id="rId49" w:history="1">
        <w:r w:rsidRPr="00400757">
          <w:rPr>
            <w:rStyle w:val="Hyperlink"/>
            <w:lang w:eastAsia="en-AU"/>
          </w:rPr>
          <w:t>[2021] SCC</w:t>
        </w:r>
        <w:r>
          <w:rPr>
            <w:rStyle w:val="Hyperlink"/>
            <w:lang w:eastAsia="en-AU"/>
          </w:rPr>
          <w:t xml:space="preserve"> 23</w:t>
        </w:r>
      </w:hyperlink>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Judgment delivered:</w:t>
      </w:r>
      <w:r>
        <w:rPr>
          <w:lang w:eastAsia="en-AU"/>
        </w:rPr>
        <w:t xml:space="preserve"> 28 May 2021</w:t>
      </w:r>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Coram:</w:t>
      </w:r>
      <w:r>
        <w:rPr>
          <w:b/>
          <w:lang w:eastAsia="en-AU"/>
        </w:rPr>
        <w:t xml:space="preserve"> </w:t>
      </w:r>
      <w:r>
        <w:rPr>
          <w:lang w:eastAsia="en-AU"/>
        </w:rPr>
        <w:t xml:space="preserve">Wagner CJ, </w:t>
      </w:r>
      <w:proofErr w:type="spellStart"/>
      <w:r>
        <w:rPr>
          <w:lang w:eastAsia="en-AU"/>
        </w:rPr>
        <w:t>Abella</w:t>
      </w:r>
      <w:proofErr w:type="spellEnd"/>
      <w:r>
        <w:rPr>
          <w:lang w:eastAsia="en-AU"/>
        </w:rPr>
        <w:t xml:space="preserve">, </w:t>
      </w:r>
      <w:proofErr w:type="spellStart"/>
      <w:r>
        <w:rPr>
          <w:lang w:eastAsia="en-AU"/>
        </w:rPr>
        <w:t>Moldaver</w:t>
      </w:r>
      <w:proofErr w:type="spellEnd"/>
      <w:r>
        <w:rPr>
          <w:lang w:eastAsia="en-AU"/>
        </w:rPr>
        <w:t xml:space="preserve">, Karakatsanis, </w:t>
      </w:r>
      <w:proofErr w:type="spellStart"/>
      <w:r w:rsidRPr="00400757">
        <w:rPr>
          <w:lang w:eastAsia="en-AU"/>
        </w:rPr>
        <w:t>Côté</w:t>
      </w:r>
      <w:proofErr w:type="spellEnd"/>
      <w:r>
        <w:rPr>
          <w:lang w:eastAsia="en-AU"/>
        </w:rPr>
        <w:t xml:space="preserve">, Brown, Rowe, Martin and </w:t>
      </w:r>
      <w:proofErr w:type="spellStart"/>
      <w:r>
        <w:rPr>
          <w:lang w:eastAsia="en-AU"/>
        </w:rPr>
        <w:t>Kasirer</w:t>
      </w:r>
      <w:proofErr w:type="spellEnd"/>
      <w:r>
        <w:rPr>
          <w:lang w:eastAsia="en-AU"/>
        </w:rPr>
        <w:t xml:space="preserve"> JJ</w:t>
      </w:r>
    </w:p>
    <w:p w:rsidR="00817392" w:rsidRPr="002F4F7E" w:rsidRDefault="00817392" w:rsidP="00817392">
      <w:pPr>
        <w:rPr>
          <w:lang w:eastAsia="en-AU"/>
        </w:rPr>
      </w:pPr>
    </w:p>
    <w:p w:rsidR="00817392" w:rsidRPr="002F4F7E" w:rsidRDefault="00817392" w:rsidP="00817392">
      <w:pPr>
        <w:rPr>
          <w:b/>
          <w:lang w:eastAsia="en-AU"/>
        </w:rPr>
      </w:pPr>
      <w:r>
        <w:rPr>
          <w:b/>
          <w:lang w:eastAsia="en-AU"/>
        </w:rPr>
        <w:t>Catchwords:</w:t>
      </w:r>
    </w:p>
    <w:p w:rsidR="00817392" w:rsidRPr="00856E9C" w:rsidRDefault="00817392" w:rsidP="00817392">
      <w:pPr>
        <w:rPr>
          <w:b/>
          <w:highlight w:val="yellow"/>
          <w:lang w:eastAsia="en-AU"/>
        </w:rPr>
      </w:pPr>
    </w:p>
    <w:p w:rsidR="00817392" w:rsidRDefault="00817392" w:rsidP="00817392">
      <w:pPr>
        <w:ind w:left="720"/>
        <w:rPr>
          <w:lang w:eastAsia="en-AU"/>
        </w:rPr>
      </w:pPr>
      <w:r>
        <w:rPr>
          <w:lang w:eastAsia="en-AU"/>
        </w:rPr>
        <w:t xml:space="preserve">Practice and procedure – </w:t>
      </w:r>
      <w:r w:rsidRPr="006242DA">
        <w:rPr>
          <w:lang w:eastAsia="en-AU"/>
        </w:rPr>
        <w:t xml:space="preserve">Civil procedure — Openness of court proceedings — Right to access court record — Discontinuance — Retrieval of exhibits — </w:t>
      </w:r>
      <w:r>
        <w:rPr>
          <w:lang w:eastAsia="en-AU"/>
        </w:rPr>
        <w:t>Where p</w:t>
      </w:r>
      <w:r w:rsidRPr="006242DA">
        <w:rPr>
          <w:lang w:eastAsia="en-AU"/>
        </w:rPr>
        <w:t>ublic body br</w:t>
      </w:r>
      <w:r>
        <w:rPr>
          <w:lang w:eastAsia="en-AU"/>
        </w:rPr>
        <w:t>ought</w:t>
      </w:r>
      <w:r w:rsidRPr="006242DA">
        <w:rPr>
          <w:lang w:eastAsia="en-AU"/>
        </w:rPr>
        <w:t xml:space="preserve"> action against former manager alleging misappropriation of public funds — </w:t>
      </w:r>
      <w:r>
        <w:rPr>
          <w:lang w:eastAsia="en-AU"/>
        </w:rPr>
        <w:t>Where n</w:t>
      </w:r>
      <w:r w:rsidRPr="006242DA">
        <w:rPr>
          <w:lang w:eastAsia="en-AU"/>
        </w:rPr>
        <w:t>ewspaper publishing company fil</w:t>
      </w:r>
      <w:r>
        <w:rPr>
          <w:lang w:eastAsia="en-AU"/>
        </w:rPr>
        <w:t>ed</w:t>
      </w:r>
      <w:r w:rsidRPr="006242DA">
        <w:rPr>
          <w:lang w:eastAsia="en-AU"/>
        </w:rPr>
        <w:t xml:space="preserve"> motion for access to sealed exhibits in court record — </w:t>
      </w:r>
      <w:r>
        <w:rPr>
          <w:lang w:eastAsia="en-AU"/>
        </w:rPr>
        <w:t>Where c</w:t>
      </w:r>
      <w:r w:rsidRPr="006242DA">
        <w:rPr>
          <w:lang w:eastAsia="en-AU"/>
        </w:rPr>
        <w:t>ourt authori</w:t>
      </w:r>
      <w:r>
        <w:rPr>
          <w:lang w:eastAsia="en-AU"/>
        </w:rPr>
        <w:t>sed</w:t>
      </w:r>
      <w:r w:rsidRPr="006242DA">
        <w:rPr>
          <w:lang w:eastAsia="en-AU"/>
        </w:rPr>
        <w:t xml:space="preserve"> retrieval of exhibits because of discontinuance filed by public body before motion heard — Whether Superior Court judge obliged to decide application for access to court record before authorizing retrieval of exhibits — </w:t>
      </w:r>
      <w:r w:rsidRPr="006242DA">
        <w:rPr>
          <w:i/>
          <w:lang w:eastAsia="en-AU"/>
        </w:rPr>
        <w:t>Code of Civil Procedure</w:t>
      </w:r>
      <w:r w:rsidRPr="006242DA">
        <w:rPr>
          <w:lang w:eastAsia="en-AU"/>
        </w:rPr>
        <w:t>, CQLR, c C</w:t>
      </w:r>
      <w:r w:rsidRPr="006242DA">
        <w:rPr>
          <w:rFonts w:ascii="Cambria Math" w:hAnsi="Cambria Math" w:cs="Cambria Math"/>
          <w:lang w:eastAsia="en-AU"/>
        </w:rPr>
        <w:t>‑</w:t>
      </w:r>
      <w:r w:rsidRPr="006242DA">
        <w:rPr>
          <w:lang w:eastAsia="en-AU"/>
        </w:rPr>
        <w:t>25.01, arts 11, 108.</w:t>
      </w:r>
    </w:p>
    <w:p w:rsidR="00817392" w:rsidRPr="00856E9C" w:rsidRDefault="00817392" w:rsidP="00817392">
      <w:pPr>
        <w:ind w:left="720"/>
        <w:rPr>
          <w:highlight w:val="yellow"/>
          <w:lang w:eastAsia="en-AU"/>
        </w:rPr>
      </w:pPr>
    </w:p>
    <w:p w:rsidR="00817392" w:rsidRDefault="00817392" w:rsidP="00817392">
      <w:pPr>
        <w:rPr>
          <w:lang w:eastAsia="en-AU"/>
        </w:rPr>
      </w:pPr>
      <w:r w:rsidRPr="002F4F7E">
        <w:rPr>
          <w:b/>
          <w:lang w:eastAsia="en-AU"/>
        </w:rPr>
        <w:t>Held (</w:t>
      </w:r>
      <w:r>
        <w:rPr>
          <w:b/>
          <w:lang w:eastAsia="en-AU"/>
        </w:rPr>
        <w:t>5:4</w:t>
      </w:r>
      <w:r w:rsidRPr="002F4F7E">
        <w:rPr>
          <w:b/>
          <w:lang w:eastAsia="en-AU"/>
        </w:rPr>
        <w:t xml:space="preserve">): </w:t>
      </w:r>
      <w:r>
        <w:rPr>
          <w:lang w:eastAsia="en-AU"/>
        </w:rPr>
        <w:t>Appeal dismissed.</w:t>
      </w:r>
    </w:p>
    <w:p w:rsidR="00DD56E1" w:rsidRDefault="00DD56E1" w:rsidP="00DD56E1">
      <w:pPr>
        <w:pStyle w:val="BullDivider1"/>
        <w:pBdr>
          <w:bottom w:val="dotted" w:sz="4" w:space="0" w:color="auto"/>
        </w:pBdr>
      </w:pPr>
    </w:p>
    <w:p w:rsidR="00DD56E1" w:rsidRDefault="00DD56E1" w:rsidP="00DD56E1">
      <w:pPr>
        <w:rPr>
          <w:lang w:eastAsia="en-AU"/>
        </w:rPr>
      </w:pPr>
      <w:r>
        <w:rPr>
          <w:lang w:eastAsia="en-AU"/>
        </w:rPr>
        <w:t xml:space="preserve"> </w:t>
      </w:r>
    </w:p>
    <w:p w:rsidR="00DD56E1" w:rsidRPr="002F4F7E" w:rsidRDefault="00E13A7B" w:rsidP="00DD56E1">
      <w:pPr>
        <w:pStyle w:val="Heading2"/>
      </w:pPr>
      <w:r>
        <w:t xml:space="preserve">San Antonio v Hotels.com, LP </w:t>
      </w:r>
      <w:r w:rsidR="002D309D">
        <w:t xml:space="preserve">&amp; </w:t>
      </w:r>
      <w:proofErr w:type="spellStart"/>
      <w:r w:rsidR="002D309D">
        <w:t>Ors</w:t>
      </w:r>
      <w:proofErr w:type="spellEnd"/>
    </w:p>
    <w:p w:rsidR="00DD56E1" w:rsidRPr="002F4F7E" w:rsidRDefault="00DD56E1" w:rsidP="00DD56E1">
      <w:pPr>
        <w:rPr>
          <w:lang w:eastAsia="en-AU"/>
        </w:rPr>
      </w:pPr>
      <w:r>
        <w:rPr>
          <w:b/>
          <w:lang w:eastAsia="en-AU"/>
        </w:rPr>
        <w:t>Supreme Court of the United States</w:t>
      </w:r>
      <w:r w:rsidRPr="002F4F7E">
        <w:rPr>
          <w:b/>
          <w:lang w:eastAsia="en-AU"/>
        </w:rPr>
        <w:t xml:space="preserve">: </w:t>
      </w:r>
      <w:hyperlink r:id="rId50" w:history="1">
        <w:r w:rsidR="00A00246">
          <w:rPr>
            <w:rStyle w:val="Hyperlink"/>
            <w:lang w:eastAsia="en-AU"/>
          </w:rPr>
          <w:t>Docket No.</w:t>
        </w:r>
        <w:r w:rsidRPr="0024748B">
          <w:rPr>
            <w:rStyle w:val="Hyperlink"/>
            <w:lang w:eastAsia="en-AU"/>
          </w:rPr>
          <w:t xml:space="preserve"> </w:t>
        </w:r>
        <w:r w:rsidR="00E13A7B">
          <w:rPr>
            <w:rStyle w:val="Hyperlink"/>
            <w:lang w:eastAsia="en-AU"/>
          </w:rPr>
          <w:t>20-334</w:t>
        </w:r>
      </w:hyperlink>
    </w:p>
    <w:p w:rsidR="00DD56E1" w:rsidRPr="002F4F7E" w:rsidRDefault="00DD56E1" w:rsidP="00DD56E1">
      <w:pPr>
        <w:rPr>
          <w:lang w:eastAsia="en-AU"/>
        </w:rPr>
      </w:pPr>
    </w:p>
    <w:p w:rsidR="00DD56E1" w:rsidRPr="002F4F7E" w:rsidRDefault="00DD56E1" w:rsidP="00DD56E1">
      <w:pPr>
        <w:rPr>
          <w:lang w:eastAsia="en-AU"/>
        </w:rPr>
      </w:pPr>
      <w:r w:rsidRPr="002F4F7E">
        <w:rPr>
          <w:b/>
          <w:lang w:eastAsia="en-AU"/>
        </w:rPr>
        <w:t>Judgment delivered:</w:t>
      </w:r>
      <w:r w:rsidRPr="002F4F7E">
        <w:rPr>
          <w:lang w:eastAsia="en-AU"/>
        </w:rPr>
        <w:t xml:space="preserve"> </w:t>
      </w:r>
      <w:r w:rsidR="00E13A7B">
        <w:rPr>
          <w:lang w:eastAsia="en-AU"/>
        </w:rPr>
        <w:t>2</w:t>
      </w:r>
      <w:r>
        <w:rPr>
          <w:lang w:eastAsia="en-AU"/>
        </w:rPr>
        <w:t>7 May 2021</w:t>
      </w:r>
    </w:p>
    <w:p w:rsidR="00DD56E1" w:rsidRPr="002F4F7E" w:rsidRDefault="00DD56E1" w:rsidP="00DD56E1">
      <w:pPr>
        <w:rPr>
          <w:lang w:eastAsia="en-AU"/>
        </w:rPr>
      </w:pPr>
    </w:p>
    <w:p w:rsidR="00DD56E1" w:rsidRPr="002F4F7E" w:rsidRDefault="00DD56E1" w:rsidP="00DD56E1">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w:t>
      </w:r>
      <w:r w:rsidR="00E13A7B">
        <w:rPr>
          <w:lang w:eastAsia="en-AU"/>
        </w:rPr>
        <w:t xml:space="preserve">Alito, </w:t>
      </w:r>
      <w:r>
        <w:rPr>
          <w:lang w:eastAsia="en-AU"/>
        </w:rPr>
        <w:t xml:space="preserve">Sotomayor, </w:t>
      </w:r>
      <w:proofErr w:type="spellStart"/>
      <w:r>
        <w:rPr>
          <w:lang w:eastAsia="en-AU"/>
        </w:rPr>
        <w:t>Kagan</w:t>
      </w:r>
      <w:proofErr w:type="spellEnd"/>
      <w:r>
        <w:rPr>
          <w:lang w:eastAsia="en-AU"/>
        </w:rPr>
        <w:t>, Gorsuch, Kavanaugh and Barrett JJ</w:t>
      </w:r>
    </w:p>
    <w:p w:rsidR="00DD56E1" w:rsidRPr="002F4F7E" w:rsidRDefault="00DD56E1" w:rsidP="00DD56E1">
      <w:pPr>
        <w:rPr>
          <w:lang w:eastAsia="en-AU"/>
        </w:rPr>
      </w:pPr>
    </w:p>
    <w:p w:rsidR="00DD56E1" w:rsidRPr="002F4F7E" w:rsidRDefault="00DD56E1" w:rsidP="00DD56E1">
      <w:pPr>
        <w:rPr>
          <w:b/>
          <w:lang w:eastAsia="en-AU"/>
        </w:rPr>
      </w:pPr>
      <w:r>
        <w:rPr>
          <w:b/>
          <w:lang w:eastAsia="en-AU"/>
        </w:rPr>
        <w:t>Catchwords:</w:t>
      </w:r>
    </w:p>
    <w:p w:rsidR="00DD56E1" w:rsidRPr="00856E9C" w:rsidRDefault="00DD56E1" w:rsidP="00DD56E1">
      <w:pPr>
        <w:rPr>
          <w:b/>
          <w:highlight w:val="yellow"/>
          <w:lang w:eastAsia="en-AU"/>
        </w:rPr>
      </w:pPr>
    </w:p>
    <w:p w:rsidR="00DD56E1" w:rsidRDefault="00DD56E1" w:rsidP="00DD56E1">
      <w:pPr>
        <w:ind w:left="720"/>
        <w:rPr>
          <w:lang w:eastAsia="en-AU"/>
        </w:rPr>
      </w:pPr>
      <w:r>
        <w:rPr>
          <w:lang w:eastAsia="en-AU"/>
        </w:rPr>
        <w:t xml:space="preserve">Practice and procedure – </w:t>
      </w:r>
      <w:r w:rsidR="00663DDC">
        <w:rPr>
          <w:lang w:eastAsia="en-AU"/>
        </w:rPr>
        <w:t xml:space="preserve">Costs – Supersedeas bonds – Where petitioner, acting on behalf of 173 Texas municipalities, awarded judgment in District Court against respondents – Where respondents obtained supersedeas bonds securing judgment debt to prevent execution of judgment pending appeal – Where Court of Appeals overturned decision of District Court – Where respondents filed bill of costs in District Court claiming premiums </w:t>
      </w:r>
      <w:r w:rsidR="00663DDC">
        <w:rPr>
          <w:lang w:eastAsia="en-AU"/>
        </w:rPr>
        <w:lastRenderedPageBreak/>
        <w:t xml:space="preserve">paid on supersedeas bonds amounting to $2.3 million, pursuant to Rule 39(e) of </w:t>
      </w:r>
      <w:r w:rsidR="00663DDC" w:rsidRPr="00663DDC">
        <w:rPr>
          <w:i/>
          <w:lang w:eastAsia="en-AU"/>
        </w:rPr>
        <w:t>Federal Rule of Appellate Procedure</w:t>
      </w:r>
      <w:r w:rsidR="00663DDC">
        <w:rPr>
          <w:lang w:eastAsia="en-AU"/>
        </w:rPr>
        <w:t xml:space="preserve"> – Where petitioner objected and applied to District Court to exercise discretion to deny or reduce those costs – Where District Court held it had no discretion to deny or reduce costs – Where Fifth Circuit affirmed – Whether District Court has discretion to deny or reduce costs under Rule 39. </w:t>
      </w:r>
    </w:p>
    <w:p w:rsidR="00DD56E1" w:rsidRPr="00856E9C" w:rsidRDefault="00DD56E1" w:rsidP="00DD56E1">
      <w:pPr>
        <w:rPr>
          <w:highlight w:val="yellow"/>
          <w:lang w:eastAsia="en-AU"/>
        </w:rPr>
      </w:pPr>
    </w:p>
    <w:p w:rsidR="00DD56E1" w:rsidRDefault="00DD56E1" w:rsidP="00DD56E1">
      <w:pPr>
        <w:rPr>
          <w:lang w:eastAsia="en-AU"/>
        </w:rPr>
      </w:pPr>
      <w:r w:rsidRPr="002F4F7E">
        <w:rPr>
          <w:b/>
          <w:lang w:eastAsia="en-AU"/>
        </w:rPr>
        <w:t>Held (</w:t>
      </w:r>
      <w:r w:rsidR="00663DDC">
        <w:rPr>
          <w:b/>
          <w:lang w:eastAsia="en-AU"/>
        </w:rPr>
        <w:t>9</w:t>
      </w:r>
      <w:r>
        <w:rPr>
          <w:b/>
          <w:lang w:eastAsia="en-AU"/>
        </w:rPr>
        <w:t>:</w:t>
      </w:r>
      <w:r w:rsidR="00663DDC">
        <w:rPr>
          <w:b/>
          <w:lang w:eastAsia="en-AU"/>
        </w:rPr>
        <w:t>0</w:t>
      </w:r>
      <w:r w:rsidRPr="002F4F7E">
        <w:rPr>
          <w:b/>
          <w:lang w:eastAsia="en-AU"/>
        </w:rPr>
        <w:t xml:space="preserve">): </w:t>
      </w:r>
      <w:r w:rsidR="00663DDC">
        <w:rPr>
          <w:lang w:eastAsia="en-AU"/>
        </w:rPr>
        <w:t xml:space="preserve">Affirmed. </w:t>
      </w:r>
      <w:r>
        <w:rPr>
          <w:lang w:eastAsia="en-AU"/>
        </w:rPr>
        <w:t xml:space="preserve">   </w:t>
      </w:r>
    </w:p>
    <w:p w:rsidR="00817392" w:rsidRDefault="00817392" w:rsidP="00817392">
      <w:pPr>
        <w:pStyle w:val="BullDivider1"/>
        <w:pBdr>
          <w:bottom w:val="dotted" w:sz="4" w:space="0" w:color="auto"/>
        </w:pBdr>
      </w:pPr>
    </w:p>
    <w:p w:rsidR="00817392" w:rsidRDefault="00817392" w:rsidP="00817392">
      <w:pPr>
        <w:rPr>
          <w:lang w:eastAsia="en-AU"/>
        </w:rPr>
      </w:pPr>
      <w:r>
        <w:rPr>
          <w:lang w:eastAsia="en-AU"/>
        </w:rPr>
        <w:t xml:space="preserve"> </w:t>
      </w:r>
    </w:p>
    <w:p w:rsidR="001529A9" w:rsidRPr="002F4F7E" w:rsidRDefault="001529A9" w:rsidP="001529A9">
      <w:pPr>
        <w:pStyle w:val="Heading2"/>
      </w:pPr>
      <w:r>
        <w:t xml:space="preserve">Matthew </w:t>
      </w:r>
      <w:r w:rsidR="002D309D">
        <w:t xml:space="preserve">&amp; </w:t>
      </w:r>
      <w:proofErr w:type="spellStart"/>
      <w:r w:rsidR="002D309D">
        <w:t>Ors</w:t>
      </w:r>
      <w:proofErr w:type="spellEnd"/>
      <w:r>
        <w:t xml:space="preserve"> v </w:t>
      </w:r>
      <w:proofErr w:type="spellStart"/>
      <w:r>
        <w:t>Sedman</w:t>
      </w:r>
      <w:proofErr w:type="spellEnd"/>
      <w:r>
        <w:t xml:space="preserve"> </w:t>
      </w:r>
      <w:r w:rsidR="002D309D">
        <w:t xml:space="preserve">&amp; </w:t>
      </w:r>
      <w:proofErr w:type="spellStart"/>
      <w:r w:rsidR="002D309D">
        <w:t>Ors</w:t>
      </w:r>
      <w:proofErr w:type="spellEnd"/>
    </w:p>
    <w:p w:rsidR="001529A9" w:rsidRPr="002F4F7E" w:rsidRDefault="001529A9" w:rsidP="001529A9">
      <w:pPr>
        <w:rPr>
          <w:lang w:eastAsia="en-AU"/>
        </w:rPr>
      </w:pPr>
      <w:r>
        <w:rPr>
          <w:b/>
          <w:lang w:eastAsia="en-AU"/>
        </w:rPr>
        <w:t>Supreme Court of the United Kingdom</w:t>
      </w:r>
      <w:r w:rsidRPr="002F4F7E">
        <w:rPr>
          <w:b/>
          <w:lang w:eastAsia="en-AU"/>
        </w:rPr>
        <w:t xml:space="preserve">: </w:t>
      </w:r>
      <w:hyperlink r:id="rId51" w:history="1">
        <w:r w:rsidRPr="0089498B">
          <w:rPr>
            <w:rStyle w:val="Hyperlink"/>
            <w:lang w:eastAsia="en-AU"/>
          </w:rPr>
          <w:t>[2021] UKSC 1</w:t>
        </w:r>
        <w:r>
          <w:rPr>
            <w:rStyle w:val="Hyperlink"/>
            <w:lang w:eastAsia="en-AU"/>
          </w:rPr>
          <w:t>9</w:t>
        </w:r>
      </w:hyperlink>
    </w:p>
    <w:p w:rsidR="001529A9" w:rsidRPr="002F4F7E" w:rsidRDefault="001529A9" w:rsidP="001529A9">
      <w:pPr>
        <w:rPr>
          <w:lang w:eastAsia="en-AU"/>
        </w:rPr>
      </w:pPr>
    </w:p>
    <w:p w:rsidR="001529A9" w:rsidRPr="002F4F7E" w:rsidRDefault="001529A9" w:rsidP="001529A9">
      <w:pPr>
        <w:rPr>
          <w:lang w:eastAsia="en-AU"/>
        </w:rPr>
      </w:pPr>
      <w:r w:rsidRPr="002F4F7E">
        <w:rPr>
          <w:b/>
          <w:lang w:eastAsia="en-AU"/>
        </w:rPr>
        <w:t>Judgment delivered:</w:t>
      </w:r>
      <w:r w:rsidRPr="002F4F7E">
        <w:rPr>
          <w:lang w:eastAsia="en-AU"/>
        </w:rPr>
        <w:t xml:space="preserve"> </w:t>
      </w:r>
      <w:r>
        <w:rPr>
          <w:lang w:eastAsia="en-AU"/>
        </w:rPr>
        <w:t>21 May 2021</w:t>
      </w:r>
    </w:p>
    <w:p w:rsidR="001529A9" w:rsidRPr="002F4F7E" w:rsidRDefault="001529A9" w:rsidP="001529A9">
      <w:pPr>
        <w:rPr>
          <w:lang w:eastAsia="en-AU"/>
        </w:rPr>
      </w:pPr>
    </w:p>
    <w:p w:rsidR="001529A9" w:rsidRPr="002F4F7E" w:rsidRDefault="001529A9" w:rsidP="001529A9">
      <w:pPr>
        <w:rPr>
          <w:lang w:eastAsia="en-AU"/>
        </w:rPr>
      </w:pPr>
      <w:r w:rsidRPr="002F4F7E">
        <w:rPr>
          <w:b/>
          <w:lang w:eastAsia="en-AU"/>
        </w:rPr>
        <w:t>Coram:</w:t>
      </w:r>
      <w:r>
        <w:rPr>
          <w:b/>
          <w:lang w:eastAsia="en-AU"/>
        </w:rPr>
        <w:t xml:space="preserve"> </w:t>
      </w:r>
      <w:r>
        <w:rPr>
          <w:lang w:eastAsia="en-AU"/>
        </w:rPr>
        <w:t>Lord Hodge, Lady Arden, Lord Sales, Lord Burrows and Lord Stephens</w:t>
      </w:r>
    </w:p>
    <w:p w:rsidR="001529A9" w:rsidRPr="002F4F7E" w:rsidRDefault="001529A9" w:rsidP="001529A9">
      <w:pPr>
        <w:rPr>
          <w:lang w:eastAsia="en-AU"/>
        </w:rPr>
      </w:pPr>
    </w:p>
    <w:p w:rsidR="001529A9" w:rsidRPr="002F4F7E" w:rsidRDefault="001529A9" w:rsidP="001529A9">
      <w:pPr>
        <w:rPr>
          <w:b/>
          <w:lang w:eastAsia="en-AU"/>
        </w:rPr>
      </w:pPr>
      <w:r>
        <w:rPr>
          <w:b/>
          <w:lang w:eastAsia="en-AU"/>
        </w:rPr>
        <w:t>Catchwords:</w:t>
      </w:r>
    </w:p>
    <w:p w:rsidR="001529A9" w:rsidRPr="00856E9C" w:rsidRDefault="001529A9" w:rsidP="001529A9">
      <w:pPr>
        <w:rPr>
          <w:b/>
          <w:highlight w:val="yellow"/>
          <w:lang w:eastAsia="en-AU"/>
        </w:rPr>
      </w:pPr>
    </w:p>
    <w:p w:rsidR="00F6267F" w:rsidRDefault="002A02E4" w:rsidP="00B74E89">
      <w:pPr>
        <w:ind w:left="720"/>
        <w:rPr>
          <w:lang w:eastAsia="en-AU"/>
        </w:rPr>
      </w:pPr>
      <w:r>
        <w:rPr>
          <w:lang w:eastAsia="en-AU"/>
        </w:rPr>
        <w:t xml:space="preserve">Practice and procedure </w:t>
      </w:r>
      <w:r w:rsidR="00286568">
        <w:rPr>
          <w:lang w:eastAsia="en-AU"/>
        </w:rPr>
        <w:t>–</w:t>
      </w:r>
      <w:r>
        <w:rPr>
          <w:lang w:eastAsia="en-AU"/>
        </w:rPr>
        <w:t xml:space="preserve"> </w:t>
      </w:r>
      <w:r w:rsidR="00286568">
        <w:rPr>
          <w:lang w:eastAsia="en-AU"/>
        </w:rPr>
        <w:t xml:space="preserve">Limitation periods – Midnight deadline </w:t>
      </w:r>
      <w:r w:rsidR="00F6267F">
        <w:rPr>
          <w:lang w:eastAsia="en-AU"/>
        </w:rPr>
        <w:t>–</w:t>
      </w:r>
      <w:r w:rsidR="00286568">
        <w:rPr>
          <w:lang w:eastAsia="en-AU"/>
        </w:rPr>
        <w:t xml:space="preserve"> </w:t>
      </w:r>
      <w:r w:rsidR="00F6267F">
        <w:rPr>
          <w:lang w:eastAsia="en-AU"/>
        </w:rPr>
        <w:t>Where appellants current trustees of trust and respondents former trustees until 2014 – Where trus</w:t>
      </w:r>
      <w:r w:rsidR="00DC1060">
        <w:rPr>
          <w:lang w:eastAsia="en-AU"/>
        </w:rPr>
        <w:t>t</w:t>
      </w:r>
      <w:r w:rsidR="00F6267F">
        <w:rPr>
          <w:lang w:eastAsia="en-AU"/>
        </w:rPr>
        <w:t xml:space="preserve"> shareholder of third party and</w:t>
      </w:r>
      <w:r w:rsidR="00DC1060">
        <w:rPr>
          <w:lang w:eastAsia="en-AU"/>
        </w:rPr>
        <w:t xml:space="preserve"> third party issued misleading information in annual report and prospectus – Where valid claim could have been made against third party up to midnight on Thursday 2 June 2011 – Where respondents failed to make claim – Where, on Monday 5 June 2011, appellants commenced proceedings in negligence and breach of trust against respondents for failure to make claim against third party – Where </w:t>
      </w:r>
      <w:r w:rsidR="00DC1060">
        <w:rPr>
          <w:i/>
          <w:lang w:eastAsia="en-AU"/>
        </w:rPr>
        <w:t xml:space="preserve">Limitation Act 1980 </w:t>
      </w:r>
      <w:r w:rsidR="00DC1060">
        <w:rPr>
          <w:lang w:eastAsia="en-AU"/>
        </w:rPr>
        <w:t>provided claims in negligence and breach of trust cannot be brought after expiration of six years after cause of action accrued – Where appellants submitted because cause of action accrued at midnight on Thursday 2 June 2011, Friday 3 June 2011 should be excluded in limitation period and therefore limitation period expired on Monday 7 June 2017 (because 3 June 2017 was Saturday and court office closed) – Where Court of Appeal disagreed and held Friday 3 June 2011 should be included in limitation period</w:t>
      </w:r>
      <w:r w:rsidR="00010B8B">
        <w:rPr>
          <w:lang w:eastAsia="en-AU"/>
        </w:rPr>
        <w:t xml:space="preserve">, </w:t>
      </w:r>
      <w:r w:rsidR="00DC1060">
        <w:rPr>
          <w:lang w:eastAsia="en-AU"/>
        </w:rPr>
        <w:t>therefore limitation period expired on Friday 2 June 2017</w:t>
      </w:r>
      <w:r w:rsidR="00010B8B">
        <w:rPr>
          <w:lang w:eastAsia="en-AU"/>
        </w:rPr>
        <w:t xml:space="preserve"> and appellants’ claim statute-barred – Whether, where cause of action accrues at midnight, following day should be included or excluded in calculation of limitation period – Whether appellants’ claim statute-barred. </w:t>
      </w:r>
    </w:p>
    <w:p w:rsidR="001529A9" w:rsidRPr="00856E9C" w:rsidRDefault="001529A9" w:rsidP="00B74E89">
      <w:pPr>
        <w:rPr>
          <w:highlight w:val="yellow"/>
          <w:lang w:eastAsia="en-AU"/>
        </w:rPr>
      </w:pPr>
    </w:p>
    <w:p w:rsidR="000B5465" w:rsidRDefault="001529A9" w:rsidP="001529A9">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dismissed. </w:t>
      </w:r>
    </w:p>
    <w:p w:rsidR="00EC28BB" w:rsidRDefault="00EC28BB" w:rsidP="001529A9">
      <w:pPr>
        <w:rPr>
          <w:lang w:eastAsia="en-AU"/>
        </w:rPr>
      </w:pPr>
    </w:p>
    <w:p w:rsidR="00EC28BB" w:rsidRDefault="00EC28BB" w:rsidP="00EC28BB">
      <w:pPr>
        <w:pStyle w:val="BullDivider1"/>
        <w:pBdr>
          <w:bottom w:val="dotted" w:sz="4" w:space="0" w:color="auto"/>
        </w:pBdr>
      </w:pPr>
    </w:p>
    <w:p w:rsidR="00EC28BB" w:rsidRDefault="00EC28BB" w:rsidP="00EC28BB">
      <w:pPr>
        <w:rPr>
          <w:lang w:eastAsia="en-AU"/>
        </w:rPr>
      </w:pPr>
      <w:r>
        <w:rPr>
          <w:lang w:eastAsia="en-AU"/>
        </w:rPr>
        <w:t xml:space="preserve"> </w:t>
      </w:r>
    </w:p>
    <w:p w:rsidR="00EC28BB" w:rsidRPr="002F4F7E" w:rsidRDefault="00EC28BB" w:rsidP="00EC28BB">
      <w:pPr>
        <w:pStyle w:val="Heading2"/>
      </w:pPr>
      <w:r>
        <w:t xml:space="preserve">BP </w:t>
      </w:r>
      <w:r w:rsidR="0052214A">
        <w:t>plc</w:t>
      </w:r>
      <w:r>
        <w:t xml:space="preserve"> </w:t>
      </w:r>
      <w:r w:rsidR="002D309D">
        <w:t xml:space="preserve">&amp; </w:t>
      </w:r>
      <w:proofErr w:type="spellStart"/>
      <w:r w:rsidR="002D309D">
        <w:t>Ors</w:t>
      </w:r>
      <w:proofErr w:type="spellEnd"/>
      <w:r>
        <w:t xml:space="preserve"> v Mayor and City Council of Baltimore</w:t>
      </w:r>
    </w:p>
    <w:p w:rsidR="00EC28BB" w:rsidRPr="002F4F7E" w:rsidRDefault="00EC28BB" w:rsidP="00EC28BB">
      <w:pPr>
        <w:rPr>
          <w:lang w:eastAsia="en-AU"/>
        </w:rPr>
      </w:pPr>
      <w:r>
        <w:rPr>
          <w:b/>
          <w:lang w:eastAsia="en-AU"/>
        </w:rPr>
        <w:t xml:space="preserve">Supreme Court of </w:t>
      </w:r>
      <w:r w:rsidR="0024748B">
        <w:rPr>
          <w:b/>
          <w:lang w:eastAsia="en-AU"/>
        </w:rPr>
        <w:t>the United States</w:t>
      </w:r>
      <w:r w:rsidRPr="002F4F7E">
        <w:rPr>
          <w:b/>
          <w:lang w:eastAsia="en-AU"/>
        </w:rPr>
        <w:t xml:space="preserve">: </w:t>
      </w:r>
      <w:hyperlink r:id="rId52" w:history="1">
        <w:r w:rsidR="00A00246">
          <w:rPr>
            <w:rStyle w:val="Hyperlink"/>
            <w:lang w:eastAsia="en-AU"/>
          </w:rPr>
          <w:t>Docket No.</w:t>
        </w:r>
        <w:r w:rsidR="0024748B" w:rsidRPr="0024748B">
          <w:rPr>
            <w:rStyle w:val="Hyperlink"/>
            <w:lang w:eastAsia="en-AU"/>
          </w:rPr>
          <w:t xml:space="preserve"> 19-1189</w:t>
        </w:r>
      </w:hyperlink>
    </w:p>
    <w:p w:rsidR="00EC28BB" w:rsidRPr="002F4F7E" w:rsidRDefault="00EC28BB" w:rsidP="00EC28BB">
      <w:pPr>
        <w:rPr>
          <w:lang w:eastAsia="en-AU"/>
        </w:rPr>
      </w:pPr>
    </w:p>
    <w:p w:rsidR="00EC28BB" w:rsidRPr="002F4F7E" w:rsidRDefault="00EC28BB" w:rsidP="00EC28BB">
      <w:pPr>
        <w:rPr>
          <w:lang w:eastAsia="en-AU"/>
        </w:rPr>
      </w:pPr>
      <w:r w:rsidRPr="002F4F7E">
        <w:rPr>
          <w:b/>
          <w:lang w:eastAsia="en-AU"/>
        </w:rPr>
        <w:t>Judgment delivered:</w:t>
      </w:r>
      <w:r w:rsidRPr="002F4F7E">
        <w:rPr>
          <w:lang w:eastAsia="en-AU"/>
        </w:rPr>
        <w:t xml:space="preserve"> </w:t>
      </w:r>
      <w:r>
        <w:rPr>
          <w:lang w:eastAsia="en-AU"/>
        </w:rPr>
        <w:t>1</w:t>
      </w:r>
      <w:r w:rsidR="0024748B">
        <w:rPr>
          <w:lang w:eastAsia="en-AU"/>
        </w:rPr>
        <w:t>7</w:t>
      </w:r>
      <w:r>
        <w:rPr>
          <w:lang w:eastAsia="en-AU"/>
        </w:rPr>
        <w:t xml:space="preserve"> May 2021</w:t>
      </w:r>
    </w:p>
    <w:p w:rsidR="00EC28BB" w:rsidRPr="002F4F7E" w:rsidRDefault="00EC28BB" w:rsidP="00EC28BB">
      <w:pPr>
        <w:rPr>
          <w:lang w:eastAsia="en-AU"/>
        </w:rPr>
      </w:pPr>
    </w:p>
    <w:p w:rsidR="00EC28BB" w:rsidRPr="002F4F7E" w:rsidRDefault="00EC28BB" w:rsidP="00EC28BB">
      <w:pPr>
        <w:rPr>
          <w:lang w:eastAsia="en-AU"/>
        </w:rPr>
      </w:pPr>
      <w:r w:rsidRPr="002F4F7E">
        <w:rPr>
          <w:b/>
          <w:lang w:eastAsia="en-AU"/>
        </w:rPr>
        <w:t>Coram:</w:t>
      </w:r>
      <w:r>
        <w:rPr>
          <w:b/>
          <w:lang w:eastAsia="en-AU"/>
        </w:rPr>
        <w:t xml:space="preserve"> </w:t>
      </w:r>
      <w:r w:rsidR="0024748B">
        <w:rPr>
          <w:lang w:eastAsia="en-AU"/>
        </w:rPr>
        <w:t xml:space="preserve">Roberts CJ, Thomas, </w:t>
      </w:r>
      <w:proofErr w:type="spellStart"/>
      <w:r w:rsidR="0024748B">
        <w:rPr>
          <w:lang w:eastAsia="en-AU"/>
        </w:rPr>
        <w:t>Breyer</w:t>
      </w:r>
      <w:proofErr w:type="spellEnd"/>
      <w:r w:rsidR="0024748B">
        <w:rPr>
          <w:lang w:eastAsia="en-AU"/>
        </w:rPr>
        <w:t xml:space="preserve">, Sotomayor, </w:t>
      </w:r>
      <w:proofErr w:type="spellStart"/>
      <w:r w:rsidR="0024748B">
        <w:rPr>
          <w:lang w:eastAsia="en-AU"/>
        </w:rPr>
        <w:t>Kagan</w:t>
      </w:r>
      <w:proofErr w:type="spellEnd"/>
      <w:r w:rsidR="0024748B">
        <w:rPr>
          <w:lang w:eastAsia="en-AU"/>
        </w:rPr>
        <w:t>, Gorsuch, Kavanaugh and Barrett JJ</w:t>
      </w:r>
    </w:p>
    <w:p w:rsidR="00EC28BB" w:rsidRPr="002F4F7E" w:rsidRDefault="00EC28BB" w:rsidP="00EC28BB">
      <w:pPr>
        <w:rPr>
          <w:lang w:eastAsia="en-AU"/>
        </w:rPr>
      </w:pPr>
    </w:p>
    <w:p w:rsidR="00EC28BB" w:rsidRPr="002F4F7E" w:rsidRDefault="00EC28BB" w:rsidP="00EC28BB">
      <w:pPr>
        <w:rPr>
          <w:b/>
          <w:lang w:eastAsia="en-AU"/>
        </w:rPr>
      </w:pPr>
      <w:r>
        <w:rPr>
          <w:b/>
          <w:lang w:eastAsia="en-AU"/>
        </w:rPr>
        <w:t>Catchwords:</w:t>
      </w:r>
    </w:p>
    <w:p w:rsidR="00EC28BB" w:rsidRPr="00856E9C" w:rsidRDefault="00EC28BB" w:rsidP="00EC28BB">
      <w:pPr>
        <w:rPr>
          <w:b/>
          <w:highlight w:val="yellow"/>
          <w:lang w:eastAsia="en-AU"/>
        </w:rPr>
      </w:pPr>
    </w:p>
    <w:p w:rsidR="00EC28BB" w:rsidRDefault="0024748B" w:rsidP="00EC28BB">
      <w:pPr>
        <w:ind w:left="720"/>
        <w:rPr>
          <w:lang w:eastAsia="en-AU"/>
        </w:rPr>
      </w:pPr>
      <w:r>
        <w:rPr>
          <w:lang w:eastAsia="en-AU"/>
        </w:rPr>
        <w:t xml:space="preserve">Practice and procedure – Removal from state court – Review on appeal – Where respondents sued petitioners in Maryland state court – Where petitioners removed case to federal court on number of grounds, including 28 USC </w:t>
      </w:r>
      <w:r>
        <w:t xml:space="preserve">§1442 – Where District Court held removal not justified and remanded case to state court – Where, generally, orders remanding case not reviewable on appeal but 28 USC §1477(d) provided review available if case removed pursuant to §1442 – Where Fourth Circuit interpreted §1477(d) to authorise review of part of remand order deciding §1442 removal ground only and held it lacked jurisdiction to review all other grounds – Whether §1477(d) authorises review of entire case or only of part of case based on §1442 ground. </w:t>
      </w:r>
    </w:p>
    <w:p w:rsidR="00EC28BB" w:rsidRPr="00856E9C" w:rsidRDefault="00EC28BB" w:rsidP="00EC28BB">
      <w:pPr>
        <w:rPr>
          <w:highlight w:val="yellow"/>
          <w:lang w:eastAsia="en-AU"/>
        </w:rPr>
      </w:pPr>
    </w:p>
    <w:p w:rsidR="00EC28BB" w:rsidRDefault="00EC28BB" w:rsidP="001529A9">
      <w:pPr>
        <w:rPr>
          <w:lang w:eastAsia="en-AU"/>
        </w:rPr>
      </w:pPr>
      <w:r w:rsidRPr="002F4F7E">
        <w:rPr>
          <w:b/>
          <w:lang w:eastAsia="en-AU"/>
        </w:rPr>
        <w:t>Held (</w:t>
      </w:r>
      <w:r w:rsidR="0024748B">
        <w:rPr>
          <w:b/>
          <w:lang w:eastAsia="en-AU"/>
        </w:rPr>
        <w:t>7</w:t>
      </w:r>
      <w:r>
        <w:rPr>
          <w:b/>
          <w:lang w:eastAsia="en-AU"/>
        </w:rPr>
        <w:t>:</w:t>
      </w:r>
      <w:r w:rsidR="0024748B">
        <w:rPr>
          <w:b/>
          <w:lang w:eastAsia="en-AU"/>
        </w:rPr>
        <w:t>1</w:t>
      </w:r>
      <w:r w:rsidRPr="002F4F7E">
        <w:rPr>
          <w:b/>
          <w:lang w:eastAsia="en-AU"/>
        </w:rPr>
        <w:t xml:space="preserve">): </w:t>
      </w:r>
      <w:r w:rsidR="0024748B">
        <w:rPr>
          <w:lang w:eastAsia="en-AU"/>
        </w:rPr>
        <w:t xml:space="preserve">Vacated and remanded. </w:t>
      </w:r>
      <w:r>
        <w:rPr>
          <w:lang w:eastAsia="en-AU"/>
        </w:rPr>
        <w:t xml:space="preserve">  </w:t>
      </w:r>
    </w:p>
    <w:p w:rsidR="00817392" w:rsidRDefault="00817392" w:rsidP="00817392">
      <w:pPr>
        <w:pStyle w:val="BullDivider1"/>
        <w:pBdr>
          <w:bottom w:val="dotted" w:sz="4" w:space="0" w:color="auto"/>
        </w:pBdr>
      </w:pPr>
    </w:p>
    <w:p w:rsidR="00817392" w:rsidRDefault="00817392" w:rsidP="00817392">
      <w:pPr>
        <w:rPr>
          <w:lang w:eastAsia="en-AU"/>
        </w:rPr>
      </w:pPr>
      <w:r>
        <w:rPr>
          <w:lang w:eastAsia="en-AU"/>
        </w:rPr>
        <w:t xml:space="preserve"> </w:t>
      </w:r>
    </w:p>
    <w:p w:rsidR="00817392" w:rsidRPr="002F4F7E" w:rsidRDefault="00817392" w:rsidP="00817392">
      <w:pPr>
        <w:pStyle w:val="Heading2"/>
      </w:pPr>
      <w:r>
        <w:t xml:space="preserve">Competition Commission v </w:t>
      </w:r>
      <w:proofErr w:type="spellStart"/>
      <w:r>
        <w:t>Beefcor</w:t>
      </w:r>
      <w:proofErr w:type="spellEnd"/>
      <w:r>
        <w:t xml:space="preserve"> Proprietary Ltd </w:t>
      </w:r>
      <w:r w:rsidR="002D309D">
        <w:t>&amp; Anor</w:t>
      </w:r>
    </w:p>
    <w:p w:rsidR="00817392" w:rsidRPr="002F4F7E" w:rsidRDefault="00817392" w:rsidP="00817392">
      <w:pPr>
        <w:rPr>
          <w:lang w:eastAsia="en-AU"/>
        </w:rPr>
      </w:pPr>
      <w:r>
        <w:rPr>
          <w:b/>
          <w:lang w:eastAsia="en-AU"/>
        </w:rPr>
        <w:t>Constitutional Court of South Africa</w:t>
      </w:r>
      <w:r w:rsidRPr="002F4F7E">
        <w:rPr>
          <w:b/>
          <w:lang w:eastAsia="en-AU"/>
        </w:rPr>
        <w:t xml:space="preserve">: </w:t>
      </w:r>
      <w:hyperlink r:id="rId53" w:history="1">
        <w:r w:rsidR="0024748B" w:rsidRPr="0024748B">
          <w:rPr>
            <w:rStyle w:val="Hyperlink"/>
            <w:lang w:eastAsia="en-AU"/>
          </w:rPr>
          <w:t>[2021] ZACC 9</w:t>
        </w:r>
      </w:hyperlink>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Judgment delivered:</w:t>
      </w:r>
      <w:r w:rsidRPr="002F4F7E">
        <w:rPr>
          <w:lang w:eastAsia="en-AU"/>
        </w:rPr>
        <w:t xml:space="preserve"> </w:t>
      </w:r>
      <w:r>
        <w:rPr>
          <w:lang w:eastAsia="en-AU"/>
        </w:rPr>
        <w:t>13 May 2021</w:t>
      </w:r>
    </w:p>
    <w:p w:rsidR="00817392" w:rsidRPr="002F4F7E" w:rsidRDefault="00817392" w:rsidP="00817392">
      <w:pPr>
        <w:rPr>
          <w:lang w:eastAsia="en-AU"/>
        </w:rPr>
      </w:pPr>
    </w:p>
    <w:p w:rsidR="00817392" w:rsidRPr="002F4F7E" w:rsidRDefault="00817392" w:rsidP="00817392">
      <w:pPr>
        <w:rPr>
          <w:lang w:eastAsia="en-AU"/>
        </w:rPr>
      </w:pPr>
      <w:r w:rsidRPr="002F4F7E">
        <w:rPr>
          <w:b/>
          <w:lang w:eastAsia="en-AU"/>
        </w:rPr>
        <w:t>Coram:</w:t>
      </w:r>
      <w:r>
        <w:rPr>
          <w:b/>
          <w:lang w:eastAsia="en-AU"/>
        </w:rPr>
        <w:t xml:space="preserve"> </w:t>
      </w:r>
      <w:proofErr w:type="spellStart"/>
      <w:r w:rsidRPr="00817392">
        <w:rPr>
          <w:lang w:eastAsia="en-AU"/>
        </w:rPr>
        <w:t>Mogoeng</w:t>
      </w:r>
      <w:proofErr w:type="spellEnd"/>
      <w:r w:rsidRPr="00817392">
        <w:rPr>
          <w:lang w:eastAsia="en-AU"/>
        </w:rPr>
        <w:t xml:space="preserve"> CJ, Jafta, </w:t>
      </w:r>
      <w:proofErr w:type="spellStart"/>
      <w:r w:rsidRPr="00817392">
        <w:rPr>
          <w:lang w:eastAsia="en-AU"/>
        </w:rPr>
        <w:t>Khampepe</w:t>
      </w:r>
      <w:proofErr w:type="spellEnd"/>
      <w:r w:rsidRPr="00817392">
        <w:rPr>
          <w:lang w:eastAsia="en-AU"/>
        </w:rPr>
        <w:t xml:space="preserve">, </w:t>
      </w:r>
      <w:proofErr w:type="spellStart"/>
      <w:r w:rsidRPr="00817392">
        <w:rPr>
          <w:lang w:eastAsia="en-AU"/>
        </w:rPr>
        <w:t>Madlanga</w:t>
      </w:r>
      <w:proofErr w:type="spellEnd"/>
      <w:r w:rsidRPr="00817392">
        <w:rPr>
          <w:lang w:eastAsia="en-AU"/>
        </w:rPr>
        <w:t xml:space="preserve">, </w:t>
      </w:r>
      <w:proofErr w:type="spellStart"/>
      <w:r w:rsidRPr="00817392">
        <w:rPr>
          <w:lang w:eastAsia="en-AU"/>
        </w:rPr>
        <w:t>Majiedt</w:t>
      </w:r>
      <w:proofErr w:type="spellEnd"/>
      <w:r w:rsidRPr="00817392">
        <w:rPr>
          <w:lang w:eastAsia="en-AU"/>
        </w:rPr>
        <w:t xml:space="preserve">, </w:t>
      </w:r>
      <w:proofErr w:type="spellStart"/>
      <w:r w:rsidRPr="00817392">
        <w:rPr>
          <w:lang w:eastAsia="en-AU"/>
        </w:rPr>
        <w:t>Mhlantla</w:t>
      </w:r>
      <w:proofErr w:type="spellEnd"/>
      <w:r>
        <w:rPr>
          <w:lang w:eastAsia="en-AU"/>
        </w:rPr>
        <w:t xml:space="preserve"> </w:t>
      </w:r>
      <w:r w:rsidRPr="00817392">
        <w:rPr>
          <w:lang w:eastAsia="en-AU"/>
        </w:rPr>
        <w:t>J</w:t>
      </w:r>
      <w:r>
        <w:rPr>
          <w:lang w:eastAsia="en-AU"/>
        </w:rPr>
        <w:t>J</w:t>
      </w:r>
      <w:r w:rsidRPr="00817392">
        <w:rPr>
          <w:lang w:eastAsia="en-AU"/>
        </w:rPr>
        <w:t xml:space="preserve">, Pillay AJ, Theron J, </w:t>
      </w:r>
      <w:proofErr w:type="spellStart"/>
      <w:r w:rsidRPr="00817392">
        <w:rPr>
          <w:lang w:eastAsia="en-AU"/>
        </w:rPr>
        <w:t>Tlaletsi</w:t>
      </w:r>
      <w:proofErr w:type="spellEnd"/>
      <w:r w:rsidRPr="00817392">
        <w:rPr>
          <w:lang w:eastAsia="en-AU"/>
        </w:rPr>
        <w:t xml:space="preserve"> AJ and </w:t>
      </w:r>
      <w:proofErr w:type="spellStart"/>
      <w:r w:rsidRPr="00817392">
        <w:rPr>
          <w:lang w:eastAsia="en-AU"/>
        </w:rPr>
        <w:t>Tshiqi</w:t>
      </w:r>
      <w:proofErr w:type="spellEnd"/>
      <w:r w:rsidRPr="00817392">
        <w:rPr>
          <w:lang w:eastAsia="en-AU"/>
        </w:rPr>
        <w:t xml:space="preserve"> J</w:t>
      </w:r>
    </w:p>
    <w:p w:rsidR="00817392" w:rsidRPr="002F4F7E" w:rsidRDefault="00817392" w:rsidP="00817392">
      <w:pPr>
        <w:rPr>
          <w:lang w:eastAsia="en-AU"/>
        </w:rPr>
      </w:pPr>
    </w:p>
    <w:p w:rsidR="00817392" w:rsidRPr="002F4F7E" w:rsidRDefault="00817392" w:rsidP="00817392">
      <w:pPr>
        <w:rPr>
          <w:b/>
          <w:lang w:eastAsia="en-AU"/>
        </w:rPr>
      </w:pPr>
      <w:r>
        <w:rPr>
          <w:b/>
          <w:lang w:eastAsia="en-AU"/>
        </w:rPr>
        <w:t>Catchwords:</w:t>
      </w:r>
    </w:p>
    <w:p w:rsidR="00817392" w:rsidRPr="00856E9C" w:rsidRDefault="00817392" w:rsidP="00817392">
      <w:pPr>
        <w:rPr>
          <w:b/>
          <w:highlight w:val="yellow"/>
          <w:lang w:eastAsia="en-AU"/>
        </w:rPr>
      </w:pPr>
    </w:p>
    <w:p w:rsidR="00817392" w:rsidRDefault="00817392" w:rsidP="00817392">
      <w:pPr>
        <w:ind w:left="720"/>
        <w:rPr>
          <w:lang w:eastAsia="en-AU"/>
        </w:rPr>
      </w:pPr>
      <w:r>
        <w:rPr>
          <w:lang w:eastAsia="en-AU"/>
        </w:rPr>
        <w:t xml:space="preserve">Practice and procedure – </w:t>
      </w:r>
      <w:r w:rsidR="00C475FC">
        <w:rPr>
          <w:lang w:eastAsia="en-AU"/>
        </w:rPr>
        <w:t>Withdrawal of complaint – Reinstatement of matter – Where appellant initiated complaint against respondent, alleging breach of competition law – Where, prior to hearing before Competition Tribunal, appellant informed respondent it wished to engage in settlement negotiations – Where appellant filed notice of withdrawal to facilitate negotiations – Where negotiations failed – Where appellant filed application to reinstate proceedings before Tribunal – Where Tribunal held possible for appellant to reinstate withdraw</w:t>
      </w:r>
      <w:r w:rsidR="00962406">
        <w:rPr>
          <w:lang w:eastAsia="en-AU"/>
        </w:rPr>
        <w:t>n</w:t>
      </w:r>
      <w:r w:rsidR="00C475FC">
        <w:rPr>
          <w:lang w:eastAsia="en-AU"/>
        </w:rPr>
        <w:t xml:space="preserve"> complaint, but found proper case for reinstatement not made out – Where appellant unsuccessfully appealed to Competition Appeal Court</w:t>
      </w:r>
      <w:r w:rsidR="00B56405">
        <w:rPr>
          <w:lang w:eastAsia="en-AU"/>
        </w:rPr>
        <w:t xml:space="preserve">, which held withdrawal amounted to completed proceedings and appellant unable to reinstate same complaint – Whether withdrawn complaint completed proceedings – Whether withdrawn complaint may be reinstated. </w:t>
      </w:r>
    </w:p>
    <w:p w:rsidR="00817392" w:rsidRPr="00856E9C" w:rsidRDefault="00817392" w:rsidP="00817392">
      <w:pPr>
        <w:rPr>
          <w:highlight w:val="yellow"/>
          <w:lang w:eastAsia="en-AU"/>
        </w:rPr>
      </w:pPr>
    </w:p>
    <w:p w:rsidR="00817392" w:rsidRDefault="00817392" w:rsidP="00817392">
      <w:pPr>
        <w:rPr>
          <w:lang w:eastAsia="en-AU"/>
        </w:rPr>
      </w:pPr>
      <w:r w:rsidRPr="002F4F7E">
        <w:rPr>
          <w:b/>
          <w:lang w:eastAsia="en-AU"/>
        </w:rPr>
        <w:t>Held (</w:t>
      </w:r>
      <w:r w:rsidR="00C475FC">
        <w:rPr>
          <w:b/>
          <w:lang w:eastAsia="en-AU"/>
        </w:rPr>
        <w:t>10</w:t>
      </w:r>
      <w:r>
        <w:rPr>
          <w:b/>
          <w:lang w:eastAsia="en-AU"/>
        </w:rPr>
        <w:t>:0</w:t>
      </w:r>
      <w:r w:rsidRPr="002F4F7E">
        <w:rPr>
          <w:b/>
          <w:lang w:eastAsia="en-AU"/>
        </w:rPr>
        <w:t xml:space="preserve">): </w:t>
      </w:r>
      <w:r>
        <w:rPr>
          <w:lang w:eastAsia="en-AU"/>
        </w:rPr>
        <w:t xml:space="preserve">Appeal </w:t>
      </w:r>
      <w:r w:rsidR="00C475FC">
        <w:rPr>
          <w:lang w:eastAsia="en-AU"/>
        </w:rPr>
        <w:t xml:space="preserve">allowed. </w:t>
      </w:r>
      <w:r>
        <w:rPr>
          <w:lang w:eastAsia="en-AU"/>
        </w:rPr>
        <w:t xml:space="preserve"> </w:t>
      </w:r>
    </w:p>
    <w:p w:rsidR="00E83181" w:rsidRDefault="00E83181" w:rsidP="00E83181">
      <w:pPr>
        <w:pStyle w:val="BullDivider2"/>
        <w:rPr>
          <w:rFonts w:cs="Arial"/>
          <w:highlight w:val="yellow"/>
        </w:rPr>
      </w:pPr>
    </w:p>
    <w:p w:rsidR="00E83181" w:rsidRDefault="00E83181" w:rsidP="00E83181"/>
    <w:p w:rsidR="00E83181" w:rsidRPr="00B20BAC" w:rsidRDefault="00E83181" w:rsidP="00E83181">
      <w:pPr>
        <w:pStyle w:val="Heading1"/>
      </w:pPr>
      <w:r>
        <w:t>Property Law</w:t>
      </w:r>
    </w:p>
    <w:p w:rsidR="00741C2B" w:rsidRDefault="00741C2B" w:rsidP="00741C2B">
      <w:pPr>
        <w:rPr>
          <w:lang w:eastAsia="en-AU"/>
        </w:rPr>
      </w:pPr>
    </w:p>
    <w:p w:rsidR="00741C2B" w:rsidRPr="002F4F7E" w:rsidRDefault="00CA739D" w:rsidP="00741C2B">
      <w:pPr>
        <w:pStyle w:val="Heading2"/>
      </w:pPr>
      <w:proofErr w:type="spellStart"/>
      <w:r>
        <w:t>PennEast</w:t>
      </w:r>
      <w:proofErr w:type="spellEnd"/>
      <w:r>
        <w:t xml:space="preserve"> Pipeline Co LLC v New Jersey &amp; </w:t>
      </w:r>
      <w:proofErr w:type="spellStart"/>
      <w:r>
        <w:t>Ors</w:t>
      </w:r>
      <w:proofErr w:type="spellEnd"/>
    </w:p>
    <w:p w:rsidR="00741C2B" w:rsidRPr="002F4F7E" w:rsidRDefault="00741C2B" w:rsidP="00741C2B">
      <w:pPr>
        <w:rPr>
          <w:lang w:eastAsia="en-AU"/>
        </w:rPr>
      </w:pPr>
      <w:r>
        <w:rPr>
          <w:b/>
          <w:lang w:eastAsia="en-AU"/>
        </w:rPr>
        <w:t>Supreme Court of the United States</w:t>
      </w:r>
      <w:r w:rsidRPr="002F4F7E">
        <w:rPr>
          <w:b/>
          <w:lang w:eastAsia="en-AU"/>
        </w:rPr>
        <w:t xml:space="preserve">: </w:t>
      </w:r>
      <w:hyperlink r:id="rId54" w:history="1">
        <w:r>
          <w:rPr>
            <w:rStyle w:val="Hyperlink"/>
            <w:lang w:eastAsia="en-AU"/>
          </w:rPr>
          <w:t>Docket No.</w:t>
        </w:r>
        <w:r w:rsidRPr="0024748B">
          <w:rPr>
            <w:rStyle w:val="Hyperlink"/>
            <w:lang w:eastAsia="en-AU"/>
          </w:rPr>
          <w:t xml:space="preserve"> </w:t>
        </w:r>
        <w:r w:rsidR="0008289E">
          <w:rPr>
            <w:rStyle w:val="Hyperlink"/>
            <w:lang w:eastAsia="en-AU"/>
          </w:rPr>
          <w:t>19-1039</w:t>
        </w:r>
      </w:hyperlink>
    </w:p>
    <w:p w:rsidR="00741C2B" w:rsidRPr="002F4F7E" w:rsidRDefault="00741C2B" w:rsidP="00741C2B">
      <w:pPr>
        <w:rPr>
          <w:lang w:eastAsia="en-AU"/>
        </w:rPr>
      </w:pPr>
    </w:p>
    <w:p w:rsidR="00741C2B" w:rsidRPr="002F4F7E" w:rsidRDefault="00741C2B" w:rsidP="00741C2B">
      <w:pPr>
        <w:rPr>
          <w:lang w:eastAsia="en-AU"/>
        </w:rPr>
      </w:pPr>
      <w:r w:rsidRPr="002F4F7E">
        <w:rPr>
          <w:b/>
          <w:lang w:eastAsia="en-AU"/>
        </w:rPr>
        <w:lastRenderedPageBreak/>
        <w:t>Judgment delivered:</w:t>
      </w:r>
      <w:r w:rsidRPr="002F4F7E">
        <w:rPr>
          <w:lang w:eastAsia="en-AU"/>
        </w:rPr>
        <w:t xml:space="preserve"> </w:t>
      </w:r>
      <w:r w:rsidR="0008289E">
        <w:rPr>
          <w:lang w:eastAsia="en-AU"/>
        </w:rPr>
        <w:t>29 June</w:t>
      </w:r>
      <w:r>
        <w:rPr>
          <w:lang w:eastAsia="en-AU"/>
        </w:rPr>
        <w:t xml:space="preserve"> 2021</w:t>
      </w:r>
    </w:p>
    <w:p w:rsidR="00741C2B" w:rsidRPr="002F4F7E" w:rsidRDefault="00741C2B" w:rsidP="00741C2B">
      <w:pPr>
        <w:rPr>
          <w:lang w:eastAsia="en-AU"/>
        </w:rPr>
      </w:pPr>
    </w:p>
    <w:p w:rsidR="00741C2B" w:rsidRPr="002F4F7E" w:rsidRDefault="00741C2B" w:rsidP="00741C2B">
      <w:pPr>
        <w:rPr>
          <w:lang w:eastAsia="en-AU"/>
        </w:rPr>
      </w:pPr>
      <w:r w:rsidRPr="002F4F7E">
        <w:rPr>
          <w:b/>
          <w:lang w:eastAsia="en-AU"/>
        </w:rPr>
        <w:t>Coram:</w:t>
      </w:r>
      <w:r>
        <w:rPr>
          <w:b/>
          <w:lang w:eastAsia="en-AU"/>
        </w:rPr>
        <w:t xml:space="preserve">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741C2B" w:rsidRPr="002F4F7E" w:rsidRDefault="00741C2B" w:rsidP="00741C2B">
      <w:pPr>
        <w:rPr>
          <w:lang w:eastAsia="en-AU"/>
        </w:rPr>
      </w:pPr>
    </w:p>
    <w:p w:rsidR="00741C2B" w:rsidRPr="002F4F7E" w:rsidRDefault="00741C2B" w:rsidP="00741C2B">
      <w:pPr>
        <w:rPr>
          <w:b/>
          <w:lang w:eastAsia="en-AU"/>
        </w:rPr>
      </w:pPr>
      <w:r>
        <w:rPr>
          <w:b/>
          <w:lang w:eastAsia="en-AU"/>
        </w:rPr>
        <w:t>Catchwords:</w:t>
      </w:r>
    </w:p>
    <w:p w:rsidR="00741C2B" w:rsidRPr="00856E9C" w:rsidRDefault="00741C2B" w:rsidP="00741C2B">
      <w:pPr>
        <w:rPr>
          <w:b/>
          <w:highlight w:val="yellow"/>
          <w:lang w:eastAsia="en-AU"/>
        </w:rPr>
      </w:pPr>
    </w:p>
    <w:p w:rsidR="00741C2B" w:rsidRDefault="0008289E" w:rsidP="00741C2B">
      <w:pPr>
        <w:ind w:left="720"/>
        <w:rPr>
          <w:lang w:eastAsia="en-AU"/>
        </w:rPr>
      </w:pPr>
      <w:r>
        <w:rPr>
          <w:lang w:eastAsia="en-AU"/>
        </w:rPr>
        <w:t xml:space="preserve">Property law – </w:t>
      </w:r>
      <w:r w:rsidR="00624716">
        <w:rPr>
          <w:lang w:eastAsia="en-AU"/>
        </w:rPr>
        <w:t>Federal e</w:t>
      </w:r>
      <w:r>
        <w:rPr>
          <w:lang w:eastAsia="en-AU"/>
        </w:rPr>
        <w:t xml:space="preserve">minent domain </w:t>
      </w:r>
      <w:r w:rsidR="00624716">
        <w:rPr>
          <w:lang w:eastAsia="en-AU"/>
        </w:rPr>
        <w:t xml:space="preserve">– Applicability to state-owned land – Where 15 USC </w:t>
      </w:r>
      <w:r w:rsidR="00624716">
        <w:t xml:space="preserve">§717f(h) allowed Federal Energy Regulatory Commission to issue certificate to companies to build interstate gas pipeline and authorised certificate holders to exercise federal eminent domain power to take property to build pipeline – Where petitioner certificate holder applied to exercise federal eminent domain powers over land owned by respondent state New Jersey – Where District Court granted request but Third Circuit vacated decision, holding clear words in statute needed to delegate certificate holders power to </w:t>
      </w:r>
      <w:r w:rsidR="00555F5E">
        <w:t>condemn</w:t>
      </w:r>
      <w:r w:rsidR="00624716">
        <w:t xml:space="preserve"> state-owned land – Whether §717f(h) authorises certificate holder to </w:t>
      </w:r>
      <w:r w:rsidR="00555F5E">
        <w:t xml:space="preserve">condemn </w:t>
      </w:r>
      <w:r w:rsidR="00624716">
        <w:t xml:space="preserve">state-owned land. </w:t>
      </w:r>
    </w:p>
    <w:p w:rsidR="00741C2B" w:rsidRPr="00856E9C" w:rsidRDefault="00741C2B" w:rsidP="00741C2B">
      <w:pPr>
        <w:rPr>
          <w:highlight w:val="yellow"/>
          <w:lang w:eastAsia="en-AU"/>
        </w:rPr>
      </w:pPr>
    </w:p>
    <w:p w:rsidR="00741C2B" w:rsidRDefault="00741C2B" w:rsidP="00741C2B">
      <w:pPr>
        <w:rPr>
          <w:lang w:eastAsia="en-AU"/>
        </w:rPr>
      </w:pPr>
      <w:r w:rsidRPr="002F4F7E">
        <w:rPr>
          <w:b/>
          <w:lang w:eastAsia="en-AU"/>
        </w:rPr>
        <w:t>Held (</w:t>
      </w:r>
      <w:r>
        <w:rPr>
          <w:b/>
          <w:lang w:eastAsia="en-AU"/>
        </w:rPr>
        <w:t>5:4</w:t>
      </w:r>
      <w:r w:rsidRPr="002F4F7E">
        <w:rPr>
          <w:b/>
          <w:lang w:eastAsia="en-AU"/>
        </w:rPr>
        <w:t xml:space="preserve">): </w:t>
      </w:r>
      <w:r>
        <w:rPr>
          <w:lang w:eastAsia="en-AU"/>
        </w:rPr>
        <w:t>Reversed and remanded.</w:t>
      </w:r>
    </w:p>
    <w:p w:rsidR="00741C2B" w:rsidRDefault="00741C2B" w:rsidP="00741C2B">
      <w:pPr>
        <w:pStyle w:val="BullDivider1"/>
        <w:pBdr>
          <w:bottom w:val="dotted" w:sz="4" w:space="0" w:color="auto"/>
        </w:pBdr>
      </w:pPr>
    </w:p>
    <w:p w:rsidR="00741C2B" w:rsidRDefault="00741C2B" w:rsidP="00741C2B">
      <w:pPr>
        <w:rPr>
          <w:lang w:eastAsia="en-AU"/>
        </w:rPr>
      </w:pPr>
      <w:r>
        <w:rPr>
          <w:lang w:eastAsia="en-AU"/>
        </w:rPr>
        <w:t xml:space="preserve"> </w:t>
      </w:r>
    </w:p>
    <w:p w:rsidR="00853A55" w:rsidRPr="002F4F7E" w:rsidRDefault="00D65FBE" w:rsidP="00853A55">
      <w:pPr>
        <w:pStyle w:val="Heading2"/>
      </w:pPr>
      <w:r>
        <w:t>University of Johannesburg v Auckland Park Theological Seminary &amp; Anor</w:t>
      </w:r>
    </w:p>
    <w:p w:rsidR="00853A55" w:rsidRPr="002F4F7E" w:rsidRDefault="00853A55" w:rsidP="00853A55">
      <w:pPr>
        <w:rPr>
          <w:lang w:eastAsia="en-AU"/>
        </w:rPr>
      </w:pPr>
      <w:r>
        <w:rPr>
          <w:b/>
          <w:lang w:eastAsia="en-AU"/>
        </w:rPr>
        <w:t>Constitutional Court of South Africa</w:t>
      </w:r>
      <w:r w:rsidRPr="002F4F7E">
        <w:rPr>
          <w:b/>
          <w:lang w:eastAsia="en-AU"/>
        </w:rPr>
        <w:t xml:space="preserve">: </w:t>
      </w:r>
      <w:hyperlink r:id="rId55" w:history="1">
        <w:r w:rsidRPr="0024748B">
          <w:rPr>
            <w:rStyle w:val="Hyperlink"/>
            <w:lang w:eastAsia="en-AU"/>
          </w:rPr>
          <w:t xml:space="preserve">[2021] ZACC </w:t>
        </w:r>
        <w:r w:rsidR="00D65FBE">
          <w:rPr>
            <w:rStyle w:val="Hyperlink"/>
            <w:lang w:eastAsia="en-AU"/>
          </w:rPr>
          <w:t>13</w:t>
        </w:r>
      </w:hyperlink>
    </w:p>
    <w:p w:rsidR="00853A55" w:rsidRPr="002F4F7E" w:rsidRDefault="00853A55" w:rsidP="00853A55">
      <w:pPr>
        <w:rPr>
          <w:lang w:eastAsia="en-AU"/>
        </w:rPr>
      </w:pPr>
    </w:p>
    <w:p w:rsidR="00853A55" w:rsidRPr="002F4F7E" w:rsidRDefault="00853A55" w:rsidP="00853A55">
      <w:pPr>
        <w:rPr>
          <w:lang w:eastAsia="en-AU"/>
        </w:rPr>
      </w:pPr>
      <w:r w:rsidRPr="002F4F7E">
        <w:rPr>
          <w:b/>
          <w:lang w:eastAsia="en-AU"/>
        </w:rPr>
        <w:t>Judgment delivered:</w:t>
      </w:r>
      <w:r w:rsidRPr="002F4F7E">
        <w:rPr>
          <w:lang w:eastAsia="en-AU"/>
        </w:rPr>
        <w:t xml:space="preserve"> </w:t>
      </w:r>
      <w:r w:rsidR="00D65FBE">
        <w:rPr>
          <w:lang w:eastAsia="en-AU"/>
        </w:rPr>
        <w:t>11 June</w:t>
      </w:r>
      <w:r>
        <w:rPr>
          <w:lang w:eastAsia="en-AU"/>
        </w:rPr>
        <w:t xml:space="preserve"> 2021</w:t>
      </w:r>
    </w:p>
    <w:p w:rsidR="00853A55" w:rsidRPr="002F4F7E" w:rsidRDefault="00853A55" w:rsidP="00853A55">
      <w:pPr>
        <w:rPr>
          <w:lang w:eastAsia="en-AU"/>
        </w:rPr>
      </w:pPr>
    </w:p>
    <w:p w:rsidR="00853A55" w:rsidRPr="002F4F7E" w:rsidRDefault="00853A55" w:rsidP="00853A55">
      <w:pPr>
        <w:rPr>
          <w:lang w:eastAsia="en-AU"/>
        </w:rPr>
      </w:pPr>
      <w:r w:rsidRPr="002F4F7E">
        <w:rPr>
          <w:b/>
          <w:lang w:eastAsia="en-AU"/>
        </w:rPr>
        <w:t>Coram:</w:t>
      </w:r>
      <w:r>
        <w:rPr>
          <w:b/>
          <w:lang w:eastAsia="en-AU"/>
        </w:rPr>
        <w:t xml:space="preserve"> </w:t>
      </w:r>
      <w:proofErr w:type="spellStart"/>
      <w:r w:rsidRPr="00817392">
        <w:rPr>
          <w:lang w:eastAsia="en-AU"/>
        </w:rPr>
        <w:t>Mogoeng</w:t>
      </w:r>
      <w:proofErr w:type="spellEnd"/>
      <w:r w:rsidRPr="00817392">
        <w:rPr>
          <w:lang w:eastAsia="en-AU"/>
        </w:rPr>
        <w:t xml:space="preserve"> CJ, Jafta, </w:t>
      </w:r>
      <w:proofErr w:type="spellStart"/>
      <w:r w:rsidRPr="00817392">
        <w:rPr>
          <w:lang w:eastAsia="en-AU"/>
        </w:rPr>
        <w:t>Khampepe</w:t>
      </w:r>
      <w:proofErr w:type="spellEnd"/>
      <w:r w:rsidRPr="00817392">
        <w:rPr>
          <w:lang w:eastAsia="en-AU"/>
        </w:rPr>
        <w:t xml:space="preserve">, </w:t>
      </w:r>
      <w:proofErr w:type="spellStart"/>
      <w:r w:rsidRPr="00817392">
        <w:rPr>
          <w:lang w:eastAsia="en-AU"/>
        </w:rPr>
        <w:t>Madlanga</w:t>
      </w:r>
      <w:proofErr w:type="spellEnd"/>
      <w:r w:rsidR="00D65FBE">
        <w:rPr>
          <w:lang w:eastAsia="en-AU"/>
        </w:rPr>
        <w:t xml:space="preserve"> JJ, </w:t>
      </w:r>
      <w:proofErr w:type="spellStart"/>
      <w:r w:rsidR="00D65FBE">
        <w:rPr>
          <w:lang w:eastAsia="en-AU"/>
        </w:rPr>
        <w:t>Mathopo</w:t>
      </w:r>
      <w:proofErr w:type="spellEnd"/>
      <w:r w:rsidR="00D65FBE">
        <w:rPr>
          <w:lang w:eastAsia="en-AU"/>
        </w:rPr>
        <w:t xml:space="preserve"> AJ, </w:t>
      </w:r>
      <w:proofErr w:type="spellStart"/>
      <w:r w:rsidRPr="00817392">
        <w:rPr>
          <w:lang w:eastAsia="en-AU"/>
        </w:rPr>
        <w:t>Mhlantla</w:t>
      </w:r>
      <w:proofErr w:type="spellEnd"/>
      <w:r w:rsidR="00D65FBE">
        <w:rPr>
          <w:lang w:eastAsia="en-AU"/>
        </w:rPr>
        <w:t>,</w:t>
      </w:r>
      <w:r>
        <w:rPr>
          <w:lang w:eastAsia="en-AU"/>
        </w:rPr>
        <w:t xml:space="preserve"> </w:t>
      </w:r>
      <w:r w:rsidR="00D65FBE">
        <w:rPr>
          <w:lang w:eastAsia="en-AU"/>
        </w:rPr>
        <w:t xml:space="preserve">Theron and </w:t>
      </w:r>
      <w:proofErr w:type="spellStart"/>
      <w:r w:rsidR="00D65FBE">
        <w:rPr>
          <w:lang w:eastAsia="en-AU"/>
        </w:rPr>
        <w:t>Tshiqi</w:t>
      </w:r>
      <w:proofErr w:type="spellEnd"/>
      <w:r w:rsidR="00D65FBE">
        <w:rPr>
          <w:lang w:eastAsia="en-AU"/>
        </w:rPr>
        <w:t xml:space="preserve"> J</w:t>
      </w:r>
      <w:r w:rsidRPr="00817392">
        <w:rPr>
          <w:lang w:eastAsia="en-AU"/>
        </w:rPr>
        <w:t>J</w:t>
      </w:r>
    </w:p>
    <w:p w:rsidR="00853A55" w:rsidRPr="002F4F7E" w:rsidRDefault="00853A55" w:rsidP="00853A55">
      <w:pPr>
        <w:rPr>
          <w:lang w:eastAsia="en-AU"/>
        </w:rPr>
      </w:pPr>
    </w:p>
    <w:p w:rsidR="00853A55" w:rsidRPr="002F4F7E" w:rsidRDefault="00853A55" w:rsidP="00853A55">
      <w:pPr>
        <w:rPr>
          <w:b/>
          <w:lang w:eastAsia="en-AU"/>
        </w:rPr>
      </w:pPr>
      <w:r>
        <w:rPr>
          <w:b/>
          <w:lang w:eastAsia="en-AU"/>
        </w:rPr>
        <w:t>Catchwords:</w:t>
      </w:r>
    </w:p>
    <w:p w:rsidR="00853A55" w:rsidRPr="00856E9C" w:rsidRDefault="00853A55" w:rsidP="00853A55">
      <w:pPr>
        <w:rPr>
          <w:b/>
          <w:highlight w:val="yellow"/>
          <w:lang w:eastAsia="en-AU"/>
        </w:rPr>
      </w:pPr>
    </w:p>
    <w:p w:rsidR="00853A55" w:rsidRPr="00D65FBE" w:rsidRDefault="00D65FBE" w:rsidP="00853A55">
      <w:pPr>
        <w:ind w:left="720"/>
        <w:rPr>
          <w:lang w:eastAsia="en-AU"/>
        </w:rPr>
      </w:pPr>
      <w:r>
        <w:rPr>
          <w:lang w:eastAsia="en-AU"/>
        </w:rPr>
        <w:t>Property law – Lease – Personal rights</w:t>
      </w:r>
      <w:r>
        <w:rPr>
          <w:i/>
          <w:lang w:eastAsia="en-AU"/>
        </w:rPr>
        <w:t xml:space="preserve"> </w:t>
      </w:r>
      <w:r>
        <w:rPr>
          <w:lang w:eastAsia="en-AU"/>
        </w:rPr>
        <w:t xml:space="preserve">– Assignment – Where applicant university entered into long-term lease with first respondent over certain property on university campus for use as seminary – Where lease required applicant to obtain permission from Minister of Education by giving Minister name of first applicant and purpose of leasing property, and permission granted – Where first applicant did not establish seminary on property but instead ceded rights under lease to second respondent by deed – Where second respondent established primary and secondary school on premises – Where applicant not informed of cession and considered rights in lease personal to first respondent – Where applicant considered first respondent repudiated lease, accepted repudiation, terminated lease and applied to court to evict respondents from property – Where High Court and Full Court held rights in lease personal to first respondent and could not be assigned – Where Supreme Court of Appeal disagreed and allowed respondents’ appeal – Whether rights in lease personal to first respondent – Whether rights can be assigned or ceded.  </w:t>
      </w:r>
    </w:p>
    <w:p w:rsidR="00853A55" w:rsidRPr="00856E9C" w:rsidRDefault="00853A55" w:rsidP="00853A55">
      <w:pPr>
        <w:rPr>
          <w:highlight w:val="yellow"/>
          <w:lang w:eastAsia="en-AU"/>
        </w:rPr>
      </w:pPr>
    </w:p>
    <w:p w:rsidR="00853A55" w:rsidRDefault="00853A55" w:rsidP="00853A55">
      <w:pPr>
        <w:rPr>
          <w:lang w:eastAsia="en-AU"/>
        </w:rPr>
      </w:pPr>
      <w:r w:rsidRPr="002F4F7E">
        <w:rPr>
          <w:b/>
          <w:lang w:eastAsia="en-AU"/>
        </w:rPr>
        <w:t>Held (</w:t>
      </w:r>
      <w:r w:rsidR="00D65FBE">
        <w:rPr>
          <w:b/>
          <w:lang w:eastAsia="en-AU"/>
        </w:rPr>
        <w:t>8</w:t>
      </w:r>
      <w:r>
        <w:rPr>
          <w:b/>
          <w:lang w:eastAsia="en-AU"/>
        </w:rPr>
        <w:t>:0</w:t>
      </w:r>
      <w:r w:rsidRPr="002F4F7E">
        <w:rPr>
          <w:b/>
          <w:lang w:eastAsia="en-AU"/>
        </w:rPr>
        <w:t xml:space="preserve">): </w:t>
      </w:r>
      <w:r w:rsidR="00D65FBE" w:rsidRPr="00D65FBE">
        <w:rPr>
          <w:lang w:eastAsia="en-AU"/>
        </w:rPr>
        <w:t>Leave to appeal granted; a</w:t>
      </w:r>
      <w:r w:rsidRPr="00D65FBE">
        <w:rPr>
          <w:lang w:eastAsia="en-AU"/>
        </w:rPr>
        <w:t>ppeal allowed</w:t>
      </w:r>
      <w:r>
        <w:rPr>
          <w:lang w:eastAsia="en-AU"/>
        </w:rPr>
        <w:t xml:space="preserve">.  </w:t>
      </w:r>
    </w:p>
    <w:p w:rsidR="00853A55" w:rsidRDefault="00853A55" w:rsidP="00853A55">
      <w:pPr>
        <w:pStyle w:val="BullDivider1"/>
        <w:pBdr>
          <w:bottom w:val="dotted" w:sz="4" w:space="0" w:color="auto"/>
        </w:pBdr>
      </w:pPr>
    </w:p>
    <w:p w:rsidR="00853A55" w:rsidRDefault="00853A55" w:rsidP="00853A55"/>
    <w:p w:rsidR="00E83181" w:rsidRPr="00992ECF" w:rsidRDefault="00E83181" w:rsidP="00E83181">
      <w:pPr>
        <w:pStyle w:val="Heading2"/>
        <w:rPr>
          <w:i w:val="0"/>
        </w:rPr>
      </w:pPr>
      <w:r>
        <w:t xml:space="preserve">Cheung v Cheung </w:t>
      </w:r>
      <w:r w:rsidR="002D309D">
        <w:t xml:space="preserve">&amp; </w:t>
      </w:r>
      <w:proofErr w:type="spellStart"/>
      <w:r w:rsidR="002D309D">
        <w:t>Ors</w:t>
      </w:r>
      <w:proofErr w:type="spellEnd"/>
    </w:p>
    <w:p w:rsidR="00E83181" w:rsidRPr="002F4F7E" w:rsidRDefault="00E83181" w:rsidP="00E83181">
      <w:pPr>
        <w:rPr>
          <w:lang w:eastAsia="en-AU"/>
        </w:rPr>
      </w:pPr>
      <w:r>
        <w:rPr>
          <w:b/>
          <w:lang w:eastAsia="en-AU"/>
        </w:rPr>
        <w:t>Hong Kong Court of Final Appeal</w:t>
      </w:r>
      <w:r w:rsidRPr="002F4F7E">
        <w:rPr>
          <w:b/>
          <w:lang w:eastAsia="en-AU"/>
        </w:rPr>
        <w:t xml:space="preserve">: </w:t>
      </w:r>
      <w:hyperlink r:id="rId56" w:history="1">
        <w:r w:rsidRPr="00E83181">
          <w:rPr>
            <w:rStyle w:val="Hyperlink"/>
            <w:lang w:eastAsia="en-AU"/>
          </w:rPr>
          <w:t>[2021] HKCFA 19</w:t>
        </w:r>
      </w:hyperlink>
    </w:p>
    <w:p w:rsidR="00E83181" w:rsidRPr="002F4F7E" w:rsidRDefault="00E83181" w:rsidP="00E83181">
      <w:pPr>
        <w:rPr>
          <w:lang w:eastAsia="en-AU"/>
        </w:rPr>
      </w:pPr>
    </w:p>
    <w:p w:rsidR="00E83181" w:rsidRPr="002F4F7E" w:rsidRDefault="00E83181" w:rsidP="00E83181">
      <w:pPr>
        <w:rPr>
          <w:lang w:eastAsia="en-AU"/>
        </w:rPr>
      </w:pPr>
      <w:r w:rsidRPr="002F4F7E">
        <w:rPr>
          <w:b/>
          <w:lang w:eastAsia="en-AU"/>
        </w:rPr>
        <w:t>Judgment delivered:</w:t>
      </w:r>
      <w:r>
        <w:rPr>
          <w:lang w:eastAsia="en-AU"/>
        </w:rPr>
        <w:t xml:space="preserve"> 27 May 2021</w:t>
      </w:r>
    </w:p>
    <w:p w:rsidR="00E83181" w:rsidRPr="002F4F7E" w:rsidRDefault="00E83181" w:rsidP="00E83181">
      <w:pPr>
        <w:rPr>
          <w:lang w:eastAsia="en-AU"/>
        </w:rPr>
      </w:pPr>
    </w:p>
    <w:p w:rsidR="00E83181" w:rsidRPr="002F4F7E" w:rsidRDefault="00E83181" w:rsidP="00E83181">
      <w:pPr>
        <w:rPr>
          <w:lang w:eastAsia="en-AU"/>
        </w:rPr>
      </w:pPr>
      <w:r w:rsidRPr="002F4F7E">
        <w:rPr>
          <w:b/>
          <w:lang w:eastAsia="en-AU"/>
        </w:rPr>
        <w:t>Coram:</w:t>
      </w:r>
      <w:r>
        <w:rPr>
          <w:b/>
          <w:lang w:eastAsia="en-AU"/>
        </w:rPr>
        <w:t xml:space="preserve"> </w:t>
      </w:r>
      <w:r>
        <w:rPr>
          <w:lang w:eastAsia="en-AU"/>
        </w:rPr>
        <w:t xml:space="preserve">Cheung CJ, Ribeiro, </w:t>
      </w:r>
      <w:proofErr w:type="spellStart"/>
      <w:r>
        <w:rPr>
          <w:lang w:eastAsia="en-AU"/>
        </w:rPr>
        <w:t>Fok</w:t>
      </w:r>
      <w:proofErr w:type="spellEnd"/>
      <w:r>
        <w:rPr>
          <w:lang w:eastAsia="en-AU"/>
        </w:rPr>
        <w:t xml:space="preserve"> PJJ, </w:t>
      </w:r>
      <w:proofErr w:type="spellStart"/>
      <w:r>
        <w:rPr>
          <w:lang w:eastAsia="en-AU"/>
        </w:rPr>
        <w:t>Bokhary</w:t>
      </w:r>
      <w:proofErr w:type="spellEnd"/>
      <w:r>
        <w:rPr>
          <w:lang w:eastAsia="en-AU"/>
        </w:rPr>
        <w:t xml:space="preserve"> and </w:t>
      </w:r>
      <w:proofErr w:type="spellStart"/>
      <w:r>
        <w:rPr>
          <w:lang w:eastAsia="en-AU"/>
        </w:rPr>
        <w:t>Gummow</w:t>
      </w:r>
      <w:proofErr w:type="spellEnd"/>
      <w:r>
        <w:rPr>
          <w:lang w:eastAsia="en-AU"/>
        </w:rPr>
        <w:t xml:space="preserve"> NPJJ</w:t>
      </w:r>
    </w:p>
    <w:p w:rsidR="00E83181" w:rsidRPr="002F4F7E" w:rsidRDefault="00E83181" w:rsidP="00E83181">
      <w:pPr>
        <w:rPr>
          <w:lang w:eastAsia="en-AU"/>
        </w:rPr>
      </w:pPr>
    </w:p>
    <w:p w:rsidR="00E83181" w:rsidRPr="002F4F7E" w:rsidRDefault="00E83181" w:rsidP="00E83181">
      <w:pPr>
        <w:rPr>
          <w:b/>
          <w:lang w:eastAsia="en-AU"/>
        </w:rPr>
      </w:pPr>
      <w:r>
        <w:rPr>
          <w:b/>
          <w:lang w:eastAsia="en-AU"/>
        </w:rPr>
        <w:t>Catchwords:</w:t>
      </w:r>
    </w:p>
    <w:p w:rsidR="00E83181" w:rsidRPr="00856E9C" w:rsidRDefault="00E83181" w:rsidP="00E83181">
      <w:pPr>
        <w:rPr>
          <w:b/>
          <w:highlight w:val="yellow"/>
          <w:lang w:eastAsia="en-AU"/>
        </w:rPr>
      </w:pPr>
    </w:p>
    <w:p w:rsidR="00B85C91" w:rsidRDefault="00C65DB7" w:rsidP="00E83181">
      <w:pPr>
        <w:ind w:left="720"/>
        <w:rPr>
          <w:lang w:eastAsia="en-AU"/>
        </w:rPr>
      </w:pPr>
      <w:r>
        <w:rPr>
          <w:lang w:eastAsia="en-AU"/>
        </w:rPr>
        <w:t xml:space="preserve">Property law – </w:t>
      </w:r>
      <w:r w:rsidR="00B85C91">
        <w:rPr>
          <w:lang w:eastAsia="en-AU"/>
        </w:rPr>
        <w:t xml:space="preserve">Equity – </w:t>
      </w:r>
      <w:r>
        <w:rPr>
          <w:lang w:eastAsia="en-AU"/>
        </w:rPr>
        <w:t xml:space="preserve">Proprietary estoppel </w:t>
      </w:r>
      <w:r w:rsidR="00B85C91">
        <w:rPr>
          <w:lang w:eastAsia="en-AU"/>
        </w:rPr>
        <w:t xml:space="preserve">– Detrimental reliance – Occupation rent – Partition and ouster – Where disputed land owned jointly owned by three brothers until their deaths – Where appellant administrator of estates of two younger brothers – Where respondents children and grandchildren of eldest brother – Where, since 1970, common understanding existed between three brothers and third respondent, such that third respondent could use disputed land and build house – Where third respondent carried out various building works on land – Where appellants brought action against respondents seeking injunction to enjoin further building works on land and to remove existing structures – Where respondents argued appellant estopped from claiming relief – Where respondents counterclaimed against appellant for one third of rental income of house built adjacent to disputed land, held as tenants-in-common, and respondents not ousted – Whether sufficient detrimental reliance by third respondent on common understanding prior to death of all three brothers – Whether respondents entitled to occupation rents even if no ouster – Whether equities favour </w:t>
      </w:r>
      <w:r w:rsidR="00262FE1">
        <w:rPr>
          <w:lang w:eastAsia="en-AU"/>
        </w:rPr>
        <w:t xml:space="preserve">payment of occupation rent. </w:t>
      </w:r>
    </w:p>
    <w:p w:rsidR="00E83181" w:rsidRPr="00856E9C" w:rsidRDefault="00E83181" w:rsidP="00E83181">
      <w:pPr>
        <w:ind w:left="720"/>
        <w:rPr>
          <w:highlight w:val="yellow"/>
          <w:lang w:eastAsia="en-AU"/>
        </w:rPr>
      </w:pPr>
    </w:p>
    <w:p w:rsidR="00E83181" w:rsidRDefault="00E83181" w:rsidP="00E83181">
      <w:pPr>
        <w:rPr>
          <w:lang w:eastAsia="en-AU"/>
        </w:rPr>
      </w:pPr>
      <w:r w:rsidRPr="002F4F7E">
        <w:rPr>
          <w:b/>
          <w:lang w:eastAsia="en-AU"/>
        </w:rPr>
        <w:t>Held (</w:t>
      </w:r>
      <w:r>
        <w:rPr>
          <w:b/>
          <w:lang w:eastAsia="en-AU"/>
        </w:rPr>
        <w:t>5:</w:t>
      </w:r>
      <w:r w:rsidR="00C65DB7">
        <w:rPr>
          <w:b/>
          <w:lang w:eastAsia="en-AU"/>
        </w:rPr>
        <w:t>0</w:t>
      </w:r>
      <w:r w:rsidRPr="002F4F7E">
        <w:rPr>
          <w:b/>
          <w:lang w:eastAsia="en-AU"/>
        </w:rPr>
        <w:t xml:space="preserve">): </w:t>
      </w:r>
      <w:r>
        <w:rPr>
          <w:lang w:eastAsia="en-AU"/>
        </w:rPr>
        <w:t xml:space="preserve">Appeal </w:t>
      </w:r>
      <w:r w:rsidR="00C65DB7">
        <w:rPr>
          <w:lang w:eastAsia="en-AU"/>
        </w:rPr>
        <w:t xml:space="preserve">allowed. </w:t>
      </w:r>
    </w:p>
    <w:p w:rsidR="001529A9" w:rsidRPr="00B546B2" w:rsidRDefault="001529A9" w:rsidP="001529A9">
      <w:pPr>
        <w:pStyle w:val="BullDivider2"/>
        <w:rPr>
          <w:rFonts w:cs="Arial"/>
          <w:highlight w:val="yellow"/>
        </w:rPr>
      </w:pPr>
    </w:p>
    <w:p w:rsidR="002F4F7E" w:rsidRPr="00B546B2" w:rsidRDefault="002F4F7E" w:rsidP="002F4F7E">
      <w:pPr>
        <w:rPr>
          <w:highlight w:val="yellow"/>
          <w:lang w:eastAsia="en-AU"/>
        </w:rPr>
      </w:pPr>
    </w:p>
    <w:p w:rsidR="002F4F7E" w:rsidRPr="00B20BAC" w:rsidRDefault="00C74909" w:rsidP="002F4F7E">
      <w:pPr>
        <w:pStyle w:val="Heading1"/>
      </w:pPr>
      <w:r>
        <w:t>Taxation</w:t>
      </w:r>
    </w:p>
    <w:p w:rsidR="002D27FD" w:rsidRDefault="002D27FD" w:rsidP="002D27FD"/>
    <w:p w:rsidR="002D27FD" w:rsidRPr="002F4F7E" w:rsidRDefault="002D27FD" w:rsidP="002D27FD">
      <w:pPr>
        <w:pStyle w:val="Heading2"/>
      </w:pPr>
      <w:r>
        <w:t>Clicks Retailers (Pty) Ltd v Commissioner for the South African Revenue Service</w:t>
      </w:r>
    </w:p>
    <w:p w:rsidR="002D27FD" w:rsidRPr="002F4F7E" w:rsidRDefault="002D27FD" w:rsidP="002D27FD">
      <w:pPr>
        <w:rPr>
          <w:lang w:eastAsia="en-AU"/>
        </w:rPr>
      </w:pPr>
      <w:r>
        <w:rPr>
          <w:b/>
          <w:lang w:eastAsia="en-AU"/>
        </w:rPr>
        <w:t>Constitutional Court of South Africa</w:t>
      </w:r>
      <w:r w:rsidRPr="002F4F7E">
        <w:rPr>
          <w:b/>
          <w:lang w:eastAsia="en-AU"/>
        </w:rPr>
        <w:t xml:space="preserve">: </w:t>
      </w:r>
      <w:hyperlink r:id="rId57" w:history="1">
        <w:r w:rsidRPr="002D27FD">
          <w:rPr>
            <w:rStyle w:val="Hyperlink"/>
            <w:lang w:eastAsia="en-AU"/>
          </w:rPr>
          <w:t>[2021] ZACC 11</w:t>
        </w:r>
      </w:hyperlink>
    </w:p>
    <w:p w:rsidR="002D27FD" w:rsidRPr="002F4F7E" w:rsidRDefault="002D27FD" w:rsidP="002D27FD">
      <w:pPr>
        <w:rPr>
          <w:lang w:eastAsia="en-AU"/>
        </w:rPr>
      </w:pPr>
    </w:p>
    <w:p w:rsidR="002D27FD" w:rsidRPr="002F4F7E" w:rsidRDefault="002D27FD" w:rsidP="002D27FD">
      <w:pPr>
        <w:rPr>
          <w:lang w:eastAsia="en-AU"/>
        </w:rPr>
      </w:pPr>
      <w:r w:rsidRPr="002F4F7E">
        <w:rPr>
          <w:b/>
          <w:lang w:eastAsia="en-AU"/>
        </w:rPr>
        <w:t>Judgment delivered:</w:t>
      </w:r>
      <w:r w:rsidRPr="002F4F7E">
        <w:rPr>
          <w:lang w:eastAsia="en-AU"/>
        </w:rPr>
        <w:t xml:space="preserve"> </w:t>
      </w:r>
      <w:r>
        <w:rPr>
          <w:lang w:eastAsia="en-AU"/>
        </w:rPr>
        <w:t>21 May 2021</w:t>
      </w:r>
    </w:p>
    <w:p w:rsidR="002D27FD" w:rsidRPr="002F4F7E" w:rsidRDefault="002D27FD" w:rsidP="002D27FD">
      <w:pPr>
        <w:rPr>
          <w:lang w:eastAsia="en-AU"/>
        </w:rPr>
      </w:pPr>
    </w:p>
    <w:p w:rsidR="002D27FD" w:rsidRDefault="002D27FD" w:rsidP="002D27FD">
      <w:pPr>
        <w:rPr>
          <w:lang w:eastAsia="en-AU"/>
        </w:rPr>
      </w:pPr>
      <w:r w:rsidRPr="002F4F7E">
        <w:rPr>
          <w:b/>
          <w:lang w:eastAsia="en-AU"/>
        </w:rPr>
        <w:t xml:space="preserve">Coram: </w:t>
      </w:r>
      <w:proofErr w:type="spellStart"/>
      <w:r>
        <w:rPr>
          <w:lang w:eastAsia="en-AU"/>
        </w:rPr>
        <w:t>Mogoeng</w:t>
      </w:r>
      <w:proofErr w:type="spellEnd"/>
      <w:r>
        <w:rPr>
          <w:lang w:eastAsia="en-AU"/>
        </w:rPr>
        <w:t xml:space="preserve"> CJ, Jafta, </w:t>
      </w:r>
      <w:proofErr w:type="spellStart"/>
      <w:r>
        <w:rPr>
          <w:lang w:eastAsia="en-AU"/>
        </w:rPr>
        <w:t>Khampepe</w:t>
      </w:r>
      <w:proofErr w:type="spellEnd"/>
      <w:r>
        <w:rPr>
          <w:lang w:eastAsia="en-AU"/>
        </w:rPr>
        <w:t xml:space="preserve">, </w:t>
      </w:r>
      <w:proofErr w:type="spellStart"/>
      <w:r>
        <w:rPr>
          <w:lang w:eastAsia="en-AU"/>
        </w:rPr>
        <w:t>Madlanga</w:t>
      </w:r>
      <w:proofErr w:type="spellEnd"/>
      <w:r>
        <w:rPr>
          <w:lang w:eastAsia="en-AU"/>
        </w:rPr>
        <w:t xml:space="preserve"> JJ, </w:t>
      </w:r>
      <w:proofErr w:type="spellStart"/>
      <w:r>
        <w:rPr>
          <w:lang w:eastAsia="en-AU"/>
        </w:rPr>
        <w:t>Mathopo</w:t>
      </w:r>
      <w:proofErr w:type="spellEnd"/>
      <w:r>
        <w:rPr>
          <w:lang w:eastAsia="en-AU"/>
        </w:rPr>
        <w:t xml:space="preserve"> AJ, </w:t>
      </w:r>
      <w:proofErr w:type="spellStart"/>
      <w:r>
        <w:rPr>
          <w:lang w:eastAsia="en-AU"/>
        </w:rPr>
        <w:t>Mhlantla</w:t>
      </w:r>
      <w:proofErr w:type="spellEnd"/>
      <w:r>
        <w:rPr>
          <w:lang w:eastAsia="en-AU"/>
        </w:rPr>
        <w:t xml:space="preserve">, Theron, </w:t>
      </w:r>
      <w:proofErr w:type="spellStart"/>
      <w:r>
        <w:rPr>
          <w:lang w:eastAsia="en-AU"/>
        </w:rPr>
        <w:t>Tshiqi</w:t>
      </w:r>
      <w:proofErr w:type="spellEnd"/>
      <w:r>
        <w:rPr>
          <w:lang w:eastAsia="en-AU"/>
        </w:rPr>
        <w:t xml:space="preserve"> JJ and Victor AJ</w:t>
      </w:r>
    </w:p>
    <w:p w:rsidR="002D27FD" w:rsidRPr="002F4F7E" w:rsidRDefault="002D27FD" w:rsidP="002D27FD">
      <w:pPr>
        <w:rPr>
          <w:lang w:eastAsia="en-AU"/>
        </w:rPr>
      </w:pPr>
    </w:p>
    <w:p w:rsidR="002D27FD" w:rsidRPr="002F4F7E" w:rsidRDefault="002D27FD" w:rsidP="002D27FD">
      <w:pPr>
        <w:rPr>
          <w:b/>
          <w:lang w:eastAsia="en-AU"/>
        </w:rPr>
      </w:pPr>
      <w:r>
        <w:rPr>
          <w:b/>
          <w:lang w:eastAsia="en-AU"/>
        </w:rPr>
        <w:t>Catchwords:</w:t>
      </w:r>
    </w:p>
    <w:p w:rsidR="002D27FD" w:rsidRPr="00856E9C" w:rsidRDefault="002D27FD" w:rsidP="002D27FD">
      <w:pPr>
        <w:rPr>
          <w:b/>
          <w:highlight w:val="yellow"/>
          <w:lang w:eastAsia="en-AU"/>
        </w:rPr>
      </w:pPr>
    </w:p>
    <w:p w:rsidR="002D27FD" w:rsidRPr="00446E72" w:rsidRDefault="002D27FD" w:rsidP="002D27FD">
      <w:pPr>
        <w:ind w:left="720"/>
        <w:rPr>
          <w:lang w:eastAsia="en-AU"/>
        </w:rPr>
      </w:pPr>
      <w:r>
        <w:rPr>
          <w:lang w:eastAsia="en-AU"/>
        </w:rPr>
        <w:t>Taxation</w:t>
      </w:r>
      <w:r w:rsidRPr="002F4F7E">
        <w:rPr>
          <w:lang w:eastAsia="en-AU"/>
        </w:rPr>
        <w:t xml:space="preserve"> </w:t>
      </w:r>
      <w:r w:rsidR="00446E72">
        <w:rPr>
          <w:lang w:eastAsia="en-AU"/>
        </w:rPr>
        <w:t>–</w:t>
      </w:r>
      <w:r w:rsidR="00E10AE7">
        <w:rPr>
          <w:lang w:eastAsia="en-AU"/>
        </w:rPr>
        <w:t xml:space="preserve"> </w:t>
      </w:r>
      <w:r w:rsidR="00446E72">
        <w:rPr>
          <w:lang w:eastAsia="en-AU"/>
        </w:rPr>
        <w:t xml:space="preserve">Income tax – </w:t>
      </w:r>
      <w:r w:rsidR="002D6C8A">
        <w:rPr>
          <w:lang w:eastAsia="en-AU"/>
        </w:rPr>
        <w:t>Allowances</w:t>
      </w:r>
      <w:r w:rsidR="00446E72">
        <w:rPr>
          <w:lang w:eastAsia="en-AU"/>
        </w:rPr>
        <w:t xml:space="preserve"> – Sameness of contract – Where s 24C of </w:t>
      </w:r>
      <w:r w:rsidR="00446E72">
        <w:rPr>
          <w:i/>
          <w:lang w:eastAsia="en-AU"/>
        </w:rPr>
        <w:t xml:space="preserve">Income Tax Act 58 of 1962 </w:t>
      </w:r>
      <w:r w:rsidR="00446E72">
        <w:rPr>
          <w:lang w:eastAsia="en-AU"/>
        </w:rPr>
        <w:t xml:space="preserve">provided taxpayer may defer paying tax on income if it accrues in terms of contract and contract requires income be used to finance future expenditure – Where applicant runs loyalty program – Where customer signs loyalty program contract which </w:t>
      </w:r>
      <w:r w:rsidR="00446E72">
        <w:rPr>
          <w:lang w:eastAsia="en-AU"/>
        </w:rPr>
        <w:lastRenderedPageBreak/>
        <w:t xml:space="preserve">renders customer eligible to earn vouchers in proportion to value of purchases made with applicant – Where applicant sought to claim s 24C </w:t>
      </w:r>
      <w:r w:rsidR="002D6C8A">
        <w:rPr>
          <w:lang w:eastAsia="en-AU"/>
        </w:rPr>
        <w:t xml:space="preserve">allowance </w:t>
      </w:r>
      <w:r w:rsidR="00446E72">
        <w:rPr>
          <w:lang w:eastAsia="en-AU"/>
        </w:rPr>
        <w:t xml:space="preserve">in respect of income generated through individual purchases made by loyalty program members – Where respondent disallowed </w:t>
      </w:r>
      <w:r w:rsidR="002D6C8A">
        <w:rPr>
          <w:lang w:eastAsia="en-AU"/>
        </w:rPr>
        <w:t xml:space="preserve">allowance because income generated by individual purchase arose from different contract to expenditure obligation imposed by loyalty program contract – Where Tax Court allowed applicant’s appeal and Supreme Court of Appeal allowed respondent’s appeal – Whether income-producing contract and obligation-imposing contract “same” contract for purpose of s 24C – Whether applicant entitled to allowance. </w:t>
      </w:r>
    </w:p>
    <w:p w:rsidR="002D27FD" w:rsidRPr="00856E9C" w:rsidRDefault="002D27FD" w:rsidP="002D27FD">
      <w:pPr>
        <w:ind w:left="720"/>
        <w:rPr>
          <w:highlight w:val="yellow"/>
          <w:lang w:eastAsia="en-AU"/>
        </w:rPr>
      </w:pPr>
    </w:p>
    <w:p w:rsidR="002D27FD" w:rsidRPr="00E10AE7" w:rsidRDefault="002D27FD" w:rsidP="002D27FD">
      <w:pPr>
        <w:rPr>
          <w:lang w:eastAsia="en-AU"/>
        </w:rPr>
      </w:pPr>
      <w:r w:rsidRPr="002F4F7E">
        <w:rPr>
          <w:b/>
          <w:lang w:eastAsia="en-AU"/>
        </w:rPr>
        <w:t>Held (</w:t>
      </w:r>
      <w:r w:rsidR="00E10AE7">
        <w:rPr>
          <w:b/>
          <w:lang w:eastAsia="en-AU"/>
        </w:rPr>
        <w:t>9</w:t>
      </w:r>
      <w:r>
        <w:rPr>
          <w:b/>
          <w:lang w:eastAsia="en-AU"/>
        </w:rPr>
        <w:t>:0</w:t>
      </w:r>
      <w:r w:rsidRPr="002F4F7E">
        <w:rPr>
          <w:b/>
          <w:lang w:eastAsia="en-AU"/>
        </w:rPr>
        <w:t xml:space="preserve">): </w:t>
      </w:r>
      <w:r w:rsidR="00E10AE7" w:rsidRPr="00E10AE7">
        <w:rPr>
          <w:lang w:eastAsia="en-AU"/>
        </w:rPr>
        <w:t>Leave to appeal granted; a</w:t>
      </w:r>
      <w:r w:rsidRPr="00E10AE7">
        <w:rPr>
          <w:lang w:eastAsia="en-AU"/>
        </w:rPr>
        <w:t xml:space="preserve">ppeal dismissed. </w:t>
      </w:r>
    </w:p>
    <w:p w:rsidR="002D27FD" w:rsidRPr="00181993" w:rsidRDefault="002D27FD" w:rsidP="002D27FD">
      <w:pPr>
        <w:pStyle w:val="BullDivider1"/>
        <w:pBdr>
          <w:bottom w:val="dotted" w:sz="4" w:space="0" w:color="auto"/>
        </w:pBdr>
      </w:pPr>
    </w:p>
    <w:p w:rsidR="00305199" w:rsidRDefault="00305199" w:rsidP="00305199"/>
    <w:p w:rsidR="002B1A95" w:rsidRPr="002F4F7E" w:rsidRDefault="00305199" w:rsidP="002B1A95">
      <w:pPr>
        <w:pStyle w:val="Heading2"/>
      </w:pPr>
      <w:r>
        <w:t>Commissioners for Her Majesty’s Revenue and Customs v Tooth</w:t>
      </w:r>
    </w:p>
    <w:p w:rsidR="002B1A95" w:rsidRPr="002F4F7E" w:rsidRDefault="00613043" w:rsidP="002B1A95">
      <w:pPr>
        <w:rPr>
          <w:lang w:eastAsia="en-AU"/>
        </w:rPr>
      </w:pPr>
      <w:r>
        <w:rPr>
          <w:b/>
          <w:lang w:eastAsia="en-AU"/>
        </w:rPr>
        <w:t>Supreme Court of the United Kingdom</w:t>
      </w:r>
      <w:r w:rsidR="002B1A95" w:rsidRPr="002F4F7E">
        <w:rPr>
          <w:b/>
          <w:lang w:eastAsia="en-AU"/>
        </w:rPr>
        <w:t xml:space="preserve">: </w:t>
      </w:r>
      <w:hyperlink r:id="rId58" w:history="1">
        <w:r w:rsidRPr="00613043">
          <w:rPr>
            <w:rStyle w:val="Hyperlink"/>
            <w:lang w:eastAsia="en-AU"/>
          </w:rPr>
          <w:t>[2021] UKSC 17</w:t>
        </w:r>
      </w:hyperlink>
    </w:p>
    <w:p w:rsidR="002B1A95" w:rsidRPr="002F4F7E" w:rsidRDefault="002B1A95" w:rsidP="002B1A95">
      <w:pPr>
        <w:rPr>
          <w:lang w:eastAsia="en-AU"/>
        </w:rPr>
      </w:pPr>
    </w:p>
    <w:p w:rsidR="002B1A95" w:rsidRPr="002F4F7E" w:rsidRDefault="002B1A95" w:rsidP="002B1A95">
      <w:pPr>
        <w:rPr>
          <w:lang w:eastAsia="en-AU"/>
        </w:rPr>
      </w:pPr>
      <w:r w:rsidRPr="002F4F7E">
        <w:rPr>
          <w:b/>
          <w:lang w:eastAsia="en-AU"/>
        </w:rPr>
        <w:t>Judgment delivered:</w:t>
      </w:r>
      <w:r w:rsidRPr="002F4F7E">
        <w:rPr>
          <w:lang w:eastAsia="en-AU"/>
        </w:rPr>
        <w:t xml:space="preserve"> </w:t>
      </w:r>
      <w:r w:rsidR="006B04F5">
        <w:rPr>
          <w:lang w:eastAsia="en-AU"/>
        </w:rPr>
        <w:t>14 May 2021</w:t>
      </w:r>
    </w:p>
    <w:p w:rsidR="002B1A95" w:rsidRPr="002F4F7E" w:rsidRDefault="002B1A95" w:rsidP="002B1A95">
      <w:pPr>
        <w:rPr>
          <w:lang w:eastAsia="en-AU"/>
        </w:rPr>
      </w:pPr>
    </w:p>
    <w:p w:rsidR="002B1A95" w:rsidRPr="002F4F7E" w:rsidRDefault="002B1A95" w:rsidP="002B1A95">
      <w:pPr>
        <w:rPr>
          <w:lang w:eastAsia="en-AU"/>
        </w:rPr>
      </w:pPr>
      <w:r w:rsidRPr="002F4F7E">
        <w:rPr>
          <w:b/>
          <w:lang w:eastAsia="en-AU"/>
        </w:rPr>
        <w:t xml:space="preserve">Coram: </w:t>
      </w:r>
      <w:r w:rsidR="006B04F5">
        <w:rPr>
          <w:lang w:eastAsia="en-AU"/>
        </w:rPr>
        <w:t xml:space="preserve">Lord Reed, </w:t>
      </w:r>
      <w:r w:rsidR="00DB77C4">
        <w:rPr>
          <w:lang w:eastAsia="en-AU"/>
        </w:rPr>
        <w:t xml:space="preserve">Lord </w:t>
      </w:r>
      <w:r w:rsidR="006B04F5">
        <w:rPr>
          <w:lang w:eastAsia="en-AU"/>
        </w:rPr>
        <w:t xml:space="preserve">Briggs, </w:t>
      </w:r>
      <w:r w:rsidR="00DB77C4">
        <w:rPr>
          <w:lang w:eastAsia="en-AU"/>
        </w:rPr>
        <w:t xml:space="preserve">Lord </w:t>
      </w:r>
      <w:r w:rsidR="006B04F5">
        <w:rPr>
          <w:lang w:eastAsia="en-AU"/>
        </w:rPr>
        <w:t xml:space="preserve">Sales, </w:t>
      </w:r>
      <w:r w:rsidR="00DB77C4">
        <w:rPr>
          <w:lang w:eastAsia="en-AU"/>
        </w:rPr>
        <w:t xml:space="preserve">Lord </w:t>
      </w:r>
      <w:r w:rsidR="006B04F5">
        <w:rPr>
          <w:lang w:eastAsia="en-AU"/>
        </w:rPr>
        <w:t xml:space="preserve">Leggatt and </w:t>
      </w:r>
      <w:bookmarkStart w:id="3" w:name="_Hlk74754593"/>
      <w:r w:rsidR="00DB77C4">
        <w:rPr>
          <w:lang w:eastAsia="en-AU"/>
        </w:rPr>
        <w:t xml:space="preserve">Lord </w:t>
      </w:r>
      <w:bookmarkEnd w:id="3"/>
      <w:r w:rsidR="006B04F5">
        <w:rPr>
          <w:lang w:eastAsia="en-AU"/>
        </w:rPr>
        <w:t>Burrows</w:t>
      </w:r>
    </w:p>
    <w:p w:rsidR="002B1A95" w:rsidRPr="002F4F7E" w:rsidRDefault="002B1A95" w:rsidP="002B1A95">
      <w:pPr>
        <w:rPr>
          <w:lang w:eastAsia="en-AU"/>
        </w:rPr>
      </w:pPr>
    </w:p>
    <w:p w:rsidR="002B1A95" w:rsidRPr="002F4F7E" w:rsidRDefault="002B1A95" w:rsidP="002B1A95">
      <w:pPr>
        <w:rPr>
          <w:b/>
          <w:lang w:eastAsia="en-AU"/>
        </w:rPr>
      </w:pPr>
      <w:r>
        <w:rPr>
          <w:b/>
          <w:lang w:eastAsia="en-AU"/>
        </w:rPr>
        <w:t>Catchwords:</w:t>
      </w:r>
    </w:p>
    <w:p w:rsidR="002B1A95" w:rsidRPr="00856E9C" w:rsidRDefault="002B1A95" w:rsidP="002B1A95">
      <w:pPr>
        <w:rPr>
          <w:b/>
          <w:highlight w:val="yellow"/>
          <w:lang w:eastAsia="en-AU"/>
        </w:rPr>
      </w:pPr>
    </w:p>
    <w:p w:rsidR="002B1A95" w:rsidRPr="002F4F7E" w:rsidRDefault="006B04F5" w:rsidP="002B1A95">
      <w:pPr>
        <w:ind w:left="720"/>
        <w:rPr>
          <w:lang w:eastAsia="en-AU"/>
        </w:rPr>
      </w:pPr>
      <w:r>
        <w:rPr>
          <w:lang w:eastAsia="en-AU"/>
        </w:rPr>
        <w:t>Taxation</w:t>
      </w:r>
      <w:r w:rsidR="002B1A95" w:rsidRPr="002F4F7E">
        <w:rPr>
          <w:lang w:eastAsia="en-AU"/>
        </w:rPr>
        <w:t xml:space="preserve"> –</w:t>
      </w:r>
      <w:r w:rsidR="002B1A95">
        <w:rPr>
          <w:lang w:eastAsia="en-AU"/>
        </w:rPr>
        <w:t xml:space="preserve"> </w:t>
      </w:r>
      <w:r w:rsidR="005057B0">
        <w:rPr>
          <w:lang w:eastAsia="en-AU"/>
        </w:rPr>
        <w:t xml:space="preserve">Re-assessment </w:t>
      </w:r>
      <w:r w:rsidR="00E441E7">
        <w:rPr>
          <w:lang w:eastAsia="en-AU"/>
        </w:rPr>
        <w:t xml:space="preserve">– Deliberate inaccuracy – Where, in 2009, respondent taxpayer filed tax return for 2007-08 tax year using software approved by appellant – Where respondent </w:t>
      </w:r>
      <w:r w:rsidR="00255DAF">
        <w:rPr>
          <w:lang w:eastAsia="en-AU"/>
        </w:rPr>
        <w:t>took</w:t>
      </w:r>
      <w:r w:rsidR="00E441E7">
        <w:rPr>
          <w:lang w:eastAsia="en-AU"/>
        </w:rPr>
        <w:t xml:space="preserve"> part in tax avoidance scheme, creating employment losses to reduce tax liability – Where, due to technical issues, respondent unable to enter losses in box for employment loss – Where respondent advised by software engineers to enter loss in partnership loss box and give written explanation of what was done in separate box – Where appellant considered that tax avoidance scheme was ineffective but failed to open appropriate enquiry into respondent’s return – Where retrospective legislation subsequently passed, confirming avoidance scheme ineffective – Where appellant sought to re-assess respondent’s return by issuing discovery assessment on basis it contained deliberate inaccuracy regarding classification of employment losses – Where respondent successfully challenged appellant’s discovery assessment </w:t>
      </w:r>
      <w:r w:rsidR="000A59E8">
        <w:rPr>
          <w:lang w:eastAsia="en-AU"/>
        </w:rPr>
        <w:t xml:space="preserve">in </w:t>
      </w:r>
      <w:r w:rsidR="00255DAF">
        <w:rPr>
          <w:lang w:eastAsia="en-AU"/>
        </w:rPr>
        <w:t>T</w:t>
      </w:r>
      <w:r w:rsidR="000A59E8">
        <w:rPr>
          <w:lang w:eastAsia="en-AU"/>
        </w:rPr>
        <w:t xml:space="preserve">ribunal – Where appellant’s appeal to Court of Appeal dismissed – Whether discovery assessment validly made – Whether alleged inaccuracy in return deliberate. </w:t>
      </w:r>
    </w:p>
    <w:p w:rsidR="002B1A95" w:rsidRPr="00856E9C" w:rsidRDefault="002B1A95" w:rsidP="002B1A95">
      <w:pPr>
        <w:ind w:left="720"/>
        <w:rPr>
          <w:highlight w:val="yellow"/>
          <w:lang w:eastAsia="en-AU"/>
        </w:rPr>
      </w:pPr>
    </w:p>
    <w:p w:rsidR="002B1A95" w:rsidRDefault="002B1A95" w:rsidP="002B1A95">
      <w:pPr>
        <w:rPr>
          <w:lang w:eastAsia="en-AU"/>
        </w:rPr>
      </w:pPr>
      <w:r w:rsidRPr="002F4F7E">
        <w:rPr>
          <w:b/>
          <w:lang w:eastAsia="en-AU"/>
        </w:rPr>
        <w:t>Held (</w:t>
      </w:r>
      <w:r w:rsidR="006B04F5">
        <w:rPr>
          <w:b/>
          <w:lang w:eastAsia="en-AU"/>
        </w:rPr>
        <w:t>5</w:t>
      </w:r>
      <w:r>
        <w:rPr>
          <w:b/>
          <w:lang w:eastAsia="en-AU"/>
        </w:rPr>
        <w:t>:</w:t>
      </w:r>
      <w:r w:rsidR="006B04F5">
        <w:rPr>
          <w:b/>
          <w:lang w:eastAsia="en-AU"/>
        </w:rPr>
        <w:t>0</w:t>
      </w:r>
      <w:r w:rsidRPr="002F4F7E">
        <w:rPr>
          <w:b/>
          <w:lang w:eastAsia="en-AU"/>
        </w:rPr>
        <w:t xml:space="preserve">): </w:t>
      </w:r>
      <w:r w:rsidR="006B04F5">
        <w:rPr>
          <w:lang w:eastAsia="en-AU"/>
        </w:rPr>
        <w:t xml:space="preserve">Appeal dismissed. </w:t>
      </w:r>
    </w:p>
    <w:p w:rsidR="00305199" w:rsidRPr="00181993" w:rsidRDefault="00305199" w:rsidP="00305199">
      <w:pPr>
        <w:pStyle w:val="BullDivider1"/>
        <w:pBdr>
          <w:bottom w:val="dotted" w:sz="4" w:space="0" w:color="auto"/>
        </w:pBdr>
      </w:pPr>
    </w:p>
    <w:p w:rsidR="00305199" w:rsidRDefault="00305199" w:rsidP="002B1A95">
      <w:pPr>
        <w:rPr>
          <w:lang w:eastAsia="en-AU"/>
        </w:rPr>
      </w:pPr>
    </w:p>
    <w:p w:rsidR="00305199" w:rsidRPr="002F4F7E" w:rsidRDefault="00305199" w:rsidP="00305199">
      <w:pPr>
        <w:pStyle w:val="Heading2"/>
      </w:pPr>
      <w:proofErr w:type="spellStart"/>
      <w:r>
        <w:t>Hurstwood</w:t>
      </w:r>
      <w:proofErr w:type="spellEnd"/>
      <w:r>
        <w:t xml:space="preserve"> Properties (A) Ltd </w:t>
      </w:r>
      <w:r w:rsidR="002D309D">
        <w:t xml:space="preserve">&amp; </w:t>
      </w:r>
      <w:proofErr w:type="spellStart"/>
      <w:r w:rsidR="002D309D">
        <w:t>Ors</w:t>
      </w:r>
      <w:proofErr w:type="spellEnd"/>
      <w:r>
        <w:t xml:space="preserve"> v Rossendale Borough Council </w:t>
      </w:r>
      <w:r w:rsidR="002D309D">
        <w:t>&amp; Anor</w:t>
      </w:r>
      <w:r>
        <w:t xml:space="preserve"> </w:t>
      </w:r>
    </w:p>
    <w:p w:rsidR="00305199" w:rsidRPr="002F4F7E" w:rsidRDefault="00305199" w:rsidP="00305199">
      <w:pPr>
        <w:rPr>
          <w:lang w:eastAsia="en-AU"/>
        </w:rPr>
      </w:pPr>
      <w:r>
        <w:rPr>
          <w:b/>
          <w:lang w:eastAsia="en-AU"/>
        </w:rPr>
        <w:t>Supreme Court of the United Kingdom</w:t>
      </w:r>
      <w:r w:rsidRPr="002F4F7E">
        <w:rPr>
          <w:b/>
          <w:lang w:eastAsia="en-AU"/>
        </w:rPr>
        <w:t xml:space="preserve">: </w:t>
      </w:r>
      <w:hyperlink r:id="rId59" w:history="1">
        <w:r w:rsidRPr="00C74909">
          <w:rPr>
            <w:rStyle w:val="Hyperlink"/>
            <w:lang w:eastAsia="en-AU"/>
          </w:rPr>
          <w:t>[2021] UKSC 16</w:t>
        </w:r>
      </w:hyperlink>
    </w:p>
    <w:p w:rsidR="00305199" w:rsidRPr="002F4F7E" w:rsidRDefault="00305199" w:rsidP="00305199">
      <w:pPr>
        <w:rPr>
          <w:lang w:eastAsia="en-AU"/>
        </w:rPr>
      </w:pPr>
    </w:p>
    <w:p w:rsidR="00305199" w:rsidRPr="002F4F7E" w:rsidRDefault="00305199" w:rsidP="00305199">
      <w:pPr>
        <w:rPr>
          <w:lang w:eastAsia="en-AU"/>
        </w:rPr>
      </w:pPr>
      <w:r w:rsidRPr="002F4F7E">
        <w:rPr>
          <w:b/>
          <w:lang w:eastAsia="en-AU"/>
        </w:rPr>
        <w:t>Judgment delivered:</w:t>
      </w:r>
      <w:r w:rsidRPr="002F4F7E">
        <w:rPr>
          <w:lang w:eastAsia="en-AU"/>
        </w:rPr>
        <w:t xml:space="preserve"> </w:t>
      </w:r>
      <w:r>
        <w:rPr>
          <w:lang w:eastAsia="en-AU"/>
        </w:rPr>
        <w:t>14 May 2021</w:t>
      </w:r>
    </w:p>
    <w:p w:rsidR="00305199" w:rsidRPr="002F4F7E" w:rsidRDefault="00305199" w:rsidP="00305199">
      <w:pPr>
        <w:rPr>
          <w:lang w:eastAsia="en-AU"/>
        </w:rPr>
      </w:pPr>
    </w:p>
    <w:p w:rsidR="00305199" w:rsidRPr="002F4F7E" w:rsidRDefault="00305199" w:rsidP="00305199">
      <w:pPr>
        <w:rPr>
          <w:lang w:eastAsia="en-AU"/>
        </w:rPr>
      </w:pPr>
      <w:r w:rsidRPr="002F4F7E">
        <w:rPr>
          <w:b/>
          <w:lang w:eastAsia="en-AU"/>
        </w:rPr>
        <w:t xml:space="preserve">Coram: </w:t>
      </w:r>
      <w:r>
        <w:rPr>
          <w:lang w:eastAsia="en-AU"/>
        </w:rPr>
        <w:t xml:space="preserve">Lord Reed, </w:t>
      </w:r>
      <w:r w:rsidR="00DB77C4">
        <w:rPr>
          <w:lang w:eastAsia="en-AU"/>
        </w:rPr>
        <w:t xml:space="preserve">Lord </w:t>
      </w:r>
      <w:r>
        <w:rPr>
          <w:lang w:eastAsia="en-AU"/>
        </w:rPr>
        <w:t xml:space="preserve">Hodge, </w:t>
      </w:r>
      <w:r w:rsidR="00DB77C4">
        <w:rPr>
          <w:lang w:eastAsia="en-AU"/>
        </w:rPr>
        <w:t xml:space="preserve">Lord </w:t>
      </w:r>
      <w:r>
        <w:rPr>
          <w:lang w:eastAsia="en-AU"/>
        </w:rPr>
        <w:t xml:space="preserve">Briggs, </w:t>
      </w:r>
      <w:r w:rsidR="00DB77C4">
        <w:rPr>
          <w:lang w:eastAsia="en-AU"/>
        </w:rPr>
        <w:t xml:space="preserve">Lord </w:t>
      </w:r>
      <w:proofErr w:type="spellStart"/>
      <w:r>
        <w:rPr>
          <w:lang w:eastAsia="en-AU"/>
        </w:rPr>
        <w:t>Kitchin</w:t>
      </w:r>
      <w:proofErr w:type="spellEnd"/>
      <w:r>
        <w:rPr>
          <w:lang w:eastAsia="en-AU"/>
        </w:rPr>
        <w:t xml:space="preserve"> and </w:t>
      </w:r>
      <w:r w:rsidR="00DB77C4">
        <w:rPr>
          <w:lang w:eastAsia="en-AU"/>
        </w:rPr>
        <w:t xml:space="preserve">Lord </w:t>
      </w:r>
      <w:r>
        <w:rPr>
          <w:lang w:eastAsia="en-AU"/>
        </w:rPr>
        <w:t>Leggatt</w:t>
      </w:r>
    </w:p>
    <w:p w:rsidR="00305199" w:rsidRPr="002F4F7E" w:rsidRDefault="00305199" w:rsidP="00305199">
      <w:pPr>
        <w:rPr>
          <w:lang w:eastAsia="en-AU"/>
        </w:rPr>
      </w:pPr>
    </w:p>
    <w:p w:rsidR="00305199" w:rsidRPr="002F4F7E" w:rsidRDefault="00305199" w:rsidP="00305199">
      <w:pPr>
        <w:rPr>
          <w:b/>
          <w:lang w:eastAsia="en-AU"/>
        </w:rPr>
      </w:pPr>
      <w:r>
        <w:rPr>
          <w:b/>
          <w:lang w:eastAsia="en-AU"/>
        </w:rPr>
        <w:t>Catchwords:</w:t>
      </w:r>
    </w:p>
    <w:p w:rsidR="00305199" w:rsidRPr="00856E9C" w:rsidRDefault="00305199" w:rsidP="00305199">
      <w:pPr>
        <w:rPr>
          <w:b/>
          <w:highlight w:val="yellow"/>
          <w:lang w:eastAsia="en-AU"/>
        </w:rPr>
      </w:pPr>
    </w:p>
    <w:p w:rsidR="00305199" w:rsidRPr="00ED4F9F" w:rsidRDefault="00305199" w:rsidP="00305199">
      <w:pPr>
        <w:ind w:left="720"/>
        <w:rPr>
          <w:lang w:eastAsia="en-AU"/>
        </w:rPr>
      </w:pPr>
      <w:r>
        <w:rPr>
          <w:lang w:eastAsia="en-AU"/>
        </w:rPr>
        <w:t xml:space="preserve">Taxation – Non-domestic rates – Rates avoidance scheme – Where s 45 of </w:t>
      </w:r>
      <w:r>
        <w:rPr>
          <w:i/>
          <w:lang w:eastAsia="en-AU"/>
        </w:rPr>
        <w:t xml:space="preserve">Local Government Finance Act 1988 </w:t>
      </w:r>
      <w:r>
        <w:rPr>
          <w:lang w:eastAsia="en-AU"/>
        </w:rPr>
        <w:t xml:space="preserve">allowed local councils to charge non-domestic rates to “owners” of unoccupied commercial properties – Where “owner” defined as person entitled to possession of land – Where regulation 4(k) of </w:t>
      </w:r>
      <w:r>
        <w:rPr>
          <w:i/>
          <w:lang w:eastAsia="en-AU"/>
        </w:rPr>
        <w:t>Non-Domestic Rating (Unoccupied Property) (England) Regulations 2008</w:t>
      </w:r>
      <w:r>
        <w:rPr>
          <w:lang w:eastAsia="en-AU"/>
        </w:rPr>
        <w:t xml:space="preserve"> provided rates not charged where owner company being wound up – Where respondent companies registered proprietors of land – Where respondents participated in rates avoidance scheme by creating Special Purpose Vehicle (SPV), granting short-term lease over land to SPV such that SPV becomes “owner” and liable for rates, and then placing SPV into liquidation to escape rates liability – Where appellant councils sought to claim unpaid rates against respondents – Where Court of Appeal struck out local authorities’ claims – Whether leases effective to transfer entitlement to possession to SPVs – If not, whether respondents retain entitlement to possession. </w:t>
      </w:r>
    </w:p>
    <w:p w:rsidR="00305199" w:rsidRDefault="00305199" w:rsidP="00305199">
      <w:pPr>
        <w:rPr>
          <w:lang w:eastAsia="en-AU"/>
        </w:rPr>
      </w:pPr>
    </w:p>
    <w:p w:rsidR="00305199" w:rsidRPr="002F4F7E" w:rsidRDefault="00305199" w:rsidP="00305199">
      <w:pPr>
        <w:ind w:left="720"/>
        <w:rPr>
          <w:lang w:eastAsia="en-AU"/>
        </w:rPr>
      </w:pPr>
      <w:r>
        <w:rPr>
          <w:lang w:eastAsia="en-AU"/>
        </w:rPr>
        <w:t xml:space="preserve">Corporations – Corporate veil – Whether rates avoidance scheme abuse of separate legal personality of SPVs and justifies piercing of corporate veil. </w:t>
      </w:r>
    </w:p>
    <w:p w:rsidR="00305199" w:rsidRPr="00856E9C" w:rsidRDefault="00305199" w:rsidP="00305199">
      <w:pPr>
        <w:ind w:left="720"/>
        <w:rPr>
          <w:highlight w:val="yellow"/>
          <w:lang w:eastAsia="en-AU"/>
        </w:rPr>
      </w:pPr>
    </w:p>
    <w:p w:rsidR="00305199" w:rsidRPr="000D3E8D" w:rsidRDefault="00305199" w:rsidP="002B1A95">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allowed. </w:t>
      </w:r>
    </w:p>
    <w:p w:rsidR="00303709" w:rsidRPr="00B546B2" w:rsidRDefault="00303709" w:rsidP="00303709">
      <w:pPr>
        <w:pStyle w:val="BullDivider2"/>
        <w:rPr>
          <w:rFonts w:cs="Arial"/>
          <w:highlight w:val="yellow"/>
        </w:rPr>
      </w:pPr>
    </w:p>
    <w:p w:rsidR="00303709" w:rsidRPr="00B546B2" w:rsidRDefault="00303709" w:rsidP="00303709">
      <w:pPr>
        <w:rPr>
          <w:highlight w:val="yellow"/>
          <w:lang w:eastAsia="en-AU"/>
        </w:rPr>
      </w:pPr>
    </w:p>
    <w:p w:rsidR="00303709" w:rsidRPr="00B20BAC" w:rsidRDefault="00303709" w:rsidP="00303709">
      <w:pPr>
        <w:pStyle w:val="Heading1"/>
      </w:pPr>
      <w:r>
        <w:t>Torts</w:t>
      </w:r>
    </w:p>
    <w:p w:rsidR="000F1300" w:rsidRDefault="000F1300" w:rsidP="000F1300"/>
    <w:p w:rsidR="003132E2" w:rsidRPr="002F4F7E" w:rsidRDefault="003132E2" w:rsidP="003132E2">
      <w:pPr>
        <w:pStyle w:val="Heading2"/>
      </w:pPr>
      <w:r>
        <w:t xml:space="preserve">Khan v Meadows </w:t>
      </w:r>
    </w:p>
    <w:p w:rsidR="003132E2" w:rsidRPr="002F4F7E" w:rsidRDefault="003132E2" w:rsidP="003132E2">
      <w:pPr>
        <w:rPr>
          <w:lang w:eastAsia="en-AU"/>
        </w:rPr>
      </w:pPr>
      <w:r>
        <w:rPr>
          <w:b/>
          <w:lang w:eastAsia="en-AU"/>
        </w:rPr>
        <w:t>Supreme Court of the United Kingdom</w:t>
      </w:r>
      <w:r w:rsidRPr="002F4F7E">
        <w:rPr>
          <w:b/>
          <w:lang w:eastAsia="en-AU"/>
        </w:rPr>
        <w:t xml:space="preserve">: </w:t>
      </w:r>
      <w:hyperlink r:id="rId60" w:history="1">
        <w:r w:rsidRPr="00613043">
          <w:rPr>
            <w:rStyle w:val="Hyperlink"/>
            <w:lang w:eastAsia="en-AU"/>
          </w:rPr>
          <w:t xml:space="preserve">[2021] UKSC </w:t>
        </w:r>
        <w:r>
          <w:rPr>
            <w:rStyle w:val="Hyperlink"/>
            <w:lang w:eastAsia="en-AU"/>
          </w:rPr>
          <w:t>2</w:t>
        </w:r>
        <w:r w:rsidR="003A3BEE">
          <w:rPr>
            <w:rStyle w:val="Hyperlink"/>
            <w:lang w:eastAsia="en-AU"/>
          </w:rPr>
          <w:t>1</w:t>
        </w:r>
      </w:hyperlink>
    </w:p>
    <w:p w:rsidR="003132E2" w:rsidRPr="002F4F7E" w:rsidRDefault="003132E2" w:rsidP="003132E2">
      <w:pPr>
        <w:rPr>
          <w:lang w:eastAsia="en-AU"/>
        </w:rPr>
      </w:pPr>
    </w:p>
    <w:p w:rsidR="003132E2" w:rsidRPr="002F4F7E" w:rsidRDefault="003132E2" w:rsidP="003132E2">
      <w:pPr>
        <w:rPr>
          <w:lang w:eastAsia="en-AU"/>
        </w:rPr>
      </w:pPr>
      <w:r w:rsidRPr="002F4F7E">
        <w:rPr>
          <w:b/>
          <w:lang w:eastAsia="en-AU"/>
        </w:rPr>
        <w:t>Judgment delivered:</w:t>
      </w:r>
      <w:r w:rsidRPr="002F4F7E">
        <w:rPr>
          <w:lang w:eastAsia="en-AU"/>
        </w:rPr>
        <w:t xml:space="preserve"> </w:t>
      </w:r>
      <w:r>
        <w:rPr>
          <w:lang w:eastAsia="en-AU"/>
        </w:rPr>
        <w:t>18 June 2021</w:t>
      </w:r>
    </w:p>
    <w:p w:rsidR="003132E2" w:rsidRPr="002F4F7E" w:rsidRDefault="003132E2" w:rsidP="003132E2">
      <w:pPr>
        <w:rPr>
          <w:lang w:eastAsia="en-AU"/>
        </w:rPr>
      </w:pPr>
    </w:p>
    <w:p w:rsidR="003132E2" w:rsidRPr="002F4F7E" w:rsidRDefault="003132E2" w:rsidP="003132E2">
      <w:pPr>
        <w:rPr>
          <w:lang w:eastAsia="en-AU"/>
        </w:rPr>
      </w:pPr>
      <w:r w:rsidRPr="002F4F7E">
        <w:rPr>
          <w:b/>
          <w:lang w:eastAsia="en-AU"/>
        </w:rPr>
        <w:t xml:space="preserve">Coram: </w:t>
      </w:r>
      <w:r>
        <w:rPr>
          <w:lang w:eastAsia="en-AU"/>
        </w:rPr>
        <w:t xml:space="preserve">Lord Reed, Lord Hodge, Lady Black, Lord </w:t>
      </w:r>
      <w:proofErr w:type="spellStart"/>
      <w:r>
        <w:rPr>
          <w:lang w:eastAsia="en-AU"/>
        </w:rPr>
        <w:t>Kitchin</w:t>
      </w:r>
      <w:proofErr w:type="spellEnd"/>
      <w:r>
        <w:rPr>
          <w:lang w:eastAsia="en-AU"/>
        </w:rPr>
        <w:t>, Lord Sales, Lord Leggatt and Lord Burrows</w:t>
      </w:r>
    </w:p>
    <w:p w:rsidR="003132E2" w:rsidRPr="002F4F7E" w:rsidRDefault="003132E2" w:rsidP="003132E2">
      <w:pPr>
        <w:rPr>
          <w:lang w:eastAsia="en-AU"/>
        </w:rPr>
      </w:pPr>
    </w:p>
    <w:p w:rsidR="003132E2" w:rsidRPr="002F4F7E" w:rsidRDefault="003132E2" w:rsidP="003132E2">
      <w:pPr>
        <w:rPr>
          <w:b/>
          <w:lang w:eastAsia="en-AU"/>
        </w:rPr>
      </w:pPr>
      <w:r>
        <w:rPr>
          <w:b/>
          <w:lang w:eastAsia="en-AU"/>
        </w:rPr>
        <w:t>Catchwords:</w:t>
      </w:r>
    </w:p>
    <w:p w:rsidR="003132E2" w:rsidRPr="00856E9C" w:rsidRDefault="003132E2" w:rsidP="003132E2">
      <w:pPr>
        <w:rPr>
          <w:b/>
          <w:highlight w:val="yellow"/>
          <w:lang w:eastAsia="en-AU"/>
        </w:rPr>
      </w:pPr>
    </w:p>
    <w:p w:rsidR="003132E2" w:rsidRPr="002F4F7E" w:rsidRDefault="003132E2" w:rsidP="003132E2">
      <w:pPr>
        <w:ind w:left="720"/>
        <w:rPr>
          <w:lang w:eastAsia="en-AU"/>
        </w:rPr>
      </w:pPr>
      <w:r>
        <w:rPr>
          <w:lang w:eastAsia="en-AU"/>
        </w:rPr>
        <w:t xml:space="preserve">Torts – Negligence – Professional negligence – Scope of duty of care – Where respondent doctor negligently advised appellant not carrier of haemophilia gene – Where, in reliance on advice, appellant gave birth to child – Where child subsequently diagnosed with haemophilia – Where, if appellant had known she was carrier, she would have undergone foetal testing when pregnant and, because test would have revealed foetus has haemophilia, appellant would have terminated pregnancy – Where child subsequently diagnosed with autism – Where appellant sued respondent for costs of raising child attributable to both haemophilia and autism – Where Court of Appeal held respondent only liable for costs associated with haemophilia – Whether costs associated with child’s autism within scope of respondent’s duty of care. </w:t>
      </w:r>
    </w:p>
    <w:p w:rsidR="003132E2" w:rsidRPr="00856E9C" w:rsidRDefault="003132E2" w:rsidP="003132E2">
      <w:pPr>
        <w:ind w:left="720"/>
        <w:rPr>
          <w:highlight w:val="yellow"/>
          <w:lang w:eastAsia="en-AU"/>
        </w:rPr>
      </w:pPr>
    </w:p>
    <w:p w:rsidR="003132E2" w:rsidRDefault="003132E2" w:rsidP="003132E2">
      <w:pPr>
        <w:rPr>
          <w:lang w:eastAsia="en-AU"/>
        </w:rPr>
      </w:pPr>
      <w:r w:rsidRPr="002F4F7E">
        <w:rPr>
          <w:b/>
          <w:lang w:eastAsia="en-AU"/>
        </w:rPr>
        <w:lastRenderedPageBreak/>
        <w:t>Held (</w:t>
      </w:r>
      <w:r>
        <w:rPr>
          <w:b/>
          <w:lang w:eastAsia="en-AU"/>
        </w:rPr>
        <w:t>7:0</w:t>
      </w:r>
      <w:r w:rsidRPr="002F4F7E">
        <w:rPr>
          <w:b/>
          <w:lang w:eastAsia="en-AU"/>
        </w:rPr>
        <w:t xml:space="preserve">): </w:t>
      </w:r>
      <w:r>
        <w:rPr>
          <w:lang w:eastAsia="en-AU"/>
        </w:rPr>
        <w:t xml:space="preserve">Appeal dismissed.   </w:t>
      </w:r>
    </w:p>
    <w:p w:rsidR="003132E2" w:rsidRPr="00181993" w:rsidRDefault="003132E2" w:rsidP="003132E2">
      <w:pPr>
        <w:pStyle w:val="BullDivider1"/>
        <w:pBdr>
          <w:bottom w:val="dotted" w:sz="4" w:space="0" w:color="auto"/>
        </w:pBdr>
      </w:pPr>
    </w:p>
    <w:p w:rsidR="003132E2" w:rsidRDefault="003132E2" w:rsidP="003132E2"/>
    <w:p w:rsidR="000F1300" w:rsidRPr="002F4F7E" w:rsidRDefault="000F1300" w:rsidP="000F1300">
      <w:pPr>
        <w:pStyle w:val="Heading2"/>
      </w:pPr>
      <w:r>
        <w:t>Manchester Building Society v Grant Thornton UK LLP</w:t>
      </w:r>
    </w:p>
    <w:p w:rsidR="000F1300" w:rsidRPr="002F4F7E" w:rsidRDefault="000F1300" w:rsidP="000F1300">
      <w:pPr>
        <w:rPr>
          <w:lang w:eastAsia="en-AU"/>
        </w:rPr>
      </w:pPr>
      <w:r>
        <w:rPr>
          <w:b/>
          <w:lang w:eastAsia="en-AU"/>
        </w:rPr>
        <w:t>Supreme Court of the United Kingdom</w:t>
      </w:r>
      <w:r w:rsidRPr="002F4F7E">
        <w:rPr>
          <w:b/>
          <w:lang w:eastAsia="en-AU"/>
        </w:rPr>
        <w:t xml:space="preserve">: </w:t>
      </w:r>
      <w:hyperlink r:id="rId61" w:history="1">
        <w:r w:rsidRPr="00613043">
          <w:rPr>
            <w:rStyle w:val="Hyperlink"/>
            <w:lang w:eastAsia="en-AU"/>
          </w:rPr>
          <w:t xml:space="preserve">[2021] UKSC </w:t>
        </w:r>
        <w:r>
          <w:rPr>
            <w:rStyle w:val="Hyperlink"/>
            <w:lang w:eastAsia="en-AU"/>
          </w:rPr>
          <w:t>20</w:t>
        </w:r>
      </w:hyperlink>
    </w:p>
    <w:p w:rsidR="000F1300" w:rsidRPr="002F4F7E" w:rsidRDefault="000F1300" w:rsidP="000F1300">
      <w:pPr>
        <w:rPr>
          <w:lang w:eastAsia="en-AU"/>
        </w:rPr>
      </w:pPr>
    </w:p>
    <w:p w:rsidR="000F1300" w:rsidRPr="002F4F7E" w:rsidRDefault="000F1300" w:rsidP="000F1300">
      <w:pPr>
        <w:rPr>
          <w:lang w:eastAsia="en-AU"/>
        </w:rPr>
      </w:pPr>
      <w:r w:rsidRPr="002F4F7E">
        <w:rPr>
          <w:b/>
          <w:lang w:eastAsia="en-AU"/>
        </w:rPr>
        <w:t>Judgment delivered:</w:t>
      </w:r>
      <w:r w:rsidRPr="002F4F7E">
        <w:rPr>
          <w:lang w:eastAsia="en-AU"/>
        </w:rPr>
        <w:t xml:space="preserve"> </w:t>
      </w:r>
      <w:r>
        <w:rPr>
          <w:lang w:eastAsia="en-AU"/>
        </w:rPr>
        <w:t>18 June 2021</w:t>
      </w:r>
    </w:p>
    <w:p w:rsidR="000F1300" w:rsidRPr="002F4F7E" w:rsidRDefault="000F1300" w:rsidP="000F1300">
      <w:pPr>
        <w:rPr>
          <w:lang w:eastAsia="en-AU"/>
        </w:rPr>
      </w:pPr>
    </w:p>
    <w:p w:rsidR="000F1300" w:rsidRPr="002F4F7E" w:rsidRDefault="000F1300" w:rsidP="000F1300">
      <w:pPr>
        <w:rPr>
          <w:lang w:eastAsia="en-AU"/>
        </w:rPr>
      </w:pPr>
      <w:r w:rsidRPr="002F4F7E">
        <w:rPr>
          <w:b/>
          <w:lang w:eastAsia="en-AU"/>
        </w:rPr>
        <w:t xml:space="preserve">Coram: </w:t>
      </w:r>
      <w:r>
        <w:rPr>
          <w:lang w:eastAsia="en-AU"/>
        </w:rPr>
        <w:t xml:space="preserve">Lord Reed, Lord Hodge, Lady Black, Lord </w:t>
      </w:r>
      <w:proofErr w:type="spellStart"/>
      <w:r>
        <w:rPr>
          <w:lang w:eastAsia="en-AU"/>
        </w:rPr>
        <w:t>Kitchin</w:t>
      </w:r>
      <w:proofErr w:type="spellEnd"/>
      <w:r>
        <w:rPr>
          <w:lang w:eastAsia="en-AU"/>
        </w:rPr>
        <w:t>, Lord Sales, Lord Leggatt and Lord Burrows</w:t>
      </w:r>
    </w:p>
    <w:p w:rsidR="000F1300" w:rsidRPr="002F4F7E" w:rsidRDefault="000F1300" w:rsidP="000F1300">
      <w:pPr>
        <w:rPr>
          <w:lang w:eastAsia="en-AU"/>
        </w:rPr>
      </w:pPr>
    </w:p>
    <w:p w:rsidR="000F1300" w:rsidRPr="002F4F7E" w:rsidRDefault="000F1300" w:rsidP="000F1300">
      <w:pPr>
        <w:rPr>
          <w:b/>
          <w:lang w:eastAsia="en-AU"/>
        </w:rPr>
      </w:pPr>
      <w:r>
        <w:rPr>
          <w:b/>
          <w:lang w:eastAsia="en-AU"/>
        </w:rPr>
        <w:t>Catchwords:</w:t>
      </w:r>
    </w:p>
    <w:p w:rsidR="000F1300" w:rsidRPr="00856E9C" w:rsidRDefault="000F1300" w:rsidP="000F1300">
      <w:pPr>
        <w:rPr>
          <w:b/>
          <w:highlight w:val="yellow"/>
          <w:lang w:eastAsia="en-AU"/>
        </w:rPr>
      </w:pPr>
    </w:p>
    <w:p w:rsidR="000F1300" w:rsidRDefault="000F1300" w:rsidP="000F1300">
      <w:pPr>
        <w:ind w:left="720"/>
        <w:rPr>
          <w:lang w:eastAsia="en-AU"/>
        </w:rPr>
      </w:pPr>
      <w:r>
        <w:rPr>
          <w:lang w:eastAsia="en-AU"/>
        </w:rPr>
        <w:t>T</w:t>
      </w:r>
      <w:r w:rsidR="00A26E36">
        <w:rPr>
          <w:lang w:eastAsia="en-AU"/>
        </w:rPr>
        <w:t xml:space="preserve">orts – Negligence – Professional </w:t>
      </w:r>
      <w:r w:rsidR="00515B3A">
        <w:rPr>
          <w:lang w:eastAsia="en-AU"/>
        </w:rPr>
        <w:t>negligence</w:t>
      </w:r>
      <w:r w:rsidR="00A26E36">
        <w:rPr>
          <w:lang w:eastAsia="en-AU"/>
        </w:rPr>
        <w:t xml:space="preserve"> – </w:t>
      </w:r>
      <w:r w:rsidR="006F2C95">
        <w:rPr>
          <w:lang w:eastAsia="en-AU"/>
        </w:rPr>
        <w:t>Scope of d</w:t>
      </w:r>
      <w:r w:rsidR="00A26E36">
        <w:rPr>
          <w:lang w:eastAsia="en-AU"/>
        </w:rPr>
        <w:t xml:space="preserve">uty of care – Where appellant’s accounts audited by respondent accountants – Where respondent negligently advised appellant that accounts could be prepared according to accounting method “hedge accounting” – Where appellant relied on advice and entered into long-term interest rate swap contracts to hedge against cost of appellant’s mortgage business – Where accounts misstated capital position and appellants required to pay fee to break swap contracts early in order to maintain sufficient capital for regulatory requirements – Where trial judge and Court of Appeal held appellant held break fee outside of respondent’s duty of care – Whether break fee loss within scope of </w:t>
      </w:r>
      <w:r w:rsidR="003132E2">
        <w:rPr>
          <w:lang w:eastAsia="en-AU"/>
        </w:rPr>
        <w:t xml:space="preserve">respondent’s </w:t>
      </w:r>
      <w:r w:rsidR="00A26E36">
        <w:rPr>
          <w:lang w:eastAsia="en-AU"/>
        </w:rPr>
        <w:t>duty of care</w:t>
      </w:r>
      <w:r w:rsidR="003132E2">
        <w:rPr>
          <w:lang w:eastAsia="en-AU"/>
        </w:rPr>
        <w:t xml:space="preserve">. </w:t>
      </w:r>
    </w:p>
    <w:p w:rsidR="003132E2" w:rsidRPr="00856E9C" w:rsidRDefault="003132E2" w:rsidP="000F1300">
      <w:pPr>
        <w:ind w:left="720"/>
        <w:rPr>
          <w:highlight w:val="yellow"/>
          <w:lang w:eastAsia="en-AU"/>
        </w:rPr>
      </w:pPr>
    </w:p>
    <w:p w:rsidR="000F1300" w:rsidRDefault="000F1300" w:rsidP="000F1300">
      <w:pPr>
        <w:rPr>
          <w:lang w:eastAsia="en-AU"/>
        </w:rPr>
      </w:pPr>
      <w:r w:rsidRPr="002F4F7E">
        <w:rPr>
          <w:b/>
          <w:lang w:eastAsia="en-AU"/>
        </w:rPr>
        <w:t>Held (</w:t>
      </w:r>
      <w:r w:rsidR="00515B3A">
        <w:rPr>
          <w:b/>
          <w:lang w:eastAsia="en-AU"/>
        </w:rPr>
        <w:t>7</w:t>
      </w:r>
      <w:r>
        <w:rPr>
          <w:b/>
          <w:lang w:eastAsia="en-AU"/>
        </w:rPr>
        <w:t>:0</w:t>
      </w:r>
      <w:r w:rsidRPr="002F4F7E">
        <w:rPr>
          <w:b/>
          <w:lang w:eastAsia="en-AU"/>
        </w:rPr>
        <w:t xml:space="preserve">): </w:t>
      </w:r>
      <w:r w:rsidR="00515B3A">
        <w:rPr>
          <w:lang w:eastAsia="en-AU"/>
        </w:rPr>
        <w:t xml:space="preserve">Appeal allowed. </w:t>
      </w:r>
      <w:r>
        <w:rPr>
          <w:lang w:eastAsia="en-AU"/>
        </w:rPr>
        <w:t xml:space="preserve"> </w:t>
      </w:r>
    </w:p>
    <w:p w:rsidR="000F1300" w:rsidRPr="00181993" w:rsidRDefault="000F1300" w:rsidP="000F1300">
      <w:pPr>
        <w:pStyle w:val="BullDivider1"/>
        <w:pBdr>
          <w:bottom w:val="dotted" w:sz="4" w:space="0" w:color="auto"/>
        </w:pBdr>
      </w:pPr>
    </w:p>
    <w:p w:rsidR="00303709" w:rsidRDefault="00303709" w:rsidP="00303709"/>
    <w:p w:rsidR="00303709" w:rsidRPr="00303709" w:rsidRDefault="00303709" w:rsidP="00303709">
      <w:pPr>
        <w:pStyle w:val="Heading2"/>
        <w:rPr>
          <w:i w:val="0"/>
        </w:rPr>
      </w:pPr>
      <w:r>
        <w:t xml:space="preserve">Mahlangu </w:t>
      </w:r>
      <w:r w:rsidR="002D309D">
        <w:t>&amp; Anor</w:t>
      </w:r>
      <w:r>
        <w:t xml:space="preserve"> v Minister of Police </w:t>
      </w:r>
    </w:p>
    <w:p w:rsidR="00303709" w:rsidRPr="002F4F7E" w:rsidRDefault="00734CDC" w:rsidP="00303709">
      <w:pPr>
        <w:rPr>
          <w:lang w:eastAsia="en-AU"/>
        </w:rPr>
      </w:pPr>
      <w:r>
        <w:rPr>
          <w:b/>
          <w:lang w:eastAsia="en-AU"/>
        </w:rPr>
        <w:t>Constitutional Court of South Africa:</w:t>
      </w:r>
      <w:r w:rsidR="00303709" w:rsidRPr="002F4F7E">
        <w:rPr>
          <w:b/>
          <w:lang w:eastAsia="en-AU"/>
        </w:rPr>
        <w:t xml:space="preserve"> </w:t>
      </w:r>
      <w:hyperlink r:id="rId62" w:history="1">
        <w:r w:rsidRPr="00734CDC">
          <w:rPr>
            <w:rStyle w:val="Hyperlink"/>
            <w:lang w:eastAsia="en-AU"/>
          </w:rPr>
          <w:t>[2021] ZACC 10</w:t>
        </w:r>
      </w:hyperlink>
    </w:p>
    <w:p w:rsidR="00303709" w:rsidRPr="002F4F7E" w:rsidRDefault="00303709" w:rsidP="00303709">
      <w:pPr>
        <w:rPr>
          <w:lang w:eastAsia="en-AU"/>
        </w:rPr>
      </w:pPr>
    </w:p>
    <w:p w:rsidR="00303709" w:rsidRPr="002F4F7E" w:rsidRDefault="00303709" w:rsidP="00303709">
      <w:pPr>
        <w:rPr>
          <w:lang w:eastAsia="en-AU"/>
        </w:rPr>
      </w:pPr>
      <w:r w:rsidRPr="002F4F7E">
        <w:rPr>
          <w:b/>
          <w:lang w:eastAsia="en-AU"/>
        </w:rPr>
        <w:t>Judgment delivered:</w:t>
      </w:r>
      <w:r w:rsidRPr="002F4F7E">
        <w:rPr>
          <w:lang w:eastAsia="en-AU"/>
        </w:rPr>
        <w:t xml:space="preserve"> </w:t>
      </w:r>
      <w:r>
        <w:rPr>
          <w:lang w:eastAsia="en-AU"/>
        </w:rPr>
        <w:t>14 May 2021</w:t>
      </w:r>
    </w:p>
    <w:p w:rsidR="00303709" w:rsidRPr="002F4F7E" w:rsidRDefault="00303709" w:rsidP="00303709">
      <w:pPr>
        <w:rPr>
          <w:lang w:eastAsia="en-AU"/>
        </w:rPr>
      </w:pPr>
    </w:p>
    <w:p w:rsidR="00303709" w:rsidRPr="002F4F7E" w:rsidRDefault="00303709" w:rsidP="00303709">
      <w:pPr>
        <w:rPr>
          <w:lang w:eastAsia="en-AU"/>
        </w:rPr>
      </w:pPr>
      <w:r w:rsidRPr="002F4F7E">
        <w:rPr>
          <w:b/>
          <w:lang w:eastAsia="en-AU"/>
        </w:rPr>
        <w:t xml:space="preserve">Coram: </w:t>
      </w:r>
      <w:r w:rsidR="00734CDC" w:rsidRPr="00734CDC">
        <w:rPr>
          <w:lang w:eastAsia="en-AU"/>
        </w:rPr>
        <w:t xml:space="preserve">Jafta, </w:t>
      </w:r>
      <w:proofErr w:type="spellStart"/>
      <w:r w:rsidR="00734CDC" w:rsidRPr="00734CDC">
        <w:rPr>
          <w:lang w:eastAsia="en-AU"/>
        </w:rPr>
        <w:t>Khampepe</w:t>
      </w:r>
      <w:proofErr w:type="spellEnd"/>
      <w:r w:rsidR="00734CDC" w:rsidRPr="00734CDC">
        <w:rPr>
          <w:lang w:eastAsia="en-AU"/>
        </w:rPr>
        <w:t xml:space="preserve">, </w:t>
      </w:r>
      <w:proofErr w:type="spellStart"/>
      <w:r w:rsidR="00734CDC" w:rsidRPr="00734CDC">
        <w:rPr>
          <w:lang w:eastAsia="en-AU"/>
        </w:rPr>
        <w:t>Madlanga</w:t>
      </w:r>
      <w:proofErr w:type="spellEnd"/>
      <w:r w:rsidR="00734CDC">
        <w:rPr>
          <w:lang w:eastAsia="en-AU"/>
        </w:rPr>
        <w:t xml:space="preserve"> JJ</w:t>
      </w:r>
      <w:r w:rsidR="00734CDC" w:rsidRPr="00734CDC">
        <w:rPr>
          <w:lang w:eastAsia="en-AU"/>
        </w:rPr>
        <w:t xml:space="preserve">, </w:t>
      </w:r>
      <w:proofErr w:type="spellStart"/>
      <w:r w:rsidR="00734CDC" w:rsidRPr="00734CDC">
        <w:rPr>
          <w:lang w:eastAsia="en-AU"/>
        </w:rPr>
        <w:t>Mathopo</w:t>
      </w:r>
      <w:proofErr w:type="spellEnd"/>
      <w:r w:rsidR="00734CDC" w:rsidRPr="00734CDC">
        <w:rPr>
          <w:lang w:eastAsia="en-AU"/>
        </w:rPr>
        <w:t xml:space="preserve"> AJ, </w:t>
      </w:r>
      <w:proofErr w:type="spellStart"/>
      <w:r w:rsidR="00734CDC" w:rsidRPr="00734CDC">
        <w:rPr>
          <w:lang w:eastAsia="en-AU"/>
        </w:rPr>
        <w:t>Mhlantla</w:t>
      </w:r>
      <w:proofErr w:type="spellEnd"/>
      <w:r w:rsidR="00734CDC" w:rsidRPr="00734CDC">
        <w:rPr>
          <w:lang w:eastAsia="en-AU"/>
        </w:rPr>
        <w:t xml:space="preserve">, Theron, </w:t>
      </w:r>
      <w:proofErr w:type="spellStart"/>
      <w:r w:rsidR="00734CDC" w:rsidRPr="00734CDC">
        <w:rPr>
          <w:lang w:eastAsia="en-AU"/>
        </w:rPr>
        <w:t>Tshiqi</w:t>
      </w:r>
      <w:proofErr w:type="spellEnd"/>
      <w:r w:rsidR="00734CDC" w:rsidRPr="00734CDC">
        <w:rPr>
          <w:lang w:eastAsia="en-AU"/>
        </w:rPr>
        <w:t xml:space="preserve"> J</w:t>
      </w:r>
      <w:r w:rsidR="00734CDC">
        <w:rPr>
          <w:lang w:eastAsia="en-AU"/>
        </w:rPr>
        <w:t>J</w:t>
      </w:r>
      <w:r w:rsidR="00734CDC" w:rsidRPr="00734CDC">
        <w:rPr>
          <w:lang w:eastAsia="en-AU"/>
        </w:rPr>
        <w:t xml:space="preserve"> and Victor AJ</w:t>
      </w:r>
    </w:p>
    <w:p w:rsidR="00303709" w:rsidRPr="002F4F7E" w:rsidRDefault="00303709" w:rsidP="00303709">
      <w:pPr>
        <w:rPr>
          <w:lang w:eastAsia="en-AU"/>
        </w:rPr>
      </w:pPr>
    </w:p>
    <w:p w:rsidR="00303709" w:rsidRPr="002F4F7E" w:rsidRDefault="00303709" w:rsidP="00303709">
      <w:pPr>
        <w:rPr>
          <w:b/>
          <w:lang w:eastAsia="en-AU"/>
        </w:rPr>
      </w:pPr>
      <w:r>
        <w:rPr>
          <w:b/>
          <w:lang w:eastAsia="en-AU"/>
        </w:rPr>
        <w:t>Catchwords:</w:t>
      </w:r>
    </w:p>
    <w:p w:rsidR="00303709" w:rsidRPr="00856E9C" w:rsidRDefault="00303709" w:rsidP="00303709">
      <w:pPr>
        <w:rPr>
          <w:b/>
          <w:highlight w:val="yellow"/>
          <w:lang w:eastAsia="en-AU"/>
        </w:rPr>
      </w:pPr>
    </w:p>
    <w:p w:rsidR="00303709" w:rsidRPr="002F4F7E" w:rsidRDefault="00734CDC" w:rsidP="00303709">
      <w:pPr>
        <w:ind w:left="720"/>
        <w:rPr>
          <w:lang w:eastAsia="en-AU"/>
        </w:rPr>
      </w:pPr>
      <w:r>
        <w:rPr>
          <w:lang w:eastAsia="en-AU"/>
        </w:rPr>
        <w:t>Torts – Unlawful imprisonment – Causation – Where applicants arrested by police without warrant and without reasonable suspicion – Where police assaulted and tortured applicants and obtained false confession from applicants</w:t>
      </w:r>
      <w:r w:rsidR="00982273">
        <w:rPr>
          <w:lang w:eastAsia="en-AU"/>
        </w:rPr>
        <w:t xml:space="preserve"> – Where applicants first appeared in Magistrates’ Court on 31 May 2005 and matter postponed fourteen times – Where applicants eligible to apply for bail but did not – Where applicants released on 10 February 2006 – Where applicants sought damages for unlawful imprisonment for whole of detention period – Where High Court held damages only available for time spent prior to court appearance, because postponements not respondent’s fault </w:t>
      </w:r>
      <w:r w:rsidR="007C45CD">
        <w:rPr>
          <w:lang w:eastAsia="en-AU"/>
        </w:rPr>
        <w:t xml:space="preserve">– Where applicant’s appeal to Full Court unsuccessful </w:t>
      </w:r>
      <w:r w:rsidR="004B2382">
        <w:rPr>
          <w:lang w:eastAsia="en-AU"/>
        </w:rPr>
        <w:t xml:space="preserve">– Whether respondent liable for full detention period – Whether applicants’ failure to apply for bail broke chain of causation.  </w:t>
      </w:r>
    </w:p>
    <w:p w:rsidR="00303709" w:rsidRPr="00856E9C" w:rsidRDefault="00303709" w:rsidP="00303709">
      <w:pPr>
        <w:ind w:left="720"/>
        <w:rPr>
          <w:highlight w:val="yellow"/>
          <w:lang w:eastAsia="en-AU"/>
        </w:rPr>
      </w:pPr>
    </w:p>
    <w:p w:rsidR="00303709" w:rsidRDefault="00303709" w:rsidP="00303709">
      <w:pPr>
        <w:rPr>
          <w:lang w:eastAsia="en-AU"/>
        </w:rPr>
      </w:pPr>
      <w:r w:rsidRPr="002F4F7E">
        <w:rPr>
          <w:b/>
          <w:lang w:eastAsia="en-AU"/>
        </w:rPr>
        <w:lastRenderedPageBreak/>
        <w:t>Held (</w:t>
      </w:r>
      <w:r w:rsidR="00734CDC">
        <w:rPr>
          <w:b/>
          <w:lang w:eastAsia="en-AU"/>
        </w:rPr>
        <w:t>8</w:t>
      </w:r>
      <w:r>
        <w:rPr>
          <w:b/>
          <w:lang w:eastAsia="en-AU"/>
        </w:rPr>
        <w:t>:0</w:t>
      </w:r>
      <w:r w:rsidRPr="002F4F7E">
        <w:rPr>
          <w:b/>
          <w:lang w:eastAsia="en-AU"/>
        </w:rPr>
        <w:t xml:space="preserve">): </w:t>
      </w:r>
      <w:r w:rsidR="00734CDC">
        <w:rPr>
          <w:lang w:eastAsia="en-AU"/>
        </w:rPr>
        <w:t xml:space="preserve">Leave to appeal granted; appeal allowed. </w:t>
      </w:r>
    </w:p>
    <w:p w:rsidR="00C920EA" w:rsidRPr="00B546B2" w:rsidRDefault="00C920EA" w:rsidP="00C920EA">
      <w:pPr>
        <w:pStyle w:val="BullDivider2"/>
        <w:rPr>
          <w:rFonts w:cs="Arial"/>
          <w:highlight w:val="yellow"/>
        </w:rPr>
      </w:pPr>
    </w:p>
    <w:p w:rsidR="008371ED" w:rsidRDefault="008371ED" w:rsidP="008371ED"/>
    <w:p w:rsidR="008371ED" w:rsidRPr="00B20BAC" w:rsidRDefault="008371ED" w:rsidP="008371ED">
      <w:pPr>
        <w:pStyle w:val="Heading1"/>
      </w:pPr>
      <w:r>
        <w:t>Trusts</w:t>
      </w:r>
    </w:p>
    <w:p w:rsidR="008371ED" w:rsidRDefault="008371ED" w:rsidP="008371ED"/>
    <w:p w:rsidR="008371ED" w:rsidRPr="00303709" w:rsidRDefault="008371ED" w:rsidP="008371ED">
      <w:pPr>
        <w:pStyle w:val="Heading2"/>
        <w:rPr>
          <w:i w:val="0"/>
        </w:rPr>
      </w:pPr>
      <w:r>
        <w:t xml:space="preserve">Lambie Trustee Ltd v </w:t>
      </w:r>
      <w:proofErr w:type="spellStart"/>
      <w:r>
        <w:t>Addleman</w:t>
      </w:r>
      <w:proofErr w:type="spellEnd"/>
    </w:p>
    <w:p w:rsidR="008371ED" w:rsidRPr="002F4F7E" w:rsidRDefault="008371ED" w:rsidP="008371ED">
      <w:pPr>
        <w:rPr>
          <w:lang w:eastAsia="en-AU"/>
        </w:rPr>
      </w:pPr>
      <w:r>
        <w:rPr>
          <w:b/>
          <w:lang w:eastAsia="en-AU"/>
        </w:rPr>
        <w:t>Supreme Court of New Zealand:</w:t>
      </w:r>
      <w:r w:rsidRPr="002F4F7E">
        <w:rPr>
          <w:b/>
          <w:lang w:eastAsia="en-AU"/>
        </w:rPr>
        <w:t xml:space="preserve"> </w:t>
      </w:r>
      <w:hyperlink r:id="rId63" w:history="1">
        <w:r w:rsidRPr="008371ED">
          <w:rPr>
            <w:rStyle w:val="Hyperlink"/>
            <w:lang w:eastAsia="en-AU"/>
          </w:rPr>
          <w:t>[2021] NZSC 54</w:t>
        </w:r>
      </w:hyperlink>
    </w:p>
    <w:p w:rsidR="008371ED" w:rsidRPr="002F4F7E" w:rsidRDefault="008371ED" w:rsidP="008371ED">
      <w:pPr>
        <w:rPr>
          <w:lang w:eastAsia="en-AU"/>
        </w:rPr>
      </w:pPr>
    </w:p>
    <w:p w:rsidR="008371ED" w:rsidRPr="002F4F7E" w:rsidRDefault="008371ED" w:rsidP="008371ED">
      <w:pPr>
        <w:rPr>
          <w:lang w:eastAsia="en-AU"/>
        </w:rPr>
      </w:pPr>
      <w:r w:rsidRPr="002F4F7E">
        <w:rPr>
          <w:b/>
          <w:lang w:eastAsia="en-AU"/>
        </w:rPr>
        <w:t>Judgment delivered:</w:t>
      </w:r>
      <w:r w:rsidRPr="002F4F7E">
        <w:rPr>
          <w:lang w:eastAsia="en-AU"/>
        </w:rPr>
        <w:t xml:space="preserve"> </w:t>
      </w:r>
      <w:r>
        <w:rPr>
          <w:lang w:eastAsia="en-AU"/>
        </w:rPr>
        <w:t>1 June 2021</w:t>
      </w:r>
    </w:p>
    <w:p w:rsidR="008371ED" w:rsidRPr="002F4F7E" w:rsidRDefault="008371ED" w:rsidP="008371ED">
      <w:pPr>
        <w:rPr>
          <w:lang w:eastAsia="en-AU"/>
        </w:rPr>
      </w:pPr>
    </w:p>
    <w:p w:rsidR="008371ED" w:rsidRPr="002F4F7E" w:rsidRDefault="008371ED" w:rsidP="008371ED">
      <w:pPr>
        <w:rPr>
          <w:lang w:eastAsia="en-AU"/>
        </w:rPr>
      </w:pPr>
      <w:r w:rsidRPr="002F4F7E">
        <w:rPr>
          <w:b/>
          <w:lang w:eastAsia="en-AU"/>
        </w:rPr>
        <w:t xml:space="preserve">Coram: </w:t>
      </w:r>
      <w:r w:rsidR="000A1D5C">
        <w:rPr>
          <w:lang w:eastAsia="en-AU"/>
        </w:rPr>
        <w:t xml:space="preserve">William Young, </w:t>
      </w:r>
      <w:proofErr w:type="spellStart"/>
      <w:r w:rsidR="000A1D5C">
        <w:rPr>
          <w:lang w:eastAsia="en-AU"/>
        </w:rPr>
        <w:t>Glazebrook</w:t>
      </w:r>
      <w:proofErr w:type="spellEnd"/>
      <w:r w:rsidR="000A1D5C">
        <w:rPr>
          <w:lang w:eastAsia="en-AU"/>
        </w:rPr>
        <w:t xml:space="preserve">, </w:t>
      </w:r>
      <w:proofErr w:type="spellStart"/>
      <w:r w:rsidR="000A1D5C">
        <w:rPr>
          <w:lang w:eastAsia="en-AU"/>
        </w:rPr>
        <w:t>O’Regan</w:t>
      </w:r>
      <w:proofErr w:type="spellEnd"/>
      <w:r w:rsidR="000A1D5C">
        <w:rPr>
          <w:lang w:eastAsia="en-AU"/>
        </w:rPr>
        <w:t>, Ellen France and Williams JJ</w:t>
      </w:r>
    </w:p>
    <w:p w:rsidR="008371ED" w:rsidRPr="002F4F7E" w:rsidRDefault="008371ED" w:rsidP="008371ED">
      <w:pPr>
        <w:rPr>
          <w:lang w:eastAsia="en-AU"/>
        </w:rPr>
      </w:pPr>
    </w:p>
    <w:p w:rsidR="008371ED" w:rsidRPr="002F4F7E" w:rsidRDefault="008371ED" w:rsidP="008371ED">
      <w:pPr>
        <w:rPr>
          <w:b/>
          <w:lang w:eastAsia="en-AU"/>
        </w:rPr>
      </w:pPr>
      <w:r>
        <w:rPr>
          <w:b/>
          <w:lang w:eastAsia="en-AU"/>
        </w:rPr>
        <w:t>Catchwords:</w:t>
      </w:r>
    </w:p>
    <w:p w:rsidR="008371ED" w:rsidRPr="00856E9C" w:rsidRDefault="008371ED" w:rsidP="008371ED">
      <w:pPr>
        <w:rPr>
          <w:b/>
          <w:highlight w:val="yellow"/>
          <w:lang w:eastAsia="en-AU"/>
        </w:rPr>
      </w:pPr>
    </w:p>
    <w:p w:rsidR="008371ED" w:rsidRPr="002F4F7E" w:rsidRDefault="008371ED" w:rsidP="008371ED">
      <w:pPr>
        <w:ind w:left="720"/>
        <w:rPr>
          <w:lang w:eastAsia="en-AU"/>
        </w:rPr>
      </w:pPr>
      <w:r>
        <w:rPr>
          <w:lang w:eastAsia="en-AU"/>
        </w:rPr>
        <w:t>T</w:t>
      </w:r>
      <w:r w:rsidR="000A1D5C">
        <w:rPr>
          <w:lang w:eastAsia="en-AU"/>
        </w:rPr>
        <w:t xml:space="preserve">rusts – Trustee duties – Disclosure of information – Legal advice – Legal professional privilege – Where respondent beneficiary of trust – Where appellant sole trustee of trust – Where respondent did not become aware of trust existence until 2001 – Where respondent sought disclosure of certain information from trustees, but did not receive information – Where respondent applied to High Court, which dismissed respondent’s claim – Where Court of Appeal reversed judgment, ordering appellant to disclose all documents relating to financial statements, minutes of meetings, and any legal advice obtained by trustees and funded by trust – Whether legal </w:t>
      </w:r>
      <w:r w:rsidR="00553C2F">
        <w:rPr>
          <w:lang w:eastAsia="en-AU"/>
        </w:rPr>
        <w:t xml:space="preserve">professional privilege prevents legal </w:t>
      </w:r>
      <w:r w:rsidR="000A1D5C">
        <w:rPr>
          <w:lang w:eastAsia="en-AU"/>
        </w:rPr>
        <w:t xml:space="preserve">advice </w:t>
      </w:r>
      <w:r w:rsidR="005D4290">
        <w:rPr>
          <w:lang w:eastAsia="en-AU"/>
        </w:rPr>
        <w:t xml:space="preserve">obtained by trust </w:t>
      </w:r>
      <w:r w:rsidR="00553C2F">
        <w:rPr>
          <w:lang w:eastAsia="en-AU"/>
        </w:rPr>
        <w:t xml:space="preserve">from being disclosed </w:t>
      </w:r>
      <w:r w:rsidR="000A1D5C">
        <w:rPr>
          <w:lang w:eastAsia="en-AU"/>
        </w:rPr>
        <w:t>– Whether Court of Appeal’s orders to disclose legal advice extends</w:t>
      </w:r>
      <w:r w:rsidR="00EC588A">
        <w:rPr>
          <w:lang w:eastAsia="en-AU"/>
        </w:rPr>
        <w:t xml:space="preserve"> </w:t>
      </w:r>
      <w:r w:rsidR="000A1D5C">
        <w:rPr>
          <w:lang w:eastAsia="en-AU"/>
        </w:rPr>
        <w:t xml:space="preserve">to legal advice in connection with this litigation. </w:t>
      </w:r>
    </w:p>
    <w:p w:rsidR="008371ED" w:rsidRPr="00856E9C" w:rsidRDefault="008371ED" w:rsidP="008371ED">
      <w:pPr>
        <w:ind w:left="720"/>
        <w:rPr>
          <w:highlight w:val="yellow"/>
          <w:lang w:eastAsia="en-AU"/>
        </w:rPr>
      </w:pPr>
    </w:p>
    <w:p w:rsidR="008371ED" w:rsidRDefault="008371ED" w:rsidP="008371ED">
      <w:pPr>
        <w:rPr>
          <w:lang w:eastAsia="en-AU"/>
        </w:rPr>
      </w:pPr>
      <w:r w:rsidRPr="002F4F7E">
        <w:rPr>
          <w:b/>
          <w:lang w:eastAsia="en-AU"/>
        </w:rPr>
        <w:t>Held (</w:t>
      </w:r>
      <w:r w:rsidR="000A1D5C">
        <w:rPr>
          <w:b/>
          <w:lang w:eastAsia="en-AU"/>
        </w:rPr>
        <w:t>5</w:t>
      </w:r>
      <w:r>
        <w:rPr>
          <w:b/>
          <w:lang w:eastAsia="en-AU"/>
        </w:rPr>
        <w:t>:0</w:t>
      </w:r>
      <w:r w:rsidRPr="002F4F7E">
        <w:rPr>
          <w:b/>
          <w:lang w:eastAsia="en-AU"/>
        </w:rPr>
        <w:t xml:space="preserve">): </w:t>
      </w:r>
      <w:r w:rsidR="000A1D5C">
        <w:rPr>
          <w:lang w:eastAsia="en-AU"/>
        </w:rPr>
        <w:t xml:space="preserve">Appeal dismissed. </w:t>
      </w:r>
      <w:r>
        <w:rPr>
          <w:lang w:eastAsia="en-AU"/>
        </w:rPr>
        <w:t xml:space="preserve"> </w:t>
      </w:r>
    </w:p>
    <w:p w:rsidR="008371ED" w:rsidRPr="00B546B2" w:rsidRDefault="008371ED" w:rsidP="008371ED">
      <w:pPr>
        <w:pStyle w:val="BullDivider2"/>
        <w:rPr>
          <w:rFonts w:cs="Arial"/>
          <w:highlight w:val="yellow"/>
        </w:rPr>
      </w:pPr>
    </w:p>
    <w:p w:rsidR="008371ED" w:rsidRPr="00B546B2" w:rsidRDefault="008371ED" w:rsidP="008371ED">
      <w:pPr>
        <w:rPr>
          <w:highlight w:val="yellow"/>
        </w:rPr>
      </w:pPr>
    </w:p>
    <w:p w:rsidR="00C920EA" w:rsidRPr="00B546B2" w:rsidRDefault="00C920EA" w:rsidP="00C920EA">
      <w:pPr>
        <w:rPr>
          <w:highlight w:val="yellow"/>
        </w:rPr>
      </w:pPr>
    </w:p>
    <w:sectPr w:rsidR="00C920EA" w:rsidRPr="00B546B2" w:rsidSect="00F4611C">
      <w:footerReference w:type="default" r:id="rId6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51" w:rsidRDefault="00544051" w:rsidP="00803531">
      <w:r>
        <w:separator/>
      </w:r>
    </w:p>
  </w:endnote>
  <w:endnote w:type="continuationSeparator" w:id="0">
    <w:p w:rsidR="00544051" w:rsidRDefault="00544051"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2A1" w:rsidRDefault="00A942A1" w:rsidP="00FF7AAF">
    <w:pPr>
      <w:pStyle w:val="Footer"/>
    </w:pPr>
    <w:r w:rsidRPr="009B1B3F">
      <w:t>ODB (2021) 18:3</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51" w:rsidRDefault="00544051" w:rsidP="00803531">
      <w:r>
        <w:separator/>
      </w:r>
    </w:p>
  </w:footnote>
  <w:footnote w:type="continuationSeparator" w:id="0">
    <w:p w:rsidR="00544051" w:rsidRDefault="00544051"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03B4"/>
    <w:rsid w:val="00001BC8"/>
    <w:rsid w:val="00003A8C"/>
    <w:rsid w:val="0000611F"/>
    <w:rsid w:val="000061F8"/>
    <w:rsid w:val="00006BC8"/>
    <w:rsid w:val="00007833"/>
    <w:rsid w:val="0001028C"/>
    <w:rsid w:val="00010B8B"/>
    <w:rsid w:val="00012586"/>
    <w:rsid w:val="00014F57"/>
    <w:rsid w:val="00016876"/>
    <w:rsid w:val="00020080"/>
    <w:rsid w:val="000206E8"/>
    <w:rsid w:val="00025A72"/>
    <w:rsid w:val="0002797C"/>
    <w:rsid w:val="000300A3"/>
    <w:rsid w:val="00034778"/>
    <w:rsid w:val="00035ADE"/>
    <w:rsid w:val="00036B97"/>
    <w:rsid w:val="00040616"/>
    <w:rsid w:val="00041979"/>
    <w:rsid w:val="00044344"/>
    <w:rsid w:val="00054234"/>
    <w:rsid w:val="00055030"/>
    <w:rsid w:val="00056565"/>
    <w:rsid w:val="00056AFF"/>
    <w:rsid w:val="000608CF"/>
    <w:rsid w:val="0006158D"/>
    <w:rsid w:val="00061DE2"/>
    <w:rsid w:val="00063EAE"/>
    <w:rsid w:val="00064880"/>
    <w:rsid w:val="00071C1F"/>
    <w:rsid w:val="00071E8B"/>
    <w:rsid w:val="00072246"/>
    <w:rsid w:val="0007274E"/>
    <w:rsid w:val="000731FC"/>
    <w:rsid w:val="00073905"/>
    <w:rsid w:val="00075100"/>
    <w:rsid w:val="0007563A"/>
    <w:rsid w:val="00076788"/>
    <w:rsid w:val="0008289E"/>
    <w:rsid w:val="00083B55"/>
    <w:rsid w:val="0008559E"/>
    <w:rsid w:val="00092FB3"/>
    <w:rsid w:val="00095FA3"/>
    <w:rsid w:val="00097C28"/>
    <w:rsid w:val="000A0C44"/>
    <w:rsid w:val="000A0D8C"/>
    <w:rsid w:val="000A1252"/>
    <w:rsid w:val="000A148B"/>
    <w:rsid w:val="000A1D5C"/>
    <w:rsid w:val="000A28E4"/>
    <w:rsid w:val="000A32A4"/>
    <w:rsid w:val="000A3B5A"/>
    <w:rsid w:val="000A52DA"/>
    <w:rsid w:val="000A59E8"/>
    <w:rsid w:val="000A5E9D"/>
    <w:rsid w:val="000B20D9"/>
    <w:rsid w:val="000B2704"/>
    <w:rsid w:val="000B2CC5"/>
    <w:rsid w:val="000B404F"/>
    <w:rsid w:val="000B4066"/>
    <w:rsid w:val="000B5465"/>
    <w:rsid w:val="000B64D7"/>
    <w:rsid w:val="000C0320"/>
    <w:rsid w:val="000C0D72"/>
    <w:rsid w:val="000C0DD6"/>
    <w:rsid w:val="000C13EC"/>
    <w:rsid w:val="000C26C1"/>
    <w:rsid w:val="000C70A6"/>
    <w:rsid w:val="000D1D3A"/>
    <w:rsid w:val="000D28D6"/>
    <w:rsid w:val="000D2EE4"/>
    <w:rsid w:val="000D3E8D"/>
    <w:rsid w:val="000D5142"/>
    <w:rsid w:val="000E1CE7"/>
    <w:rsid w:val="000E2BAA"/>
    <w:rsid w:val="000E58D2"/>
    <w:rsid w:val="000E5BD7"/>
    <w:rsid w:val="000E5F48"/>
    <w:rsid w:val="000E7F45"/>
    <w:rsid w:val="000F0DBE"/>
    <w:rsid w:val="000F1300"/>
    <w:rsid w:val="000F1613"/>
    <w:rsid w:val="000F389D"/>
    <w:rsid w:val="000F4DC5"/>
    <w:rsid w:val="000F6AFF"/>
    <w:rsid w:val="000F7D3C"/>
    <w:rsid w:val="00100B3E"/>
    <w:rsid w:val="001018FD"/>
    <w:rsid w:val="001036AC"/>
    <w:rsid w:val="00103F4B"/>
    <w:rsid w:val="00106FCA"/>
    <w:rsid w:val="00112D8A"/>
    <w:rsid w:val="001139AF"/>
    <w:rsid w:val="00113C18"/>
    <w:rsid w:val="00115250"/>
    <w:rsid w:val="001158DF"/>
    <w:rsid w:val="0011644F"/>
    <w:rsid w:val="0011686A"/>
    <w:rsid w:val="00117699"/>
    <w:rsid w:val="00121E50"/>
    <w:rsid w:val="001224D8"/>
    <w:rsid w:val="00122779"/>
    <w:rsid w:val="00125B7B"/>
    <w:rsid w:val="001275B1"/>
    <w:rsid w:val="0012760C"/>
    <w:rsid w:val="0012787A"/>
    <w:rsid w:val="0013001F"/>
    <w:rsid w:val="00130C04"/>
    <w:rsid w:val="001328C3"/>
    <w:rsid w:val="00133E53"/>
    <w:rsid w:val="001348BB"/>
    <w:rsid w:val="00136EE9"/>
    <w:rsid w:val="00137559"/>
    <w:rsid w:val="0013755F"/>
    <w:rsid w:val="00140FCC"/>
    <w:rsid w:val="00142680"/>
    <w:rsid w:val="00143ADC"/>
    <w:rsid w:val="001451E5"/>
    <w:rsid w:val="00145940"/>
    <w:rsid w:val="001468A0"/>
    <w:rsid w:val="0014793D"/>
    <w:rsid w:val="00150915"/>
    <w:rsid w:val="00150962"/>
    <w:rsid w:val="001529A9"/>
    <w:rsid w:val="00152A41"/>
    <w:rsid w:val="00154743"/>
    <w:rsid w:val="00155A72"/>
    <w:rsid w:val="00156968"/>
    <w:rsid w:val="00160A55"/>
    <w:rsid w:val="00161796"/>
    <w:rsid w:val="001638E7"/>
    <w:rsid w:val="001639F4"/>
    <w:rsid w:val="00164073"/>
    <w:rsid w:val="00164A02"/>
    <w:rsid w:val="0016544D"/>
    <w:rsid w:val="00166D65"/>
    <w:rsid w:val="001671EE"/>
    <w:rsid w:val="00171BF7"/>
    <w:rsid w:val="001730B2"/>
    <w:rsid w:val="00175B87"/>
    <w:rsid w:val="001761EF"/>
    <w:rsid w:val="001762D9"/>
    <w:rsid w:val="001765A2"/>
    <w:rsid w:val="00176D58"/>
    <w:rsid w:val="00180393"/>
    <w:rsid w:val="0018118A"/>
    <w:rsid w:val="001812FD"/>
    <w:rsid w:val="00181993"/>
    <w:rsid w:val="00181C26"/>
    <w:rsid w:val="00181C2D"/>
    <w:rsid w:val="00182267"/>
    <w:rsid w:val="00182F80"/>
    <w:rsid w:val="00183809"/>
    <w:rsid w:val="001845F8"/>
    <w:rsid w:val="00184BF6"/>
    <w:rsid w:val="00185B04"/>
    <w:rsid w:val="001861E1"/>
    <w:rsid w:val="0018777A"/>
    <w:rsid w:val="0019053F"/>
    <w:rsid w:val="0019057F"/>
    <w:rsid w:val="00190714"/>
    <w:rsid w:val="00193C5B"/>
    <w:rsid w:val="00193D7D"/>
    <w:rsid w:val="00197443"/>
    <w:rsid w:val="001A1741"/>
    <w:rsid w:val="001A1BEC"/>
    <w:rsid w:val="001A3C19"/>
    <w:rsid w:val="001A3D22"/>
    <w:rsid w:val="001A5535"/>
    <w:rsid w:val="001A674A"/>
    <w:rsid w:val="001B0F99"/>
    <w:rsid w:val="001B34E9"/>
    <w:rsid w:val="001B62EE"/>
    <w:rsid w:val="001B6F90"/>
    <w:rsid w:val="001B7401"/>
    <w:rsid w:val="001C0207"/>
    <w:rsid w:val="001C02C1"/>
    <w:rsid w:val="001C44B5"/>
    <w:rsid w:val="001D0A57"/>
    <w:rsid w:val="001D1234"/>
    <w:rsid w:val="001D1F45"/>
    <w:rsid w:val="001D2A50"/>
    <w:rsid w:val="001D36B4"/>
    <w:rsid w:val="001D376F"/>
    <w:rsid w:val="001D4B11"/>
    <w:rsid w:val="001E27A8"/>
    <w:rsid w:val="001E2B94"/>
    <w:rsid w:val="001E333A"/>
    <w:rsid w:val="001E3CAD"/>
    <w:rsid w:val="001E5A46"/>
    <w:rsid w:val="001E6171"/>
    <w:rsid w:val="001F09C4"/>
    <w:rsid w:val="001F33E7"/>
    <w:rsid w:val="001F3418"/>
    <w:rsid w:val="001F4B89"/>
    <w:rsid w:val="0020034F"/>
    <w:rsid w:val="00201B76"/>
    <w:rsid w:val="00201D90"/>
    <w:rsid w:val="00205443"/>
    <w:rsid w:val="00205B04"/>
    <w:rsid w:val="00207229"/>
    <w:rsid w:val="002110A3"/>
    <w:rsid w:val="00211DFA"/>
    <w:rsid w:val="00212027"/>
    <w:rsid w:val="00212845"/>
    <w:rsid w:val="0021397A"/>
    <w:rsid w:val="00213C1A"/>
    <w:rsid w:val="00213D2B"/>
    <w:rsid w:val="00217F3A"/>
    <w:rsid w:val="002209A5"/>
    <w:rsid w:val="0022191E"/>
    <w:rsid w:val="00221F4D"/>
    <w:rsid w:val="002225AA"/>
    <w:rsid w:val="002233EB"/>
    <w:rsid w:val="0022481A"/>
    <w:rsid w:val="00227473"/>
    <w:rsid w:val="00227577"/>
    <w:rsid w:val="00230A69"/>
    <w:rsid w:val="002347CA"/>
    <w:rsid w:val="00236AC3"/>
    <w:rsid w:val="00240E8A"/>
    <w:rsid w:val="002410CC"/>
    <w:rsid w:val="002433A8"/>
    <w:rsid w:val="00243A33"/>
    <w:rsid w:val="002459E4"/>
    <w:rsid w:val="00246EF5"/>
    <w:rsid w:val="002471BE"/>
    <w:rsid w:val="00247287"/>
    <w:rsid w:val="0024748B"/>
    <w:rsid w:val="002477DC"/>
    <w:rsid w:val="00250630"/>
    <w:rsid w:val="00250F94"/>
    <w:rsid w:val="00251D0F"/>
    <w:rsid w:val="0025252A"/>
    <w:rsid w:val="002526F0"/>
    <w:rsid w:val="00252F31"/>
    <w:rsid w:val="00254090"/>
    <w:rsid w:val="002540B8"/>
    <w:rsid w:val="00255DAF"/>
    <w:rsid w:val="00262FE1"/>
    <w:rsid w:val="00266690"/>
    <w:rsid w:val="00270FCA"/>
    <w:rsid w:val="0027369F"/>
    <w:rsid w:val="00273BF8"/>
    <w:rsid w:val="00275701"/>
    <w:rsid w:val="00276923"/>
    <w:rsid w:val="00280499"/>
    <w:rsid w:val="00281809"/>
    <w:rsid w:val="0028505C"/>
    <w:rsid w:val="0028582D"/>
    <w:rsid w:val="00285C50"/>
    <w:rsid w:val="00286568"/>
    <w:rsid w:val="00286BC6"/>
    <w:rsid w:val="002904E1"/>
    <w:rsid w:val="002936F6"/>
    <w:rsid w:val="00296137"/>
    <w:rsid w:val="00297845"/>
    <w:rsid w:val="002A02E4"/>
    <w:rsid w:val="002A3C55"/>
    <w:rsid w:val="002A527B"/>
    <w:rsid w:val="002A69DC"/>
    <w:rsid w:val="002A6DD4"/>
    <w:rsid w:val="002A6F39"/>
    <w:rsid w:val="002A7821"/>
    <w:rsid w:val="002B1336"/>
    <w:rsid w:val="002B1A95"/>
    <w:rsid w:val="002B4119"/>
    <w:rsid w:val="002B47B1"/>
    <w:rsid w:val="002B58BD"/>
    <w:rsid w:val="002B7B5E"/>
    <w:rsid w:val="002C0A90"/>
    <w:rsid w:val="002C2C37"/>
    <w:rsid w:val="002C3E68"/>
    <w:rsid w:val="002C5401"/>
    <w:rsid w:val="002C5856"/>
    <w:rsid w:val="002D27FD"/>
    <w:rsid w:val="002D309D"/>
    <w:rsid w:val="002D6C8A"/>
    <w:rsid w:val="002E0A88"/>
    <w:rsid w:val="002E2DDE"/>
    <w:rsid w:val="002E3D12"/>
    <w:rsid w:val="002E5D09"/>
    <w:rsid w:val="002E611D"/>
    <w:rsid w:val="002E6450"/>
    <w:rsid w:val="002E7C04"/>
    <w:rsid w:val="002F18CF"/>
    <w:rsid w:val="002F220E"/>
    <w:rsid w:val="002F2314"/>
    <w:rsid w:val="002F40F5"/>
    <w:rsid w:val="002F41DC"/>
    <w:rsid w:val="002F4B3A"/>
    <w:rsid w:val="002F4F7E"/>
    <w:rsid w:val="002F5F93"/>
    <w:rsid w:val="002F73D6"/>
    <w:rsid w:val="002F7A17"/>
    <w:rsid w:val="002F7D66"/>
    <w:rsid w:val="00301AC5"/>
    <w:rsid w:val="00301B43"/>
    <w:rsid w:val="00303709"/>
    <w:rsid w:val="00304307"/>
    <w:rsid w:val="00305199"/>
    <w:rsid w:val="00307804"/>
    <w:rsid w:val="0031010D"/>
    <w:rsid w:val="00310522"/>
    <w:rsid w:val="00310A4E"/>
    <w:rsid w:val="003132E2"/>
    <w:rsid w:val="0031754B"/>
    <w:rsid w:val="0032013E"/>
    <w:rsid w:val="0032098B"/>
    <w:rsid w:val="0032244A"/>
    <w:rsid w:val="00326031"/>
    <w:rsid w:val="003261E1"/>
    <w:rsid w:val="0033020E"/>
    <w:rsid w:val="00334D29"/>
    <w:rsid w:val="0034394C"/>
    <w:rsid w:val="003470D1"/>
    <w:rsid w:val="00351E4C"/>
    <w:rsid w:val="003553B8"/>
    <w:rsid w:val="003579AA"/>
    <w:rsid w:val="003604E8"/>
    <w:rsid w:val="00360F0A"/>
    <w:rsid w:val="0036233C"/>
    <w:rsid w:val="00363764"/>
    <w:rsid w:val="003637CE"/>
    <w:rsid w:val="0036633D"/>
    <w:rsid w:val="0037207F"/>
    <w:rsid w:val="0037306C"/>
    <w:rsid w:val="0037370F"/>
    <w:rsid w:val="00373D30"/>
    <w:rsid w:val="00375515"/>
    <w:rsid w:val="0037654C"/>
    <w:rsid w:val="00377942"/>
    <w:rsid w:val="00380978"/>
    <w:rsid w:val="00381899"/>
    <w:rsid w:val="00381B5C"/>
    <w:rsid w:val="0038382C"/>
    <w:rsid w:val="00385DA8"/>
    <w:rsid w:val="003868AD"/>
    <w:rsid w:val="00387C34"/>
    <w:rsid w:val="003908CA"/>
    <w:rsid w:val="003976FB"/>
    <w:rsid w:val="003A011E"/>
    <w:rsid w:val="003A1231"/>
    <w:rsid w:val="003A156B"/>
    <w:rsid w:val="003A1962"/>
    <w:rsid w:val="003A3A72"/>
    <w:rsid w:val="003A3BEE"/>
    <w:rsid w:val="003A5BFA"/>
    <w:rsid w:val="003A7D12"/>
    <w:rsid w:val="003B0B1A"/>
    <w:rsid w:val="003B13F6"/>
    <w:rsid w:val="003B18B6"/>
    <w:rsid w:val="003B405E"/>
    <w:rsid w:val="003B5377"/>
    <w:rsid w:val="003C0017"/>
    <w:rsid w:val="003C18F0"/>
    <w:rsid w:val="003C25CB"/>
    <w:rsid w:val="003C28A6"/>
    <w:rsid w:val="003C4007"/>
    <w:rsid w:val="003C606F"/>
    <w:rsid w:val="003C6712"/>
    <w:rsid w:val="003C6E2B"/>
    <w:rsid w:val="003C7439"/>
    <w:rsid w:val="003D72BF"/>
    <w:rsid w:val="003D7578"/>
    <w:rsid w:val="003E0190"/>
    <w:rsid w:val="003E27C2"/>
    <w:rsid w:val="003E31C1"/>
    <w:rsid w:val="003F165A"/>
    <w:rsid w:val="003F1AD9"/>
    <w:rsid w:val="003F26EE"/>
    <w:rsid w:val="003F270F"/>
    <w:rsid w:val="003F2862"/>
    <w:rsid w:val="003F3508"/>
    <w:rsid w:val="003F4132"/>
    <w:rsid w:val="003F418A"/>
    <w:rsid w:val="003F5341"/>
    <w:rsid w:val="003F6485"/>
    <w:rsid w:val="00400757"/>
    <w:rsid w:val="004007CD"/>
    <w:rsid w:val="00401A7C"/>
    <w:rsid w:val="00403C92"/>
    <w:rsid w:val="00404E24"/>
    <w:rsid w:val="004061FF"/>
    <w:rsid w:val="004065B5"/>
    <w:rsid w:val="00412E8D"/>
    <w:rsid w:val="004138B3"/>
    <w:rsid w:val="00414F67"/>
    <w:rsid w:val="00415D91"/>
    <w:rsid w:val="004211CE"/>
    <w:rsid w:val="00423F69"/>
    <w:rsid w:val="00424660"/>
    <w:rsid w:val="00427221"/>
    <w:rsid w:val="004273FD"/>
    <w:rsid w:val="00430424"/>
    <w:rsid w:val="0043209B"/>
    <w:rsid w:val="0043549F"/>
    <w:rsid w:val="00436081"/>
    <w:rsid w:val="004402BC"/>
    <w:rsid w:val="004406B1"/>
    <w:rsid w:val="00444A54"/>
    <w:rsid w:val="00444D4B"/>
    <w:rsid w:val="00444F25"/>
    <w:rsid w:val="00445279"/>
    <w:rsid w:val="00446E72"/>
    <w:rsid w:val="00451339"/>
    <w:rsid w:val="00451E71"/>
    <w:rsid w:val="00455553"/>
    <w:rsid w:val="00455B96"/>
    <w:rsid w:val="004570E7"/>
    <w:rsid w:val="0046101B"/>
    <w:rsid w:val="00462AEB"/>
    <w:rsid w:val="0046475B"/>
    <w:rsid w:val="0046591C"/>
    <w:rsid w:val="00465D90"/>
    <w:rsid w:val="00466473"/>
    <w:rsid w:val="00466689"/>
    <w:rsid w:val="004668F6"/>
    <w:rsid w:val="004676C3"/>
    <w:rsid w:val="004711A0"/>
    <w:rsid w:val="00475D39"/>
    <w:rsid w:val="00476476"/>
    <w:rsid w:val="00477A68"/>
    <w:rsid w:val="00480F84"/>
    <w:rsid w:val="00481FA6"/>
    <w:rsid w:val="00482C3A"/>
    <w:rsid w:val="00484053"/>
    <w:rsid w:val="00486A6F"/>
    <w:rsid w:val="00486B32"/>
    <w:rsid w:val="00490E9B"/>
    <w:rsid w:val="00493062"/>
    <w:rsid w:val="00494B1A"/>
    <w:rsid w:val="00497C2A"/>
    <w:rsid w:val="004A07F8"/>
    <w:rsid w:val="004B2382"/>
    <w:rsid w:val="004B33B5"/>
    <w:rsid w:val="004B4405"/>
    <w:rsid w:val="004B509B"/>
    <w:rsid w:val="004B567E"/>
    <w:rsid w:val="004B5AE4"/>
    <w:rsid w:val="004B7772"/>
    <w:rsid w:val="004C01B0"/>
    <w:rsid w:val="004C0661"/>
    <w:rsid w:val="004C3A90"/>
    <w:rsid w:val="004C5D19"/>
    <w:rsid w:val="004D1BDA"/>
    <w:rsid w:val="004D416B"/>
    <w:rsid w:val="004D4D99"/>
    <w:rsid w:val="004E5A9D"/>
    <w:rsid w:val="004F1FFA"/>
    <w:rsid w:val="004F2FA3"/>
    <w:rsid w:val="004F5D25"/>
    <w:rsid w:val="004F76BF"/>
    <w:rsid w:val="004F79DE"/>
    <w:rsid w:val="004F7B7B"/>
    <w:rsid w:val="00501DA5"/>
    <w:rsid w:val="00502BC3"/>
    <w:rsid w:val="00502C3F"/>
    <w:rsid w:val="00503C5F"/>
    <w:rsid w:val="005048D5"/>
    <w:rsid w:val="005057B0"/>
    <w:rsid w:val="00510C1C"/>
    <w:rsid w:val="00512244"/>
    <w:rsid w:val="0051272D"/>
    <w:rsid w:val="00514E2E"/>
    <w:rsid w:val="00515B3A"/>
    <w:rsid w:val="00516BB6"/>
    <w:rsid w:val="005208B3"/>
    <w:rsid w:val="00521A62"/>
    <w:rsid w:val="00521CE7"/>
    <w:rsid w:val="0052214A"/>
    <w:rsid w:val="0052287E"/>
    <w:rsid w:val="00524296"/>
    <w:rsid w:val="005244A9"/>
    <w:rsid w:val="00525007"/>
    <w:rsid w:val="0053305E"/>
    <w:rsid w:val="005333FC"/>
    <w:rsid w:val="00533C10"/>
    <w:rsid w:val="00533C5A"/>
    <w:rsid w:val="005344BB"/>
    <w:rsid w:val="00541281"/>
    <w:rsid w:val="00542209"/>
    <w:rsid w:val="005428DC"/>
    <w:rsid w:val="00544051"/>
    <w:rsid w:val="00545ED8"/>
    <w:rsid w:val="005465A4"/>
    <w:rsid w:val="00553C2F"/>
    <w:rsid w:val="00555F5E"/>
    <w:rsid w:val="00560229"/>
    <w:rsid w:val="00560C9C"/>
    <w:rsid w:val="00562037"/>
    <w:rsid w:val="00562D37"/>
    <w:rsid w:val="00564976"/>
    <w:rsid w:val="00566941"/>
    <w:rsid w:val="0057096E"/>
    <w:rsid w:val="00572002"/>
    <w:rsid w:val="00573E57"/>
    <w:rsid w:val="00575041"/>
    <w:rsid w:val="005779CA"/>
    <w:rsid w:val="005817A0"/>
    <w:rsid w:val="00581EE1"/>
    <w:rsid w:val="00586493"/>
    <w:rsid w:val="00587B45"/>
    <w:rsid w:val="00587DDD"/>
    <w:rsid w:val="005912F2"/>
    <w:rsid w:val="00592667"/>
    <w:rsid w:val="0059269E"/>
    <w:rsid w:val="00593341"/>
    <w:rsid w:val="005942A7"/>
    <w:rsid w:val="005946CD"/>
    <w:rsid w:val="00597F08"/>
    <w:rsid w:val="005A0C20"/>
    <w:rsid w:val="005A1474"/>
    <w:rsid w:val="005A38CD"/>
    <w:rsid w:val="005B2468"/>
    <w:rsid w:val="005C1893"/>
    <w:rsid w:val="005C6023"/>
    <w:rsid w:val="005C6B57"/>
    <w:rsid w:val="005D10AC"/>
    <w:rsid w:val="005D1CEE"/>
    <w:rsid w:val="005D2400"/>
    <w:rsid w:val="005D4290"/>
    <w:rsid w:val="005D4626"/>
    <w:rsid w:val="005E08A5"/>
    <w:rsid w:val="005E2B34"/>
    <w:rsid w:val="005E39E2"/>
    <w:rsid w:val="005E5D9C"/>
    <w:rsid w:val="005E5DAF"/>
    <w:rsid w:val="005E6749"/>
    <w:rsid w:val="005E6984"/>
    <w:rsid w:val="005F0B55"/>
    <w:rsid w:val="005F122D"/>
    <w:rsid w:val="005F12F6"/>
    <w:rsid w:val="005F412C"/>
    <w:rsid w:val="005F4AE2"/>
    <w:rsid w:val="005F6CE0"/>
    <w:rsid w:val="005F7612"/>
    <w:rsid w:val="00605527"/>
    <w:rsid w:val="00611AB9"/>
    <w:rsid w:val="00613043"/>
    <w:rsid w:val="00613431"/>
    <w:rsid w:val="006151E0"/>
    <w:rsid w:val="006153D8"/>
    <w:rsid w:val="00615569"/>
    <w:rsid w:val="00616B64"/>
    <w:rsid w:val="00620B33"/>
    <w:rsid w:val="00620F1A"/>
    <w:rsid w:val="00622DC8"/>
    <w:rsid w:val="00623BCE"/>
    <w:rsid w:val="00623E1A"/>
    <w:rsid w:val="006242DA"/>
    <w:rsid w:val="00624716"/>
    <w:rsid w:val="0062493B"/>
    <w:rsid w:val="006261C0"/>
    <w:rsid w:val="006278AB"/>
    <w:rsid w:val="0063040D"/>
    <w:rsid w:val="00630D68"/>
    <w:rsid w:val="006316BF"/>
    <w:rsid w:val="006325A7"/>
    <w:rsid w:val="006338A2"/>
    <w:rsid w:val="006372D1"/>
    <w:rsid w:val="00637F18"/>
    <w:rsid w:val="00645051"/>
    <w:rsid w:val="00645B16"/>
    <w:rsid w:val="00647B8A"/>
    <w:rsid w:val="006502A0"/>
    <w:rsid w:val="00650C85"/>
    <w:rsid w:val="00652264"/>
    <w:rsid w:val="00652D36"/>
    <w:rsid w:val="00655592"/>
    <w:rsid w:val="00663A7B"/>
    <w:rsid w:val="00663DDC"/>
    <w:rsid w:val="0066751B"/>
    <w:rsid w:val="006675B5"/>
    <w:rsid w:val="00671C14"/>
    <w:rsid w:val="00671EB9"/>
    <w:rsid w:val="00672358"/>
    <w:rsid w:val="00673127"/>
    <w:rsid w:val="0067615D"/>
    <w:rsid w:val="00676627"/>
    <w:rsid w:val="006838F1"/>
    <w:rsid w:val="00683E9E"/>
    <w:rsid w:val="006850AA"/>
    <w:rsid w:val="006861EC"/>
    <w:rsid w:val="00686CDB"/>
    <w:rsid w:val="00686F0E"/>
    <w:rsid w:val="00687C34"/>
    <w:rsid w:val="00690E6E"/>
    <w:rsid w:val="006918AE"/>
    <w:rsid w:val="00692364"/>
    <w:rsid w:val="00692BF5"/>
    <w:rsid w:val="006932CA"/>
    <w:rsid w:val="00695E0C"/>
    <w:rsid w:val="006A151A"/>
    <w:rsid w:val="006A1D9D"/>
    <w:rsid w:val="006A6DF4"/>
    <w:rsid w:val="006B04F5"/>
    <w:rsid w:val="006B093A"/>
    <w:rsid w:val="006B3318"/>
    <w:rsid w:val="006B48D1"/>
    <w:rsid w:val="006B7FBE"/>
    <w:rsid w:val="006C05E8"/>
    <w:rsid w:val="006C160C"/>
    <w:rsid w:val="006C1C53"/>
    <w:rsid w:val="006C1DE4"/>
    <w:rsid w:val="006C2695"/>
    <w:rsid w:val="006C2C13"/>
    <w:rsid w:val="006C4198"/>
    <w:rsid w:val="006C5722"/>
    <w:rsid w:val="006C6AF2"/>
    <w:rsid w:val="006C6C3E"/>
    <w:rsid w:val="006D1EC0"/>
    <w:rsid w:val="006D2F99"/>
    <w:rsid w:val="006D47BC"/>
    <w:rsid w:val="006D6D8D"/>
    <w:rsid w:val="006D7988"/>
    <w:rsid w:val="006E0DAD"/>
    <w:rsid w:val="006E1B64"/>
    <w:rsid w:val="006E3044"/>
    <w:rsid w:val="006E78AB"/>
    <w:rsid w:val="006F2C95"/>
    <w:rsid w:val="006F600C"/>
    <w:rsid w:val="006F6ED2"/>
    <w:rsid w:val="007008E3"/>
    <w:rsid w:val="007022F2"/>
    <w:rsid w:val="00704703"/>
    <w:rsid w:val="0070640F"/>
    <w:rsid w:val="00711F06"/>
    <w:rsid w:val="007135C3"/>
    <w:rsid w:val="0071397E"/>
    <w:rsid w:val="00714E18"/>
    <w:rsid w:val="00715DED"/>
    <w:rsid w:val="0071767F"/>
    <w:rsid w:val="0071770A"/>
    <w:rsid w:val="007201C7"/>
    <w:rsid w:val="00724E3B"/>
    <w:rsid w:val="00725613"/>
    <w:rsid w:val="00725F4B"/>
    <w:rsid w:val="0072624B"/>
    <w:rsid w:val="0072661E"/>
    <w:rsid w:val="00727206"/>
    <w:rsid w:val="007309C2"/>
    <w:rsid w:val="0073218D"/>
    <w:rsid w:val="00734CDC"/>
    <w:rsid w:val="0073602A"/>
    <w:rsid w:val="00737350"/>
    <w:rsid w:val="00737850"/>
    <w:rsid w:val="00741440"/>
    <w:rsid w:val="00741C2B"/>
    <w:rsid w:val="007432F8"/>
    <w:rsid w:val="00744449"/>
    <w:rsid w:val="00752075"/>
    <w:rsid w:val="0075257C"/>
    <w:rsid w:val="007529F1"/>
    <w:rsid w:val="007633E1"/>
    <w:rsid w:val="00764372"/>
    <w:rsid w:val="00765EAD"/>
    <w:rsid w:val="00766808"/>
    <w:rsid w:val="00770B55"/>
    <w:rsid w:val="007731EB"/>
    <w:rsid w:val="0077368A"/>
    <w:rsid w:val="00774670"/>
    <w:rsid w:val="0077573D"/>
    <w:rsid w:val="007803CD"/>
    <w:rsid w:val="00782A2B"/>
    <w:rsid w:val="007847F9"/>
    <w:rsid w:val="0078525A"/>
    <w:rsid w:val="00785D42"/>
    <w:rsid w:val="007907B8"/>
    <w:rsid w:val="00790FB6"/>
    <w:rsid w:val="007918BA"/>
    <w:rsid w:val="0079309C"/>
    <w:rsid w:val="007936F1"/>
    <w:rsid w:val="00794233"/>
    <w:rsid w:val="00797321"/>
    <w:rsid w:val="007A097C"/>
    <w:rsid w:val="007A30CC"/>
    <w:rsid w:val="007A4E3A"/>
    <w:rsid w:val="007A56A5"/>
    <w:rsid w:val="007B3B4F"/>
    <w:rsid w:val="007B5415"/>
    <w:rsid w:val="007B6094"/>
    <w:rsid w:val="007B64CB"/>
    <w:rsid w:val="007B702B"/>
    <w:rsid w:val="007B7E38"/>
    <w:rsid w:val="007C00A9"/>
    <w:rsid w:val="007C18FC"/>
    <w:rsid w:val="007C1F73"/>
    <w:rsid w:val="007C2DD7"/>
    <w:rsid w:val="007C3EBD"/>
    <w:rsid w:val="007C3F85"/>
    <w:rsid w:val="007C45CD"/>
    <w:rsid w:val="007D36E4"/>
    <w:rsid w:val="007D6B07"/>
    <w:rsid w:val="007E4414"/>
    <w:rsid w:val="007E4731"/>
    <w:rsid w:val="007E4E01"/>
    <w:rsid w:val="007E6C8E"/>
    <w:rsid w:val="007E7A4C"/>
    <w:rsid w:val="007F4D06"/>
    <w:rsid w:val="007F70E0"/>
    <w:rsid w:val="007F7BF3"/>
    <w:rsid w:val="00801EB1"/>
    <w:rsid w:val="008021B1"/>
    <w:rsid w:val="00803531"/>
    <w:rsid w:val="00804839"/>
    <w:rsid w:val="008060C3"/>
    <w:rsid w:val="0080621A"/>
    <w:rsid w:val="00807023"/>
    <w:rsid w:val="00810B1D"/>
    <w:rsid w:val="008139A1"/>
    <w:rsid w:val="00817392"/>
    <w:rsid w:val="00817A4F"/>
    <w:rsid w:val="00820B22"/>
    <w:rsid w:val="00825390"/>
    <w:rsid w:val="008259F5"/>
    <w:rsid w:val="00832CF6"/>
    <w:rsid w:val="008369B1"/>
    <w:rsid w:val="008371ED"/>
    <w:rsid w:val="00841E1C"/>
    <w:rsid w:val="008422D7"/>
    <w:rsid w:val="00843627"/>
    <w:rsid w:val="00843F25"/>
    <w:rsid w:val="0084666F"/>
    <w:rsid w:val="008478BF"/>
    <w:rsid w:val="00853A55"/>
    <w:rsid w:val="00855546"/>
    <w:rsid w:val="0085571B"/>
    <w:rsid w:val="00856E9C"/>
    <w:rsid w:val="00857253"/>
    <w:rsid w:val="00857556"/>
    <w:rsid w:val="00857634"/>
    <w:rsid w:val="0086214C"/>
    <w:rsid w:val="00862711"/>
    <w:rsid w:val="008642DB"/>
    <w:rsid w:val="00871674"/>
    <w:rsid w:val="00874300"/>
    <w:rsid w:val="00874DE2"/>
    <w:rsid w:val="008751A2"/>
    <w:rsid w:val="0087655A"/>
    <w:rsid w:val="00877428"/>
    <w:rsid w:val="0088018F"/>
    <w:rsid w:val="00883861"/>
    <w:rsid w:val="00884DAE"/>
    <w:rsid w:val="00886538"/>
    <w:rsid w:val="00887E18"/>
    <w:rsid w:val="008904D1"/>
    <w:rsid w:val="00893D0C"/>
    <w:rsid w:val="0089498B"/>
    <w:rsid w:val="00896DA1"/>
    <w:rsid w:val="008A18EA"/>
    <w:rsid w:val="008A1C86"/>
    <w:rsid w:val="008A30A6"/>
    <w:rsid w:val="008A4C03"/>
    <w:rsid w:val="008A7973"/>
    <w:rsid w:val="008B24F1"/>
    <w:rsid w:val="008B7C35"/>
    <w:rsid w:val="008C0595"/>
    <w:rsid w:val="008C1EB6"/>
    <w:rsid w:val="008C2552"/>
    <w:rsid w:val="008C2FA1"/>
    <w:rsid w:val="008C35EC"/>
    <w:rsid w:val="008C3797"/>
    <w:rsid w:val="008D0EC0"/>
    <w:rsid w:val="008D564E"/>
    <w:rsid w:val="008D6FD6"/>
    <w:rsid w:val="008D798F"/>
    <w:rsid w:val="008E0D98"/>
    <w:rsid w:val="008E174A"/>
    <w:rsid w:val="008E1D99"/>
    <w:rsid w:val="008E20BF"/>
    <w:rsid w:val="008E3CD8"/>
    <w:rsid w:val="008E3EA2"/>
    <w:rsid w:val="008E481B"/>
    <w:rsid w:val="008E492B"/>
    <w:rsid w:val="008E50C4"/>
    <w:rsid w:val="008E557B"/>
    <w:rsid w:val="008E5ADE"/>
    <w:rsid w:val="008E702F"/>
    <w:rsid w:val="008F2CD3"/>
    <w:rsid w:val="008F5E54"/>
    <w:rsid w:val="008F6960"/>
    <w:rsid w:val="00901F51"/>
    <w:rsid w:val="009027B9"/>
    <w:rsid w:val="00903658"/>
    <w:rsid w:val="00904275"/>
    <w:rsid w:val="00904725"/>
    <w:rsid w:val="009069C9"/>
    <w:rsid w:val="00907721"/>
    <w:rsid w:val="0091673B"/>
    <w:rsid w:val="0091707B"/>
    <w:rsid w:val="0092254A"/>
    <w:rsid w:val="00923481"/>
    <w:rsid w:val="00925702"/>
    <w:rsid w:val="009322C7"/>
    <w:rsid w:val="00936AF4"/>
    <w:rsid w:val="009373E9"/>
    <w:rsid w:val="0094245A"/>
    <w:rsid w:val="00943C54"/>
    <w:rsid w:val="009447C6"/>
    <w:rsid w:val="0094631A"/>
    <w:rsid w:val="00947F07"/>
    <w:rsid w:val="00951CE9"/>
    <w:rsid w:val="00957249"/>
    <w:rsid w:val="009605CB"/>
    <w:rsid w:val="00962406"/>
    <w:rsid w:val="0096245A"/>
    <w:rsid w:val="009645AE"/>
    <w:rsid w:val="00966174"/>
    <w:rsid w:val="0096631E"/>
    <w:rsid w:val="00970E42"/>
    <w:rsid w:val="009728AC"/>
    <w:rsid w:val="00975C67"/>
    <w:rsid w:val="0098121E"/>
    <w:rsid w:val="00981BD5"/>
    <w:rsid w:val="00982273"/>
    <w:rsid w:val="00982827"/>
    <w:rsid w:val="00982F1C"/>
    <w:rsid w:val="009843E2"/>
    <w:rsid w:val="009872CB"/>
    <w:rsid w:val="009900FA"/>
    <w:rsid w:val="00990A83"/>
    <w:rsid w:val="00992453"/>
    <w:rsid w:val="00992ECF"/>
    <w:rsid w:val="0099424B"/>
    <w:rsid w:val="00995728"/>
    <w:rsid w:val="009960F6"/>
    <w:rsid w:val="009967A9"/>
    <w:rsid w:val="009972A1"/>
    <w:rsid w:val="009A1D79"/>
    <w:rsid w:val="009A3808"/>
    <w:rsid w:val="009A6970"/>
    <w:rsid w:val="009B00D7"/>
    <w:rsid w:val="009B0EDE"/>
    <w:rsid w:val="009B198F"/>
    <w:rsid w:val="009B1B3F"/>
    <w:rsid w:val="009B3C0E"/>
    <w:rsid w:val="009B622C"/>
    <w:rsid w:val="009C2781"/>
    <w:rsid w:val="009C2C97"/>
    <w:rsid w:val="009C2F5B"/>
    <w:rsid w:val="009C3C84"/>
    <w:rsid w:val="009C47BB"/>
    <w:rsid w:val="009D0CE8"/>
    <w:rsid w:val="009D4472"/>
    <w:rsid w:val="009D60C9"/>
    <w:rsid w:val="009D6C37"/>
    <w:rsid w:val="009D70EC"/>
    <w:rsid w:val="009E0762"/>
    <w:rsid w:val="009E27D3"/>
    <w:rsid w:val="009E4E3B"/>
    <w:rsid w:val="009E6626"/>
    <w:rsid w:val="009E7027"/>
    <w:rsid w:val="009E7A40"/>
    <w:rsid w:val="009F02C0"/>
    <w:rsid w:val="009F108B"/>
    <w:rsid w:val="009F2E37"/>
    <w:rsid w:val="009F57D3"/>
    <w:rsid w:val="009F6369"/>
    <w:rsid w:val="009F7953"/>
    <w:rsid w:val="009F7D61"/>
    <w:rsid w:val="00A00246"/>
    <w:rsid w:val="00A009DA"/>
    <w:rsid w:val="00A00E2D"/>
    <w:rsid w:val="00A041BD"/>
    <w:rsid w:val="00A0485B"/>
    <w:rsid w:val="00A057C3"/>
    <w:rsid w:val="00A05F03"/>
    <w:rsid w:val="00A106F0"/>
    <w:rsid w:val="00A1286B"/>
    <w:rsid w:val="00A13CCB"/>
    <w:rsid w:val="00A1405C"/>
    <w:rsid w:val="00A21EDB"/>
    <w:rsid w:val="00A23C85"/>
    <w:rsid w:val="00A26321"/>
    <w:rsid w:val="00A269EB"/>
    <w:rsid w:val="00A26ADD"/>
    <w:rsid w:val="00A26E36"/>
    <w:rsid w:val="00A30029"/>
    <w:rsid w:val="00A3163D"/>
    <w:rsid w:val="00A33A66"/>
    <w:rsid w:val="00A33D5B"/>
    <w:rsid w:val="00A355CF"/>
    <w:rsid w:val="00A3585F"/>
    <w:rsid w:val="00A361B5"/>
    <w:rsid w:val="00A36292"/>
    <w:rsid w:val="00A42AC1"/>
    <w:rsid w:val="00A441AF"/>
    <w:rsid w:val="00A441EE"/>
    <w:rsid w:val="00A44FFD"/>
    <w:rsid w:val="00A52FC1"/>
    <w:rsid w:val="00A540F3"/>
    <w:rsid w:val="00A61EB6"/>
    <w:rsid w:val="00A6296E"/>
    <w:rsid w:val="00A64DBD"/>
    <w:rsid w:val="00A70785"/>
    <w:rsid w:val="00A7097D"/>
    <w:rsid w:val="00A71FEB"/>
    <w:rsid w:val="00A72725"/>
    <w:rsid w:val="00A748E9"/>
    <w:rsid w:val="00A75DEB"/>
    <w:rsid w:val="00A76068"/>
    <w:rsid w:val="00A76322"/>
    <w:rsid w:val="00A76441"/>
    <w:rsid w:val="00A842F5"/>
    <w:rsid w:val="00A84B2A"/>
    <w:rsid w:val="00A8509C"/>
    <w:rsid w:val="00A8527A"/>
    <w:rsid w:val="00A87537"/>
    <w:rsid w:val="00A90D88"/>
    <w:rsid w:val="00A93C9D"/>
    <w:rsid w:val="00A942A1"/>
    <w:rsid w:val="00A96319"/>
    <w:rsid w:val="00A97E6E"/>
    <w:rsid w:val="00AA16C5"/>
    <w:rsid w:val="00AA51D6"/>
    <w:rsid w:val="00AA5773"/>
    <w:rsid w:val="00AA7142"/>
    <w:rsid w:val="00AB06BE"/>
    <w:rsid w:val="00AB09A3"/>
    <w:rsid w:val="00AB1037"/>
    <w:rsid w:val="00AB1326"/>
    <w:rsid w:val="00AB1D69"/>
    <w:rsid w:val="00AB70E4"/>
    <w:rsid w:val="00AC1B7C"/>
    <w:rsid w:val="00AC796A"/>
    <w:rsid w:val="00AD03CB"/>
    <w:rsid w:val="00AD3B0D"/>
    <w:rsid w:val="00AD458D"/>
    <w:rsid w:val="00AE00FF"/>
    <w:rsid w:val="00AE1227"/>
    <w:rsid w:val="00AE3817"/>
    <w:rsid w:val="00AE3F09"/>
    <w:rsid w:val="00AF04B7"/>
    <w:rsid w:val="00AF0D20"/>
    <w:rsid w:val="00AF173A"/>
    <w:rsid w:val="00AF2E40"/>
    <w:rsid w:val="00AF3DDA"/>
    <w:rsid w:val="00AF4FBD"/>
    <w:rsid w:val="00AF6748"/>
    <w:rsid w:val="00AF7805"/>
    <w:rsid w:val="00B126DF"/>
    <w:rsid w:val="00B134C9"/>
    <w:rsid w:val="00B143C1"/>
    <w:rsid w:val="00B1533C"/>
    <w:rsid w:val="00B16B90"/>
    <w:rsid w:val="00B20BAC"/>
    <w:rsid w:val="00B26F7B"/>
    <w:rsid w:val="00B322AC"/>
    <w:rsid w:val="00B32FD1"/>
    <w:rsid w:val="00B33111"/>
    <w:rsid w:val="00B3795C"/>
    <w:rsid w:val="00B40915"/>
    <w:rsid w:val="00B41E0E"/>
    <w:rsid w:val="00B42849"/>
    <w:rsid w:val="00B43DA9"/>
    <w:rsid w:val="00B4444C"/>
    <w:rsid w:val="00B46543"/>
    <w:rsid w:val="00B52602"/>
    <w:rsid w:val="00B5291F"/>
    <w:rsid w:val="00B546B2"/>
    <w:rsid w:val="00B546C7"/>
    <w:rsid w:val="00B56405"/>
    <w:rsid w:val="00B61C9D"/>
    <w:rsid w:val="00B63F4A"/>
    <w:rsid w:val="00B64298"/>
    <w:rsid w:val="00B645EB"/>
    <w:rsid w:val="00B662CB"/>
    <w:rsid w:val="00B7105D"/>
    <w:rsid w:val="00B7382A"/>
    <w:rsid w:val="00B73873"/>
    <w:rsid w:val="00B74415"/>
    <w:rsid w:val="00B74E89"/>
    <w:rsid w:val="00B75931"/>
    <w:rsid w:val="00B7677C"/>
    <w:rsid w:val="00B810DB"/>
    <w:rsid w:val="00B82D8F"/>
    <w:rsid w:val="00B85220"/>
    <w:rsid w:val="00B85C91"/>
    <w:rsid w:val="00B872D8"/>
    <w:rsid w:val="00B8794F"/>
    <w:rsid w:val="00B901EB"/>
    <w:rsid w:val="00B917F7"/>
    <w:rsid w:val="00B918CA"/>
    <w:rsid w:val="00B92080"/>
    <w:rsid w:val="00B94016"/>
    <w:rsid w:val="00B9663F"/>
    <w:rsid w:val="00B96B5D"/>
    <w:rsid w:val="00BA038E"/>
    <w:rsid w:val="00BA3275"/>
    <w:rsid w:val="00BA5434"/>
    <w:rsid w:val="00BA5561"/>
    <w:rsid w:val="00BB192E"/>
    <w:rsid w:val="00BB4E16"/>
    <w:rsid w:val="00BB7403"/>
    <w:rsid w:val="00BC0102"/>
    <w:rsid w:val="00BC0DCB"/>
    <w:rsid w:val="00BC1C47"/>
    <w:rsid w:val="00BC495C"/>
    <w:rsid w:val="00BC5CDF"/>
    <w:rsid w:val="00BC6272"/>
    <w:rsid w:val="00BC6A53"/>
    <w:rsid w:val="00BD1BCD"/>
    <w:rsid w:val="00BD2773"/>
    <w:rsid w:val="00BD44EF"/>
    <w:rsid w:val="00BD594D"/>
    <w:rsid w:val="00BD64FD"/>
    <w:rsid w:val="00BE0A72"/>
    <w:rsid w:val="00BE4B5C"/>
    <w:rsid w:val="00BE5616"/>
    <w:rsid w:val="00BE7C05"/>
    <w:rsid w:val="00BF09D7"/>
    <w:rsid w:val="00BF278C"/>
    <w:rsid w:val="00BF2832"/>
    <w:rsid w:val="00BF41C9"/>
    <w:rsid w:val="00BF53DA"/>
    <w:rsid w:val="00BF544A"/>
    <w:rsid w:val="00BF673D"/>
    <w:rsid w:val="00BF7050"/>
    <w:rsid w:val="00C00B9C"/>
    <w:rsid w:val="00C01203"/>
    <w:rsid w:val="00C04017"/>
    <w:rsid w:val="00C04C71"/>
    <w:rsid w:val="00C0731B"/>
    <w:rsid w:val="00C108EB"/>
    <w:rsid w:val="00C11CE9"/>
    <w:rsid w:val="00C130E0"/>
    <w:rsid w:val="00C1379D"/>
    <w:rsid w:val="00C14712"/>
    <w:rsid w:val="00C15D3D"/>
    <w:rsid w:val="00C171CF"/>
    <w:rsid w:val="00C21C21"/>
    <w:rsid w:val="00C22E8A"/>
    <w:rsid w:val="00C24A27"/>
    <w:rsid w:val="00C255D7"/>
    <w:rsid w:val="00C25FB2"/>
    <w:rsid w:val="00C276E6"/>
    <w:rsid w:val="00C27968"/>
    <w:rsid w:val="00C31C4D"/>
    <w:rsid w:val="00C33EC5"/>
    <w:rsid w:val="00C35CEA"/>
    <w:rsid w:val="00C35F19"/>
    <w:rsid w:val="00C36F20"/>
    <w:rsid w:val="00C37A21"/>
    <w:rsid w:val="00C43005"/>
    <w:rsid w:val="00C43750"/>
    <w:rsid w:val="00C46CD7"/>
    <w:rsid w:val="00C475FC"/>
    <w:rsid w:val="00C52986"/>
    <w:rsid w:val="00C52E19"/>
    <w:rsid w:val="00C5326F"/>
    <w:rsid w:val="00C53CB1"/>
    <w:rsid w:val="00C5582E"/>
    <w:rsid w:val="00C57A4A"/>
    <w:rsid w:val="00C57EDA"/>
    <w:rsid w:val="00C62BCC"/>
    <w:rsid w:val="00C64042"/>
    <w:rsid w:val="00C64669"/>
    <w:rsid w:val="00C65DB7"/>
    <w:rsid w:val="00C669F2"/>
    <w:rsid w:val="00C67053"/>
    <w:rsid w:val="00C73F20"/>
    <w:rsid w:val="00C74909"/>
    <w:rsid w:val="00C76386"/>
    <w:rsid w:val="00C81FDF"/>
    <w:rsid w:val="00C823A2"/>
    <w:rsid w:val="00C842B4"/>
    <w:rsid w:val="00C845A5"/>
    <w:rsid w:val="00C84C60"/>
    <w:rsid w:val="00C86968"/>
    <w:rsid w:val="00C86DB5"/>
    <w:rsid w:val="00C9037B"/>
    <w:rsid w:val="00C920EA"/>
    <w:rsid w:val="00C92457"/>
    <w:rsid w:val="00C9411B"/>
    <w:rsid w:val="00C942EC"/>
    <w:rsid w:val="00C945CD"/>
    <w:rsid w:val="00CA023B"/>
    <w:rsid w:val="00CA11D2"/>
    <w:rsid w:val="00CA1A8B"/>
    <w:rsid w:val="00CA272C"/>
    <w:rsid w:val="00CA6DEE"/>
    <w:rsid w:val="00CA739D"/>
    <w:rsid w:val="00CB4AB1"/>
    <w:rsid w:val="00CC3EE2"/>
    <w:rsid w:val="00CD052A"/>
    <w:rsid w:val="00CD370E"/>
    <w:rsid w:val="00CD4C21"/>
    <w:rsid w:val="00CD588B"/>
    <w:rsid w:val="00CD6DF9"/>
    <w:rsid w:val="00CE0463"/>
    <w:rsid w:val="00CE1F0B"/>
    <w:rsid w:val="00CE4734"/>
    <w:rsid w:val="00CE7B46"/>
    <w:rsid w:val="00CF2037"/>
    <w:rsid w:val="00CF2118"/>
    <w:rsid w:val="00CF2D1B"/>
    <w:rsid w:val="00CF2EE4"/>
    <w:rsid w:val="00CF2F85"/>
    <w:rsid w:val="00CF390C"/>
    <w:rsid w:val="00CF3E0A"/>
    <w:rsid w:val="00CF4A40"/>
    <w:rsid w:val="00D00CB2"/>
    <w:rsid w:val="00D01559"/>
    <w:rsid w:val="00D01B2B"/>
    <w:rsid w:val="00D02995"/>
    <w:rsid w:val="00D02AB1"/>
    <w:rsid w:val="00D03610"/>
    <w:rsid w:val="00D05067"/>
    <w:rsid w:val="00D053C2"/>
    <w:rsid w:val="00D064D1"/>
    <w:rsid w:val="00D06859"/>
    <w:rsid w:val="00D1018B"/>
    <w:rsid w:val="00D10889"/>
    <w:rsid w:val="00D12FE1"/>
    <w:rsid w:val="00D13389"/>
    <w:rsid w:val="00D14ABB"/>
    <w:rsid w:val="00D215E9"/>
    <w:rsid w:val="00D2466A"/>
    <w:rsid w:val="00D261B4"/>
    <w:rsid w:val="00D26209"/>
    <w:rsid w:val="00D26387"/>
    <w:rsid w:val="00D33BB4"/>
    <w:rsid w:val="00D353B7"/>
    <w:rsid w:val="00D35C49"/>
    <w:rsid w:val="00D37DBB"/>
    <w:rsid w:val="00D4301F"/>
    <w:rsid w:val="00D533AE"/>
    <w:rsid w:val="00D55396"/>
    <w:rsid w:val="00D57646"/>
    <w:rsid w:val="00D6032E"/>
    <w:rsid w:val="00D609C9"/>
    <w:rsid w:val="00D63737"/>
    <w:rsid w:val="00D638CE"/>
    <w:rsid w:val="00D65FBE"/>
    <w:rsid w:val="00D66C5A"/>
    <w:rsid w:val="00D67CE9"/>
    <w:rsid w:val="00D707DF"/>
    <w:rsid w:val="00D70C3C"/>
    <w:rsid w:val="00D72047"/>
    <w:rsid w:val="00D73987"/>
    <w:rsid w:val="00D7650A"/>
    <w:rsid w:val="00D85ADD"/>
    <w:rsid w:val="00D92BCB"/>
    <w:rsid w:val="00DA09F4"/>
    <w:rsid w:val="00DA2E1E"/>
    <w:rsid w:val="00DA50A4"/>
    <w:rsid w:val="00DA716A"/>
    <w:rsid w:val="00DA7718"/>
    <w:rsid w:val="00DA784A"/>
    <w:rsid w:val="00DB2F9F"/>
    <w:rsid w:val="00DB45BF"/>
    <w:rsid w:val="00DB4DCD"/>
    <w:rsid w:val="00DB77C4"/>
    <w:rsid w:val="00DC0A2A"/>
    <w:rsid w:val="00DC1060"/>
    <w:rsid w:val="00DC21D7"/>
    <w:rsid w:val="00DC23F0"/>
    <w:rsid w:val="00DC4D7A"/>
    <w:rsid w:val="00DC5651"/>
    <w:rsid w:val="00DC7BAD"/>
    <w:rsid w:val="00DD069C"/>
    <w:rsid w:val="00DD0E02"/>
    <w:rsid w:val="00DD2117"/>
    <w:rsid w:val="00DD23CD"/>
    <w:rsid w:val="00DD3F51"/>
    <w:rsid w:val="00DD43BF"/>
    <w:rsid w:val="00DD56E1"/>
    <w:rsid w:val="00DD6F39"/>
    <w:rsid w:val="00DD7AA6"/>
    <w:rsid w:val="00DE2E88"/>
    <w:rsid w:val="00DE7246"/>
    <w:rsid w:val="00DF0647"/>
    <w:rsid w:val="00DF2800"/>
    <w:rsid w:val="00DF3C3C"/>
    <w:rsid w:val="00DF4F5E"/>
    <w:rsid w:val="00DF5FB8"/>
    <w:rsid w:val="00DF6E99"/>
    <w:rsid w:val="00E033CB"/>
    <w:rsid w:val="00E0403A"/>
    <w:rsid w:val="00E040A6"/>
    <w:rsid w:val="00E074A4"/>
    <w:rsid w:val="00E07896"/>
    <w:rsid w:val="00E10AE7"/>
    <w:rsid w:val="00E10FC0"/>
    <w:rsid w:val="00E13A7B"/>
    <w:rsid w:val="00E13CA8"/>
    <w:rsid w:val="00E1593E"/>
    <w:rsid w:val="00E166BA"/>
    <w:rsid w:val="00E16894"/>
    <w:rsid w:val="00E16A3B"/>
    <w:rsid w:val="00E17FBA"/>
    <w:rsid w:val="00E20A20"/>
    <w:rsid w:val="00E21C93"/>
    <w:rsid w:val="00E27B87"/>
    <w:rsid w:val="00E3223D"/>
    <w:rsid w:val="00E33092"/>
    <w:rsid w:val="00E33D79"/>
    <w:rsid w:val="00E34A3A"/>
    <w:rsid w:val="00E352F2"/>
    <w:rsid w:val="00E35778"/>
    <w:rsid w:val="00E37C9B"/>
    <w:rsid w:val="00E4074E"/>
    <w:rsid w:val="00E42421"/>
    <w:rsid w:val="00E42799"/>
    <w:rsid w:val="00E4327A"/>
    <w:rsid w:val="00E441E7"/>
    <w:rsid w:val="00E4702F"/>
    <w:rsid w:val="00E50483"/>
    <w:rsid w:val="00E55670"/>
    <w:rsid w:val="00E558DF"/>
    <w:rsid w:val="00E55EE2"/>
    <w:rsid w:val="00E56A89"/>
    <w:rsid w:val="00E56C41"/>
    <w:rsid w:val="00E60FA6"/>
    <w:rsid w:val="00E663D8"/>
    <w:rsid w:val="00E67830"/>
    <w:rsid w:val="00E70882"/>
    <w:rsid w:val="00E7172E"/>
    <w:rsid w:val="00E770B6"/>
    <w:rsid w:val="00E83181"/>
    <w:rsid w:val="00E85439"/>
    <w:rsid w:val="00E8575C"/>
    <w:rsid w:val="00E866B1"/>
    <w:rsid w:val="00E912B0"/>
    <w:rsid w:val="00E94F92"/>
    <w:rsid w:val="00E97847"/>
    <w:rsid w:val="00EA0F12"/>
    <w:rsid w:val="00EA1E4E"/>
    <w:rsid w:val="00EA1EAB"/>
    <w:rsid w:val="00EA3214"/>
    <w:rsid w:val="00EA5757"/>
    <w:rsid w:val="00EA5D6E"/>
    <w:rsid w:val="00EA70E8"/>
    <w:rsid w:val="00EA7D9C"/>
    <w:rsid w:val="00EB283D"/>
    <w:rsid w:val="00EB590C"/>
    <w:rsid w:val="00EB6861"/>
    <w:rsid w:val="00EB7407"/>
    <w:rsid w:val="00EC205C"/>
    <w:rsid w:val="00EC28BB"/>
    <w:rsid w:val="00EC41B4"/>
    <w:rsid w:val="00EC41CF"/>
    <w:rsid w:val="00EC588A"/>
    <w:rsid w:val="00EC60B6"/>
    <w:rsid w:val="00EC7F1D"/>
    <w:rsid w:val="00ED2C5F"/>
    <w:rsid w:val="00ED45AE"/>
    <w:rsid w:val="00ED4F9F"/>
    <w:rsid w:val="00ED5369"/>
    <w:rsid w:val="00EE48E8"/>
    <w:rsid w:val="00EE4CE8"/>
    <w:rsid w:val="00EE70FE"/>
    <w:rsid w:val="00EF01D1"/>
    <w:rsid w:val="00EF30C8"/>
    <w:rsid w:val="00EF37CB"/>
    <w:rsid w:val="00EF4382"/>
    <w:rsid w:val="00EF4D2B"/>
    <w:rsid w:val="00EF585F"/>
    <w:rsid w:val="00EF7DAF"/>
    <w:rsid w:val="00F00E88"/>
    <w:rsid w:val="00F03D57"/>
    <w:rsid w:val="00F04A61"/>
    <w:rsid w:val="00F04B2A"/>
    <w:rsid w:val="00F06381"/>
    <w:rsid w:val="00F06DF0"/>
    <w:rsid w:val="00F10F65"/>
    <w:rsid w:val="00F11F88"/>
    <w:rsid w:val="00F154C7"/>
    <w:rsid w:val="00F15CDF"/>
    <w:rsid w:val="00F17000"/>
    <w:rsid w:val="00F20E8C"/>
    <w:rsid w:val="00F22BAC"/>
    <w:rsid w:val="00F2546E"/>
    <w:rsid w:val="00F25729"/>
    <w:rsid w:val="00F25C93"/>
    <w:rsid w:val="00F266E4"/>
    <w:rsid w:val="00F27E18"/>
    <w:rsid w:val="00F306EA"/>
    <w:rsid w:val="00F310D2"/>
    <w:rsid w:val="00F348D7"/>
    <w:rsid w:val="00F360E8"/>
    <w:rsid w:val="00F37068"/>
    <w:rsid w:val="00F40001"/>
    <w:rsid w:val="00F41B80"/>
    <w:rsid w:val="00F44218"/>
    <w:rsid w:val="00F44EBC"/>
    <w:rsid w:val="00F4611C"/>
    <w:rsid w:val="00F47822"/>
    <w:rsid w:val="00F47E3C"/>
    <w:rsid w:val="00F50EAD"/>
    <w:rsid w:val="00F50EB7"/>
    <w:rsid w:val="00F52642"/>
    <w:rsid w:val="00F53491"/>
    <w:rsid w:val="00F6073F"/>
    <w:rsid w:val="00F61E31"/>
    <w:rsid w:val="00F6267F"/>
    <w:rsid w:val="00F62E74"/>
    <w:rsid w:val="00F6423C"/>
    <w:rsid w:val="00F652F7"/>
    <w:rsid w:val="00F730ED"/>
    <w:rsid w:val="00F736AD"/>
    <w:rsid w:val="00F739E5"/>
    <w:rsid w:val="00F7484F"/>
    <w:rsid w:val="00F75389"/>
    <w:rsid w:val="00F75EE0"/>
    <w:rsid w:val="00F76718"/>
    <w:rsid w:val="00F76B50"/>
    <w:rsid w:val="00F77720"/>
    <w:rsid w:val="00F80FFC"/>
    <w:rsid w:val="00F819E2"/>
    <w:rsid w:val="00F84BF1"/>
    <w:rsid w:val="00F868DB"/>
    <w:rsid w:val="00F9118B"/>
    <w:rsid w:val="00F9194B"/>
    <w:rsid w:val="00F922A9"/>
    <w:rsid w:val="00F92F0D"/>
    <w:rsid w:val="00F94AB0"/>
    <w:rsid w:val="00F94E4E"/>
    <w:rsid w:val="00F97C80"/>
    <w:rsid w:val="00FA3A60"/>
    <w:rsid w:val="00FA4E05"/>
    <w:rsid w:val="00FB3D6A"/>
    <w:rsid w:val="00FB5FB8"/>
    <w:rsid w:val="00FB66BD"/>
    <w:rsid w:val="00FB6A21"/>
    <w:rsid w:val="00FB7B89"/>
    <w:rsid w:val="00FC0B2C"/>
    <w:rsid w:val="00FC2B5A"/>
    <w:rsid w:val="00FC73C9"/>
    <w:rsid w:val="00FD0187"/>
    <w:rsid w:val="00FD3202"/>
    <w:rsid w:val="00FD4B31"/>
    <w:rsid w:val="00FD5DB9"/>
    <w:rsid w:val="00FD6966"/>
    <w:rsid w:val="00FD6A89"/>
    <w:rsid w:val="00FE1ADE"/>
    <w:rsid w:val="00FE4C31"/>
    <w:rsid w:val="00FE611E"/>
    <w:rsid w:val="00FE7055"/>
    <w:rsid w:val="00FF306C"/>
    <w:rsid w:val="00FF39DD"/>
    <w:rsid w:val="00FF48E9"/>
    <w:rsid w:val="00FF5291"/>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E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C7490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064353">
      <w:marLeft w:val="0"/>
      <w:marRight w:val="0"/>
      <w:marTop w:val="0"/>
      <w:marBottom w:val="0"/>
      <w:divBdr>
        <w:top w:val="none" w:sz="0" w:space="0" w:color="auto"/>
        <w:left w:val="none" w:sz="0" w:space="0" w:color="auto"/>
        <w:bottom w:val="none" w:sz="0" w:space="0" w:color="auto"/>
        <w:right w:val="none" w:sz="0" w:space="0" w:color="auto"/>
      </w:divBdr>
    </w:div>
    <w:div w:id="1818064354">
      <w:marLeft w:val="0"/>
      <w:marRight w:val="0"/>
      <w:marTop w:val="0"/>
      <w:marBottom w:val="0"/>
      <w:divBdr>
        <w:top w:val="none" w:sz="0" w:space="0" w:color="auto"/>
        <w:left w:val="none" w:sz="0" w:space="0" w:color="auto"/>
        <w:bottom w:val="none" w:sz="0" w:space="0" w:color="auto"/>
        <w:right w:val="none" w:sz="0" w:space="0" w:color="auto"/>
      </w:divBdr>
    </w:div>
    <w:div w:id="1818064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klii.hk/eng/hk/cases/hkcfa/2021/14.html" TargetMode="External"/><Relationship Id="rId21" Type="http://schemas.openxmlformats.org/officeDocument/2006/relationships/hyperlink" Target="https://www.supremecourt.gov/opinions/20pdf/19-123_g3bi.pdf" TargetMode="External"/><Relationship Id="rId34" Type="http://schemas.openxmlformats.org/officeDocument/2006/relationships/hyperlink" Target="https://www.supremecourt.gov/opinions/20pdf/19-783_k53l.pdf" TargetMode="External"/><Relationship Id="rId42" Type="http://schemas.openxmlformats.org/officeDocument/2006/relationships/hyperlink" Target="https://www.supremecourt.gov/opinions/20pdf/19-897_c07d.pdf" TargetMode="External"/><Relationship Id="rId47" Type="http://schemas.openxmlformats.org/officeDocument/2006/relationships/hyperlink" Target="https://www.supremecourt.gov/opinions/20pdf/19-840_6jfm.pdf" TargetMode="External"/><Relationship Id="rId50" Type="http://schemas.openxmlformats.org/officeDocument/2006/relationships/hyperlink" Target="https://www.supremecourt.gov/opinions/20pdf/20-334_5h26.pdf" TargetMode="External"/><Relationship Id="rId55" Type="http://schemas.openxmlformats.org/officeDocument/2006/relationships/hyperlink" Target="http://www.saflii.org/za/cases/ZACC/2021/13.html" TargetMode="External"/><Relationship Id="rId63" Type="http://schemas.openxmlformats.org/officeDocument/2006/relationships/hyperlink" Target="https://www.courtsofnz.govt.nz/assets/cases/2021/2021-NZSC-5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c-csc.lexum.com/scc-csc/scc-csc/en/item/18933/index.do" TargetMode="External"/><Relationship Id="rId29" Type="http://schemas.openxmlformats.org/officeDocument/2006/relationships/hyperlink" Target="https://scc-csc.lexum.com/scc-csc/scc-csc/en/item/18895/index.do" TargetMode="External"/><Relationship Id="rId11" Type="http://schemas.openxmlformats.org/officeDocument/2006/relationships/hyperlink" Target="https://www.supremecourt.uk/cases/docs/uksc-2019-0167-judgment.pdf" TargetMode="External"/><Relationship Id="rId24" Type="http://schemas.openxmlformats.org/officeDocument/2006/relationships/hyperlink" Target="https://www.supremecourt.gov/opinions/20pdf/20-157_8mjp.pdf" TargetMode="External"/><Relationship Id="rId32" Type="http://schemas.openxmlformats.org/officeDocument/2006/relationships/hyperlink" Target="https://www.supremecourt.gov/opinions/20pdf/20-5904_i4dk.pdf" TargetMode="External"/><Relationship Id="rId37" Type="http://schemas.openxmlformats.org/officeDocument/2006/relationships/hyperlink" Target="https://scc-csc.lexum.com/scc-csc/scc-csc/en/item/18884/index.do" TargetMode="External"/><Relationship Id="rId40" Type="http://schemas.openxmlformats.org/officeDocument/2006/relationships/hyperlink" Target="https://www.supremecourt.gov/opinions/20pdf/20-382_869d.pdf" TargetMode="External"/><Relationship Id="rId45" Type="http://schemas.openxmlformats.org/officeDocument/2006/relationships/hyperlink" Target="https://www.supremecourt.gov/opinions/20pdf/20-440_9ol1.pdf" TargetMode="External"/><Relationship Id="rId53" Type="http://schemas.openxmlformats.org/officeDocument/2006/relationships/hyperlink" Target="http://www.saflii.org/za/cases/ZACC/2021/9.html" TargetMode="External"/><Relationship Id="rId58" Type="http://schemas.openxmlformats.org/officeDocument/2006/relationships/hyperlink" Target="https://www.supremecourt.uk/cases/docs/uksc-2019-0136-judgment.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upremecourt.uk/cases/docs/uksc-2019-0040-judgment.pdf" TargetMode="External"/><Relationship Id="rId19" Type="http://schemas.openxmlformats.org/officeDocument/2006/relationships/hyperlink" Target="https://www.supremecourt.gov/opinions/20pdf/19-422_new_8759.pdf" TargetMode="External"/><Relationship Id="rId14" Type="http://schemas.openxmlformats.org/officeDocument/2006/relationships/hyperlink" Target="https://www.supremecourt.uk/cases/docs/uksc-2019-0166-judgment.pdf" TargetMode="External"/><Relationship Id="rId22" Type="http://schemas.openxmlformats.org/officeDocument/2006/relationships/hyperlink" Target="https://www.supremecourt.gov/opinions/20pdf/19-123_g3bi.pdf" TargetMode="External"/><Relationship Id="rId27" Type="http://schemas.openxmlformats.org/officeDocument/2006/relationships/hyperlink" Target="http://www.saflii.org/za/cases/ZACC/2021/18.html" TargetMode="External"/><Relationship Id="rId30" Type="http://schemas.openxmlformats.org/officeDocument/2006/relationships/hyperlink" Target="https://www.supremecourt.uk/cases/docs/uksc-2019-0106-judgment.pdf" TargetMode="External"/><Relationship Id="rId35" Type="http://schemas.openxmlformats.org/officeDocument/2006/relationships/hyperlink" Target="http://www.saflii.org/za/cases/ZACC/2021/12.html" TargetMode="External"/><Relationship Id="rId43" Type="http://schemas.openxmlformats.org/officeDocument/2006/relationships/hyperlink" Target="https://www.supremecourt.gov/opinions/20pdf/20-315_q713.pdf" TargetMode="External"/><Relationship Id="rId48" Type="http://schemas.openxmlformats.org/officeDocument/2006/relationships/hyperlink" Target="https://www.supremecourt.gov/opinions/20pdf/19-416_i4dj.pdf" TargetMode="External"/><Relationship Id="rId56" Type="http://schemas.openxmlformats.org/officeDocument/2006/relationships/hyperlink" Target="https://www.hklii.hk/eng/hk/cases/hkcfa/2021/19.html"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supremecourt.uk/cases/docs/uksc-2019-0080-judgment.pdf" TargetMode="External"/><Relationship Id="rId3" Type="http://schemas.openxmlformats.org/officeDocument/2006/relationships/styles" Target="styles.xml"/><Relationship Id="rId12" Type="http://schemas.openxmlformats.org/officeDocument/2006/relationships/hyperlink" Target="https://www.supremecourt.gov/opinions/20pdf/20-543_3e04.pdf" TargetMode="External"/><Relationship Id="rId17" Type="http://schemas.openxmlformats.org/officeDocument/2006/relationships/hyperlink" Target="https://scc-csc.lexum.com/scc-csc/scc-csc/en/item/18932/index.do" TargetMode="External"/><Relationship Id="rId25" Type="http://schemas.openxmlformats.org/officeDocument/2006/relationships/hyperlink" Target="https://www.supremecourt.gov/opinions/20pdf/20-222_2c83.pdf" TargetMode="External"/><Relationship Id="rId33" Type="http://schemas.openxmlformats.org/officeDocument/2006/relationships/hyperlink" Target="https://www.supremecourt.gov/opinions/20pdf/19-5410_8nj9.pdf" TargetMode="External"/><Relationship Id="rId38" Type="http://schemas.openxmlformats.org/officeDocument/2006/relationships/hyperlink" Target="https://scc-csc.lexum.com/scc-csc/scc-csc/en/item/18881/index.do" TargetMode="External"/><Relationship Id="rId46" Type="http://schemas.openxmlformats.org/officeDocument/2006/relationships/hyperlink" Target="https://www.supremecourt.gov/opinions/20pdf/20-297_4g25.pdf" TargetMode="External"/><Relationship Id="rId59" Type="http://schemas.openxmlformats.org/officeDocument/2006/relationships/hyperlink" Target="https://www.supremecourt.uk/cases/docs/uksc-2019-0071-judgment.pdf" TargetMode="External"/><Relationship Id="rId20" Type="http://schemas.openxmlformats.org/officeDocument/2006/relationships/hyperlink" Target="https://www.supremecourt.gov/opinions/20pdf/20-255_g3bi.pdf" TargetMode="External"/><Relationship Id="rId41" Type="http://schemas.openxmlformats.org/officeDocument/2006/relationships/hyperlink" Target="https://scc-csc.lexum.com/scc-csc/scc-csc/en/item/18909/index.do" TargetMode="External"/><Relationship Id="rId54" Type="http://schemas.openxmlformats.org/officeDocument/2006/relationships/hyperlink" Target="https://www.supremecourt.gov/opinions/20pdf/19-1039_8n5a.pdf" TargetMode="External"/><Relationship Id="rId62" Type="http://schemas.openxmlformats.org/officeDocument/2006/relationships/hyperlink" Target="http://www.saflii.org/za/cases/ZACC/2021/1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premecourt.gov/opinions/20pdf/20-512_new_7mi8.pdf" TargetMode="External"/><Relationship Id="rId23" Type="http://schemas.openxmlformats.org/officeDocument/2006/relationships/hyperlink" Target="https://www.supremecourt.gov/opinions/20pdf/19-123_g3bi.pdf" TargetMode="External"/><Relationship Id="rId28" Type="http://schemas.openxmlformats.org/officeDocument/2006/relationships/hyperlink" Target="https://scc-csc.lexum.com/scc-csc/scc-csc/en/item/18914/index.do" TargetMode="External"/><Relationship Id="rId36" Type="http://schemas.openxmlformats.org/officeDocument/2006/relationships/hyperlink" Target="https://www.supremecourt.gov/opinions/20pdf/19-5807_new2_jhek.pdf" TargetMode="External"/><Relationship Id="rId49" Type="http://schemas.openxmlformats.org/officeDocument/2006/relationships/hyperlink" Target="https://scc-csc.lexum.com/scc-csc/scc-csc/en/item/18904/index.do" TargetMode="External"/><Relationship Id="rId57" Type="http://schemas.openxmlformats.org/officeDocument/2006/relationships/hyperlink" Target="http://www.saflii.org/za/cases/ZACC/2021/11.html" TargetMode="External"/><Relationship Id="rId10" Type="http://schemas.openxmlformats.org/officeDocument/2006/relationships/hyperlink" Target="https://www.supremecourt.gov/opinions/20pdf/19-930_d1o3.pdf" TargetMode="External"/><Relationship Id="rId31" Type="http://schemas.openxmlformats.org/officeDocument/2006/relationships/hyperlink" Target="https://www.supremecourt.gov/opinions/20pdf/20-5904_i4dk.pdf" TargetMode="External"/><Relationship Id="rId44" Type="http://schemas.openxmlformats.org/officeDocument/2006/relationships/hyperlink" Target="https://www.supremecourt.gov/opinions/20pdf/20-437_new_qol1.pdf" TargetMode="External"/><Relationship Id="rId52" Type="http://schemas.openxmlformats.org/officeDocument/2006/relationships/hyperlink" Target="https://www.supremecourt.gov/opinions/20pdf/19-1189_p86b.pdf" TargetMode="External"/><Relationship Id="rId60" Type="http://schemas.openxmlformats.org/officeDocument/2006/relationships/hyperlink" Target="https://www.supremecourt.uk/cases/docs/uksc-2019-0011-judgment.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premecourt.gov/opinions/20pdf/19-1155_new_197d.pdf" TargetMode="External"/><Relationship Id="rId13" Type="http://schemas.openxmlformats.org/officeDocument/2006/relationships/hyperlink" Target="https://www.supremecourt.gov/opinions/20pdf/19-1414_8m58.pdf" TargetMode="External"/><Relationship Id="rId18" Type="http://schemas.openxmlformats.org/officeDocument/2006/relationships/hyperlink" Target="https://www.supremecourt.gov/opinions/20pdf/20-18_new_6k47.pdf" TargetMode="External"/><Relationship Id="rId39" Type="http://schemas.openxmlformats.org/officeDocument/2006/relationships/hyperlink" Target="https://www.supremecourt.gov/opinions/20pdf/20-472_0p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6F07-25EE-4EE2-AA95-A03F4FC3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10243</Words>
  <Characters>58389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2021-07-14T02:05:00Z</dcterms:created>
  <dcterms:modified xsi:type="dcterms:W3CDTF">2021-07-14T02:06:00Z</dcterms:modified>
</cp:coreProperties>
</file>