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E8" w:rsidRPr="00B546B2" w:rsidRDefault="00D3651B" w:rsidP="009D0CE8">
      <w:pPr>
        <w:jc w:val="left"/>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rsidR="009D0CE8" w:rsidRPr="00B546B2" w:rsidRDefault="009D0CE8" w:rsidP="009D0CE8">
      <w:pPr>
        <w:jc w:val="center"/>
      </w:pPr>
    </w:p>
    <w:p w:rsidR="009D0CE8" w:rsidRPr="00B546B2" w:rsidRDefault="009D0CE8" w:rsidP="009D0CE8">
      <w:pPr>
        <w:pStyle w:val="BullTitle1"/>
      </w:pPr>
      <w:bookmarkStart w:id="1" w:name="Top"/>
      <w:r w:rsidRPr="00B546B2">
        <w:t xml:space="preserve">Overseas </w:t>
      </w:r>
      <w:bookmarkStart w:id="2" w:name="Home"/>
      <w:r w:rsidRPr="00B546B2">
        <w:t xml:space="preserve">Decisions </w:t>
      </w:r>
      <w:bookmarkEnd w:id="2"/>
      <w:r w:rsidRPr="00B546B2">
        <w:t>Bulletin</w:t>
      </w:r>
    </w:p>
    <w:bookmarkEnd w:id="1"/>
    <w:p w:rsidR="009D0CE8" w:rsidRPr="00B546B2" w:rsidRDefault="009D0CE8" w:rsidP="009D0CE8"/>
    <w:p w:rsidR="009D0CE8" w:rsidRPr="00B546B2" w:rsidRDefault="009D0CE8" w:rsidP="009D0CE8">
      <w:pPr>
        <w:pStyle w:val="BullTitle2"/>
      </w:pPr>
      <w:r w:rsidRPr="00B546B2">
        <w:t xml:space="preserve">Produced by the Legal Research Officer, </w:t>
      </w:r>
      <w:r w:rsidRPr="00B546B2">
        <w:br/>
        <w:t>High Court of Australia Library</w:t>
      </w:r>
    </w:p>
    <w:p w:rsidR="009D0CE8" w:rsidRPr="00B546B2" w:rsidRDefault="009D0CE8" w:rsidP="009D0CE8">
      <w:pPr>
        <w:pStyle w:val="BullTitle3"/>
      </w:pPr>
    </w:p>
    <w:p w:rsidR="009D0CE8" w:rsidRPr="00B546B2" w:rsidRDefault="009D0CE8" w:rsidP="009D0CE8">
      <w:pPr>
        <w:pStyle w:val="BullTitle3"/>
      </w:pPr>
      <w:r w:rsidRPr="00B546B2">
        <w:t xml:space="preserve">Volume </w:t>
      </w:r>
      <w:r w:rsidR="003A4DA5">
        <w:t>18</w:t>
      </w:r>
      <w:r w:rsidRPr="00B546B2">
        <w:t xml:space="preserve"> </w:t>
      </w:r>
      <w:r w:rsidRPr="003A4DA5">
        <w:t xml:space="preserve">Number </w:t>
      </w:r>
      <w:r w:rsidR="003A4DA5" w:rsidRPr="003A4DA5">
        <w:t>2</w:t>
      </w:r>
      <w:r w:rsidRPr="003A4DA5">
        <w:t xml:space="preserve"> (</w:t>
      </w:r>
      <w:r w:rsidR="00A7097D" w:rsidRPr="003A4DA5">
        <w:t xml:space="preserve">1 </w:t>
      </w:r>
      <w:r w:rsidR="003A4DA5" w:rsidRPr="003A4DA5">
        <w:t>March</w:t>
      </w:r>
      <w:r w:rsidR="007E4E01" w:rsidRPr="003A4DA5">
        <w:t xml:space="preserve"> –</w:t>
      </w:r>
      <w:r w:rsidR="00727206" w:rsidRPr="003A4DA5">
        <w:t xml:space="preserve"> </w:t>
      </w:r>
      <w:r w:rsidR="003A4DA5" w:rsidRPr="003A4DA5">
        <w:t>30 April</w:t>
      </w:r>
      <w:r w:rsidR="002B1A95" w:rsidRPr="003A4DA5">
        <w:t xml:space="preserve"> 20</w:t>
      </w:r>
      <w:r w:rsidR="00CE0463" w:rsidRPr="003A4DA5">
        <w:t>2</w:t>
      </w:r>
      <w:r w:rsidR="003A4DA5" w:rsidRPr="003A4DA5">
        <w:t>1</w:t>
      </w:r>
      <w:r w:rsidRPr="003A4DA5">
        <w:t>)</w:t>
      </w:r>
    </w:p>
    <w:p w:rsidR="009D0CE8" w:rsidRPr="00B546B2" w:rsidRDefault="009D0CE8" w:rsidP="009D0CE8"/>
    <w:p w:rsidR="009D0CE8" w:rsidRPr="00B546B2" w:rsidRDefault="009D0CE8" w:rsidP="009D0CE8">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rsidR="008E00A1" w:rsidRPr="00B546B2" w:rsidRDefault="008E00A1" w:rsidP="008E00A1">
      <w:pPr>
        <w:pStyle w:val="BullDivider2"/>
        <w:rPr>
          <w:rFonts w:cs="Arial"/>
          <w:highlight w:val="yellow"/>
        </w:rPr>
      </w:pPr>
    </w:p>
    <w:p w:rsidR="008E00A1" w:rsidRPr="00B546B2" w:rsidRDefault="008E00A1" w:rsidP="008E00A1">
      <w:pPr>
        <w:rPr>
          <w:highlight w:val="yellow"/>
          <w:lang w:eastAsia="en-AU"/>
        </w:rPr>
      </w:pPr>
    </w:p>
    <w:p w:rsidR="008E00A1" w:rsidRDefault="008E00A1" w:rsidP="008E00A1">
      <w:pPr>
        <w:pStyle w:val="Heading1"/>
      </w:pPr>
      <w:r>
        <w:t xml:space="preserve">Administrative Law </w:t>
      </w:r>
    </w:p>
    <w:p w:rsidR="00B9015D" w:rsidRDefault="00B9015D" w:rsidP="00B9015D"/>
    <w:p w:rsidR="00B9015D" w:rsidRPr="00917C40" w:rsidRDefault="00B9015D" w:rsidP="00B9015D">
      <w:pPr>
        <w:pStyle w:val="Heading2"/>
      </w:pPr>
      <w:r>
        <w:t>Carr and Ors v Saul, Commissioner of Social Security</w:t>
      </w:r>
      <w:r w:rsidR="00917C40">
        <w:rPr>
          <w:i w:val="0"/>
        </w:rPr>
        <w:t xml:space="preserve">; </w:t>
      </w:r>
      <w:r w:rsidR="00917C40">
        <w:t>Davis and Ors v Saul, Commissioner of Social Security</w:t>
      </w:r>
    </w:p>
    <w:p w:rsidR="00B9015D" w:rsidRPr="002F4F7E" w:rsidRDefault="00B9015D" w:rsidP="00B9015D">
      <w:pPr>
        <w:rPr>
          <w:lang w:eastAsia="en-AU"/>
        </w:rPr>
      </w:pPr>
      <w:r>
        <w:rPr>
          <w:b/>
          <w:lang w:eastAsia="en-AU"/>
        </w:rPr>
        <w:t>Supreme Court of the United States</w:t>
      </w:r>
      <w:r w:rsidRPr="002F4F7E">
        <w:rPr>
          <w:b/>
          <w:lang w:eastAsia="en-AU"/>
        </w:rPr>
        <w:t xml:space="preserve">: </w:t>
      </w:r>
      <w:hyperlink r:id="rId9" w:history="1">
        <w:r w:rsidRPr="00F110BA">
          <w:rPr>
            <w:rStyle w:val="Hyperlink"/>
            <w:lang w:eastAsia="en-AU"/>
          </w:rPr>
          <w:t>Docket No 19-</w:t>
        </w:r>
        <w:r w:rsidR="00917C40">
          <w:rPr>
            <w:rStyle w:val="Hyperlink"/>
            <w:lang w:eastAsia="en-AU"/>
          </w:rPr>
          <w:t>1442</w:t>
        </w:r>
      </w:hyperlink>
    </w:p>
    <w:p w:rsidR="00B9015D" w:rsidRPr="002F4F7E" w:rsidRDefault="00B9015D" w:rsidP="00B9015D">
      <w:pPr>
        <w:rPr>
          <w:lang w:eastAsia="en-AU"/>
        </w:rPr>
      </w:pPr>
    </w:p>
    <w:p w:rsidR="00B9015D" w:rsidRPr="002F4F7E" w:rsidRDefault="00B9015D" w:rsidP="00B9015D">
      <w:pPr>
        <w:rPr>
          <w:lang w:eastAsia="en-AU"/>
        </w:rPr>
      </w:pPr>
      <w:r w:rsidRPr="002F4F7E">
        <w:rPr>
          <w:b/>
          <w:lang w:eastAsia="en-AU"/>
        </w:rPr>
        <w:t>Judgment delivered:</w:t>
      </w:r>
      <w:r>
        <w:rPr>
          <w:lang w:eastAsia="en-AU"/>
        </w:rPr>
        <w:t xml:space="preserve"> 22 April 2021</w:t>
      </w:r>
    </w:p>
    <w:p w:rsidR="00B9015D" w:rsidRPr="002F4F7E" w:rsidRDefault="00B9015D" w:rsidP="00B9015D">
      <w:pPr>
        <w:rPr>
          <w:lang w:eastAsia="en-AU"/>
        </w:rPr>
      </w:pPr>
    </w:p>
    <w:p w:rsidR="00B9015D" w:rsidRPr="002F4F7E" w:rsidRDefault="00B9015D" w:rsidP="00B9015D">
      <w:pPr>
        <w:rPr>
          <w:lang w:eastAsia="en-AU"/>
        </w:rPr>
      </w:pPr>
      <w:r w:rsidRPr="002F4F7E">
        <w:rPr>
          <w:b/>
          <w:lang w:eastAsia="en-AU"/>
        </w:rPr>
        <w:t xml:space="preserve">Coram: </w:t>
      </w:r>
      <w:r>
        <w:rPr>
          <w:lang w:eastAsia="en-AU"/>
        </w:rPr>
        <w:t>Roberts CJ, Thomas, Breyer, Alito, Sotomayor, Kagan, Gorsuch, Kavanaugh and Barrett JJ</w:t>
      </w:r>
    </w:p>
    <w:p w:rsidR="00B9015D" w:rsidRPr="002F4F7E" w:rsidRDefault="00B9015D" w:rsidP="00B9015D">
      <w:pPr>
        <w:rPr>
          <w:lang w:eastAsia="en-AU"/>
        </w:rPr>
      </w:pPr>
    </w:p>
    <w:p w:rsidR="00B9015D" w:rsidRPr="002F4F7E" w:rsidRDefault="00B9015D" w:rsidP="00B9015D">
      <w:pPr>
        <w:rPr>
          <w:b/>
          <w:lang w:eastAsia="en-AU"/>
        </w:rPr>
      </w:pPr>
      <w:r>
        <w:rPr>
          <w:b/>
          <w:lang w:eastAsia="en-AU"/>
        </w:rPr>
        <w:t>Catchwords:</w:t>
      </w:r>
    </w:p>
    <w:p w:rsidR="00B9015D" w:rsidRPr="00856E9C" w:rsidRDefault="00B9015D" w:rsidP="00B9015D">
      <w:pPr>
        <w:rPr>
          <w:b/>
          <w:highlight w:val="yellow"/>
          <w:lang w:eastAsia="en-AU"/>
        </w:rPr>
      </w:pPr>
    </w:p>
    <w:p w:rsidR="00B9015D" w:rsidRPr="00917C40" w:rsidRDefault="00917C40" w:rsidP="00B9015D">
      <w:pPr>
        <w:ind w:left="720"/>
        <w:rPr>
          <w:lang w:eastAsia="en-AU"/>
        </w:rPr>
      </w:pPr>
      <w:r>
        <w:rPr>
          <w:lang w:eastAsia="en-AU"/>
        </w:rPr>
        <w:t xml:space="preserve">Administrative law – Judicial review – Issue exhaustion – Where petitioners denied disability benefits by Social Security Administration (SSA) – Where petitioners unsuccessfully challenged determinations before SSA administrative law judges (ALJs) – Where SSA Appeals Council denied review in each case – Where, subsequently, Supreme Court decided </w:t>
      </w:r>
      <w:r>
        <w:rPr>
          <w:i/>
          <w:lang w:eastAsia="en-AU"/>
        </w:rPr>
        <w:t xml:space="preserve">Lucia v Securities and Exchange Commission, </w:t>
      </w:r>
      <w:r>
        <w:rPr>
          <w:lang w:eastAsia="en-AU"/>
        </w:rPr>
        <w:t xml:space="preserve">which held appointment of SEC ALJs by lower level staff violated Appointments Clause of </w:t>
      </w:r>
      <w:r>
        <w:rPr>
          <w:i/>
          <w:lang w:eastAsia="en-AU"/>
        </w:rPr>
        <w:t xml:space="preserve">Constitution </w:t>
      </w:r>
      <w:r>
        <w:rPr>
          <w:lang w:eastAsia="en-AU"/>
        </w:rPr>
        <w:t>– Where petitioners argued in federal court that SSA ALJs were also unconstitutional and entitled to fresh administrative review by constitutionally appointed ALJs – Where Court</w:t>
      </w:r>
      <w:r w:rsidR="009B04FB">
        <w:rPr>
          <w:lang w:eastAsia="en-AU"/>
        </w:rPr>
        <w:t>s</w:t>
      </w:r>
      <w:r>
        <w:rPr>
          <w:lang w:eastAsia="en-AU"/>
        </w:rPr>
        <w:t xml:space="preserve"> of Appeals held petitioners could not obtain judicial review because failed to raise challenges in original administrative proceedings </w:t>
      </w:r>
      <w:r w:rsidR="009B04FB">
        <w:rPr>
          <w:lang w:eastAsia="en-AU"/>
        </w:rPr>
        <w:t xml:space="preserve">– Whether Courts of Appeals erred in imposing issue-exhaustion requirement on Appointments Clause claims. </w:t>
      </w:r>
    </w:p>
    <w:p w:rsidR="00917C40" w:rsidRPr="00856E9C" w:rsidRDefault="00917C40" w:rsidP="00B9015D">
      <w:pPr>
        <w:ind w:left="720"/>
        <w:rPr>
          <w:highlight w:val="yellow"/>
          <w:lang w:eastAsia="en-AU"/>
        </w:rPr>
      </w:pPr>
    </w:p>
    <w:p w:rsidR="00B9015D" w:rsidRDefault="00B9015D" w:rsidP="00B9015D">
      <w:pPr>
        <w:rPr>
          <w:lang w:eastAsia="en-AU"/>
        </w:rPr>
      </w:pPr>
      <w:r w:rsidRPr="002F4F7E">
        <w:rPr>
          <w:b/>
          <w:lang w:eastAsia="en-AU"/>
        </w:rPr>
        <w:lastRenderedPageBreak/>
        <w:t>Held (</w:t>
      </w:r>
      <w:r>
        <w:rPr>
          <w:b/>
          <w:lang w:eastAsia="en-AU"/>
        </w:rPr>
        <w:t>9:0</w:t>
      </w:r>
      <w:r w:rsidRPr="002F4F7E">
        <w:rPr>
          <w:b/>
          <w:lang w:eastAsia="en-AU"/>
        </w:rPr>
        <w:t xml:space="preserve">): </w:t>
      </w:r>
      <w:r>
        <w:rPr>
          <w:lang w:eastAsia="en-AU"/>
        </w:rPr>
        <w:t xml:space="preserve">Reversed and remanded.  </w:t>
      </w:r>
    </w:p>
    <w:p w:rsidR="00B9015D" w:rsidRPr="00181993" w:rsidRDefault="00B9015D" w:rsidP="00B9015D">
      <w:pPr>
        <w:pStyle w:val="BullDivider1"/>
        <w:pBdr>
          <w:bottom w:val="dotted" w:sz="4" w:space="0" w:color="auto"/>
        </w:pBdr>
      </w:pPr>
    </w:p>
    <w:p w:rsidR="00B9015D" w:rsidRDefault="00B9015D" w:rsidP="00B9015D"/>
    <w:p w:rsidR="006E4A26" w:rsidRPr="00FD4E73" w:rsidRDefault="006E4A26" w:rsidP="006E4A26">
      <w:pPr>
        <w:pStyle w:val="Heading2"/>
        <w:rPr>
          <w:i w:val="0"/>
        </w:rPr>
      </w:pPr>
      <w:r>
        <w:t>Federal Communications Commission and Ors v Prometheus Radio Project and Ors; National Association of Broadcasters and Ors v Prometheus Radio Project and Ors</w:t>
      </w:r>
    </w:p>
    <w:p w:rsidR="006E4A26" w:rsidRPr="002F4F7E" w:rsidRDefault="006E4A26" w:rsidP="006E4A26">
      <w:pPr>
        <w:rPr>
          <w:lang w:eastAsia="en-AU"/>
        </w:rPr>
      </w:pPr>
      <w:r>
        <w:rPr>
          <w:b/>
          <w:lang w:eastAsia="en-AU"/>
        </w:rPr>
        <w:t>Supreme Court of the United States</w:t>
      </w:r>
      <w:r w:rsidRPr="002F4F7E">
        <w:rPr>
          <w:b/>
          <w:lang w:eastAsia="en-AU"/>
        </w:rPr>
        <w:t xml:space="preserve">: </w:t>
      </w:r>
      <w:hyperlink r:id="rId10" w:history="1">
        <w:r w:rsidRPr="00F110BA">
          <w:rPr>
            <w:rStyle w:val="Hyperlink"/>
            <w:lang w:eastAsia="en-AU"/>
          </w:rPr>
          <w:t>Docket No 19-</w:t>
        </w:r>
        <w:r>
          <w:rPr>
            <w:rStyle w:val="Hyperlink"/>
            <w:lang w:eastAsia="en-AU"/>
          </w:rPr>
          <w:t>1231</w:t>
        </w:r>
      </w:hyperlink>
    </w:p>
    <w:p w:rsidR="006E4A26" w:rsidRPr="002F4F7E" w:rsidRDefault="006E4A26" w:rsidP="006E4A26">
      <w:pPr>
        <w:rPr>
          <w:lang w:eastAsia="en-AU"/>
        </w:rPr>
      </w:pPr>
    </w:p>
    <w:p w:rsidR="006E4A26" w:rsidRPr="002F4F7E" w:rsidRDefault="006E4A26" w:rsidP="006E4A26">
      <w:pPr>
        <w:rPr>
          <w:lang w:eastAsia="en-AU"/>
        </w:rPr>
      </w:pPr>
      <w:r w:rsidRPr="002F4F7E">
        <w:rPr>
          <w:b/>
          <w:lang w:eastAsia="en-AU"/>
        </w:rPr>
        <w:t>Judgment delivered:</w:t>
      </w:r>
      <w:r>
        <w:rPr>
          <w:lang w:eastAsia="en-AU"/>
        </w:rPr>
        <w:t xml:space="preserve"> 1 April 2021</w:t>
      </w:r>
    </w:p>
    <w:p w:rsidR="006E4A26" w:rsidRPr="002F4F7E" w:rsidRDefault="006E4A26" w:rsidP="006E4A26">
      <w:pPr>
        <w:rPr>
          <w:lang w:eastAsia="en-AU"/>
        </w:rPr>
      </w:pPr>
    </w:p>
    <w:p w:rsidR="006E4A26" w:rsidRPr="002F4F7E" w:rsidRDefault="006E4A26" w:rsidP="006E4A26">
      <w:pPr>
        <w:rPr>
          <w:lang w:eastAsia="en-AU"/>
        </w:rPr>
      </w:pPr>
      <w:r w:rsidRPr="002F4F7E">
        <w:rPr>
          <w:b/>
          <w:lang w:eastAsia="en-AU"/>
        </w:rPr>
        <w:t xml:space="preserve">Coram: </w:t>
      </w:r>
      <w:r>
        <w:rPr>
          <w:lang w:eastAsia="en-AU"/>
        </w:rPr>
        <w:t>Roberts CJ, Thomas, Breyer, Alito, Sotomayor, Kagan, Gorsuch, Kavanaugh and Barrett JJ</w:t>
      </w:r>
    </w:p>
    <w:p w:rsidR="006E4A26" w:rsidRPr="002F4F7E" w:rsidRDefault="006E4A26" w:rsidP="006E4A26">
      <w:pPr>
        <w:rPr>
          <w:lang w:eastAsia="en-AU"/>
        </w:rPr>
      </w:pPr>
    </w:p>
    <w:p w:rsidR="006E4A26" w:rsidRPr="002F4F7E" w:rsidRDefault="006E4A26" w:rsidP="006E4A26">
      <w:pPr>
        <w:rPr>
          <w:b/>
          <w:lang w:eastAsia="en-AU"/>
        </w:rPr>
      </w:pPr>
      <w:r>
        <w:rPr>
          <w:b/>
          <w:lang w:eastAsia="en-AU"/>
        </w:rPr>
        <w:t>Catchwords:</w:t>
      </w:r>
    </w:p>
    <w:p w:rsidR="006E4A26" w:rsidRPr="00856E9C" w:rsidRDefault="006E4A26" w:rsidP="006E4A26">
      <w:pPr>
        <w:rPr>
          <w:b/>
          <w:highlight w:val="yellow"/>
          <w:lang w:eastAsia="en-AU"/>
        </w:rPr>
      </w:pPr>
    </w:p>
    <w:p w:rsidR="006E4A26" w:rsidRDefault="006E4A26" w:rsidP="006E4A26">
      <w:pPr>
        <w:ind w:left="720"/>
        <w:rPr>
          <w:lang w:eastAsia="en-AU"/>
        </w:rPr>
      </w:pPr>
      <w:r>
        <w:rPr>
          <w:lang w:eastAsia="en-AU"/>
        </w:rPr>
        <w:t xml:space="preserve">Administrative law – Arbitrariness or capriciousness – Media and telecommunications – Media ownership rules – Where Federal Communications Commission (FCC) uses its authority to regulate broadcast media by maintaining ownership rules limiting number of radio stations, television stations and newspapers a single entity can own in given market – Where s 202(h) of </w:t>
      </w:r>
      <w:r>
        <w:rPr>
          <w:i/>
          <w:lang w:eastAsia="en-AU"/>
        </w:rPr>
        <w:t xml:space="preserve">Telecommunications Act 1996 </w:t>
      </w:r>
      <w:r>
        <w:rPr>
          <w:lang w:eastAsia="en-AU"/>
        </w:rPr>
        <w:t xml:space="preserve">directs FCC to review its rules every four years and to repeal or modify rules that no longer serve public interest – Where, in 2017, FCC conducted review of ownership rules and concluded three were no longer necessary to promote competition, localism or viewpoint diversity – Where FCC also concluded evidence did not suggest repealing or modifying rules likely to harm minority and female ownership – Where FCC decided to repeal two rules and modify one – Where respondents petitioner for review of FCC decision on basis decision was arbitrary and capricious – Where Third Circuit vacated FCC decision, holding evidence did not support FCC’s conclusion that rule changes would have minimal effect on minority and female ownership – Whether FCC failed to consider relevant evidence or had no evidence to support decision – Whether FCC decision arbitrary or capricious. </w:t>
      </w:r>
    </w:p>
    <w:p w:rsidR="006E4A26" w:rsidRPr="00856E9C" w:rsidRDefault="006E4A26" w:rsidP="006E4A26">
      <w:pPr>
        <w:ind w:left="720"/>
        <w:rPr>
          <w:highlight w:val="yellow"/>
          <w:lang w:eastAsia="en-AU"/>
        </w:rPr>
      </w:pPr>
    </w:p>
    <w:p w:rsidR="006E4A26" w:rsidRPr="000D3E8D" w:rsidRDefault="006E4A26" w:rsidP="006E4A26">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Reversed. </w:t>
      </w:r>
    </w:p>
    <w:p w:rsidR="006E4A26" w:rsidRPr="00181993" w:rsidRDefault="006E4A26" w:rsidP="006E4A26">
      <w:pPr>
        <w:pStyle w:val="BullDivider1"/>
        <w:pBdr>
          <w:bottom w:val="dotted" w:sz="4" w:space="0" w:color="auto"/>
        </w:pBdr>
      </w:pPr>
    </w:p>
    <w:p w:rsidR="008E00A1" w:rsidRPr="00FD4E73" w:rsidRDefault="008E00A1" w:rsidP="008E00A1">
      <w:pPr>
        <w:rPr>
          <w:lang w:eastAsia="en-AU"/>
        </w:rPr>
      </w:pPr>
    </w:p>
    <w:p w:rsidR="008E00A1" w:rsidRPr="00FD4E73" w:rsidRDefault="008E00A1" w:rsidP="008E00A1">
      <w:pPr>
        <w:pStyle w:val="Heading2"/>
        <w:rPr>
          <w:i w:val="0"/>
        </w:rPr>
      </w:pPr>
      <w:r>
        <w:t>United States Fish and Wildlife Service v Sierra Club, Inc</w:t>
      </w:r>
      <w:r w:rsidR="00F110BA">
        <w:t xml:space="preserve">. </w:t>
      </w:r>
    </w:p>
    <w:p w:rsidR="008E00A1" w:rsidRPr="002F4F7E" w:rsidRDefault="008E00A1" w:rsidP="008E00A1">
      <w:pPr>
        <w:rPr>
          <w:lang w:eastAsia="en-AU"/>
        </w:rPr>
      </w:pPr>
      <w:r>
        <w:rPr>
          <w:b/>
          <w:lang w:eastAsia="en-AU"/>
        </w:rPr>
        <w:t xml:space="preserve">Supreme Court of </w:t>
      </w:r>
      <w:r w:rsidR="00F110BA">
        <w:rPr>
          <w:b/>
          <w:lang w:eastAsia="en-AU"/>
        </w:rPr>
        <w:t>the United States</w:t>
      </w:r>
      <w:r w:rsidRPr="002F4F7E">
        <w:rPr>
          <w:b/>
          <w:lang w:eastAsia="en-AU"/>
        </w:rPr>
        <w:t xml:space="preserve">: </w:t>
      </w:r>
      <w:hyperlink r:id="rId11" w:history="1">
        <w:r w:rsidR="00F110BA" w:rsidRPr="00F110BA">
          <w:rPr>
            <w:rStyle w:val="Hyperlink"/>
            <w:lang w:eastAsia="en-AU"/>
          </w:rPr>
          <w:t>Docket No 19-547</w:t>
        </w:r>
      </w:hyperlink>
    </w:p>
    <w:p w:rsidR="008E00A1" w:rsidRPr="002F4F7E" w:rsidRDefault="008E00A1" w:rsidP="008E00A1">
      <w:pPr>
        <w:rPr>
          <w:lang w:eastAsia="en-AU"/>
        </w:rPr>
      </w:pPr>
    </w:p>
    <w:p w:rsidR="008E00A1" w:rsidRPr="002F4F7E" w:rsidRDefault="008E00A1" w:rsidP="008E00A1">
      <w:pPr>
        <w:rPr>
          <w:lang w:eastAsia="en-AU"/>
        </w:rPr>
      </w:pPr>
      <w:r w:rsidRPr="002F4F7E">
        <w:rPr>
          <w:b/>
          <w:lang w:eastAsia="en-AU"/>
        </w:rPr>
        <w:t>Judgment delivered:</w:t>
      </w:r>
      <w:r>
        <w:rPr>
          <w:lang w:eastAsia="en-AU"/>
        </w:rPr>
        <w:t xml:space="preserve"> </w:t>
      </w:r>
      <w:r w:rsidR="00F110BA">
        <w:rPr>
          <w:lang w:eastAsia="en-AU"/>
        </w:rPr>
        <w:t>4</w:t>
      </w:r>
      <w:r>
        <w:rPr>
          <w:lang w:eastAsia="en-AU"/>
        </w:rPr>
        <w:t xml:space="preserve"> March 2021</w:t>
      </w:r>
    </w:p>
    <w:p w:rsidR="008E00A1" w:rsidRPr="002F4F7E" w:rsidRDefault="008E00A1" w:rsidP="008E00A1">
      <w:pPr>
        <w:rPr>
          <w:lang w:eastAsia="en-AU"/>
        </w:rPr>
      </w:pPr>
    </w:p>
    <w:p w:rsidR="008E00A1" w:rsidRPr="002F4F7E" w:rsidRDefault="008E00A1" w:rsidP="008E00A1">
      <w:pPr>
        <w:rPr>
          <w:lang w:eastAsia="en-AU"/>
        </w:rPr>
      </w:pPr>
      <w:r w:rsidRPr="002F4F7E">
        <w:rPr>
          <w:b/>
          <w:lang w:eastAsia="en-AU"/>
        </w:rPr>
        <w:t xml:space="preserve">Coram: </w:t>
      </w:r>
      <w:r w:rsidR="00F110BA">
        <w:rPr>
          <w:lang w:eastAsia="en-AU"/>
        </w:rPr>
        <w:t>Roberts CJ, Thomas, Breyer, Alito, Sotomayor, Kagan, Gorsuch, Kavanaugh and Barrett JJ</w:t>
      </w:r>
    </w:p>
    <w:p w:rsidR="008E00A1" w:rsidRPr="002F4F7E" w:rsidRDefault="008E00A1" w:rsidP="008E00A1">
      <w:pPr>
        <w:rPr>
          <w:lang w:eastAsia="en-AU"/>
        </w:rPr>
      </w:pPr>
    </w:p>
    <w:p w:rsidR="008E00A1" w:rsidRPr="002F4F7E" w:rsidRDefault="008E00A1" w:rsidP="008E00A1">
      <w:pPr>
        <w:rPr>
          <w:b/>
          <w:lang w:eastAsia="en-AU"/>
        </w:rPr>
      </w:pPr>
      <w:r>
        <w:rPr>
          <w:b/>
          <w:lang w:eastAsia="en-AU"/>
        </w:rPr>
        <w:t>Catchwords:</w:t>
      </w:r>
    </w:p>
    <w:p w:rsidR="008E00A1" w:rsidRPr="00856E9C" w:rsidRDefault="008E00A1" w:rsidP="008E00A1">
      <w:pPr>
        <w:rPr>
          <w:b/>
          <w:highlight w:val="yellow"/>
          <w:lang w:eastAsia="en-AU"/>
        </w:rPr>
      </w:pPr>
    </w:p>
    <w:p w:rsidR="008E00A1" w:rsidRDefault="00F110BA" w:rsidP="008E00A1">
      <w:pPr>
        <w:ind w:left="720"/>
        <w:rPr>
          <w:lang w:eastAsia="en-AU"/>
        </w:rPr>
      </w:pPr>
      <w:r>
        <w:rPr>
          <w:lang w:eastAsia="en-AU"/>
        </w:rPr>
        <w:t xml:space="preserve">Administrative law – Freedom of information – Deliberative process privilege – Where Environmental Protection Agency (EPA) proposed rule in 2011 which required consultation with US Fish and Wildlife Service and </w:t>
      </w:r>
      <w:r>
        <w:rPr>
          <w:lang w:eastAsia="en-AU"/>
        </w:rPr>
        <w:lastRenderedPageBreak/>
        <w:t>National Marine Fisheries Service (Services) before proceeding – Where Services must issue “biological opinion” addressing whether proposal will “jeopardise” existence of certain species before proposal may proceed – Where, after consultation with Services, EPA prepared revised proposal in 2013 – Where Services staff prepared draft opinions concluding 2013 proposal jeopardised species – Where Services decision-makers did not approve drafts and instead agreed with EPA to extend period of consultation – Where EPA prepared significantly revised proposal in 2014, in which Services gave final “no jeopardy” opinion – Where respondents submitted FOI request for Services’ draft opinions about 2013 proposal – Where Services invoked delibera</w:t>
      </w:r>
      <w:r w:rsidR="00E43C8E">
        <w:rPr>
          <w:lang w:eastAsia="en-AU"/>
        </w:rPr>
        <w:t>tive</w:t>
      </w:r>
      <w:r>
        <w:rPr>
          <w:lang w:eastAsia="en-AU"/>
        </w:rPr>
        <w:t xml:space="preserve"> process privilege to prevent disclosure – Where</w:t>
      </w:r>
      <w:r w:rsidR="008D5B9C">
        <w:rPr>
          <w:lang w:eastAsia="en-AU"/>
        </w:rPr>
        <w:t xml:space="preserve"> </w:t>
      </w:r>
      <w:r>
        <w:rPr>
          <w:lang w:eastAsia="en-AU"/>
        </w:rPr>
        <w:t>Ninth Circuit</w:t>
      </w:r>
      <w:r w:rsidR="008D5B9C">
        <w:rPr>
          <w:lang w:eastAsia="en-AU"/>
        </w:rPr>
        <w:t xml:space="preserve"> </w:t>
      </w:r>
      <w:r>
        <w:rPr>
          <w:lang w:eastAsia="en-AU"/>
        </w:rPr>
        <w:t xml:space="preserve">held draft opinions not privileged because represented final opinions on 2013 proposal </w:t>
      </w:r>
      <w:r w:rsidR="00741E32">
        <w:rPr>
          <w:lang w:eastAsia="en-AU"/>
        </w:rPr>
        <w:t>–</w:t>
      </w:r>
      <w:r>
        <w:rPr>
          <w:lang w:eastAsia="en-AU"/>
        </w:rPr>
        <w:t xml:space="preserve"> </w:t>
      </w:r>
      <w:r w:rsidR="00741E32">
        <w:rPr>
          <w:lang w:eastAsia="en-AU"/>
        </w:rPr>
        <w:t xml:space="preserve">Whether draft opinions represented final opinions – Whether deliberative process privilege applied to draft opinions. </w:t>
      </w:r>
    </w:p>
    <w:p w:rsidR="008E00A1" w:rsidRPr="00856E9C" w:rsidRDefault="008E00A1" w:rsidP="008E00A1">
      <w:pPr>
        <w:ind w:left="720"/>
        <w:rPr>
          <w:highlight w:val="yellow"/>
          <w:lang w:eastAsia="en-AU"/>
        </w:rPr>
      </w:pPr>
    </w:p>
    <w:p w:rsidR="005E1519" w:rsidRDefault="008E00A1" w:rsidP="008E00A1">
      <w:pPr>
        <w:rPr>
          <w:lang w:eastAsia="en-AU"/>
        </w:rPr>
      </w:pPr>
      <w:r w:rsidRPr="002F4F7E">
        <w:rPr>
          <w:b/>
          <w:lang w:eastAsia="en-AU"/>
        </w:rPr>
        <w:t>Held (</w:t>
      </w:r>
      <w:r w:rsidR="00741E32">
        <w:rPr>
          <w:b/>
          <w:lang w:eastAsia="en-AU"/>
        </w:rPr>
        <w:t>7</w:t>
      </w:r>
      <w:r>
        <w:rPr>
          <w:b/>
          <w:lang w:eastAsia="en-AU"/>
        </w:rPr>
        <w:t>:</w:t>
      </w:r>
      <w:r w:rsidR="00741E32">
        <w:rPr>
          <w:b/>
          <w:lang w:eastAsia="en-AU"/>
        </w:rPr>
        <w:t>2</w:t>
      </w:r>
      <w:r w:rsidRPr="002F4F7E">
        <w:rPr>
          <w:b/>
          <w:lang w:eastAsia="en-AU"/>
        </w:rPr>
        <w:t xml:space="preserve">): </w:t>
      </w:r>
      <w:r w:rsidR="006E4A26">
        <w:rPr>
          <w:lang w:eastAsia="en-AU"/>
        </w:rPr>
        <w:t>R</w:t>
      </w:r>
      <w:r w:rsidR="00741E32">
        <w:rPr>
          <w:lang w:eastAsia="en-AU"/>
        </w:rPr>
        <w:t>eversed</w:t>
      </w:r>
      <w:r w:rsidR="006E4A26">
        <w:rPr>
          <w:lang w:eastAsia="en-AU"/>
        </w:rPr>
        <w:t xml:space="preserve"> and </w:t>
      </w:r>
      <w:r w:rsidR="00741E32">
        <w:rPr>
          <w:lang w:eastAsia="en-AU"/>
        </w:rPr>
        <w:t xml:space="preserve">remanded. </w:t>
      </w:r>
    </w:p>
    <w:p w:rsidR="009D0CE8" w:rsidRPr="00B546B2" w:rsidRDefault="009D0CE8" w:rsidP="009D0CE8">
      <w:pPr>
        <w:pStyle w:val="BullDivider2"/>
        <w:rPr>
          <w:rFonts w:cs="Arial"/>
          <w:highlight w:val="yellow"/>
        </w:rPr>
      </w:pPr>
    </w:p>
    <w:p w:rsidR="002F4F7E" w:rsidRPr="00B546B2" w:rsidRDefault="002F4F7E" w:rsidP="002F4F7E">
      <w:pPr>
        <w:rPr>
          <w:highlight w:val="yellow"/>
          <w:lang w:eastAsia="en-AU"/>
        </w:rPr>
      </w:pPr>
    </w:p>
    <w:p w:rsidR="00FD4E73" w:rsidRDefault="00FD4E73" w:rsidP="00FD4E73">
      <w:pPr>
        <w:pStyle w:val="Heading1"/>
      </w:pPr>
      <w:r>
        <w:t xml:space="preserve">Constitutional Law </w:t>
      </w:r>
    </w:p>
    <w:p w:rsidR="00550F6C" w:rsidRDefault="00550F6C" w:rsidP="00550F6C"/>
    <w:p w:rsidR="00550F6C" w:rsidRPr="00FD4E73" w:rsidRDefault="00550F6C" w:rsidP="00550F6C">
      <w:pPr>
        <w:pStyle w:val="Heading2"/>
        <w:rPr>
          <w:i w:val="0"/>
        </w:rPr>
      </w:pPr>
      <w:r>
        <w:t>R v Desautel</w:t>
      </w:r>
      <w:r>
        <w:tab/>
      </w:r>
    </w:p>
    <w:p w:rsidR="00550F6C" w:rsidRPr="002F4F7E" w:rsidRDefault="00550F6C" w:rsidP="00550F6C">
      <w:pPr>
        <w:rPr>
          <w:lang w:eastAsia="en-AU"/>
        </w:rPr>
      </w:pPr>
      <w:r>
        <w:rPr>
          <w:b/>
          <w:lang w:eastAsia="en-AU"/>
        </w:rPr>
        <w:t>Supreme Court of Canada</w:t>
      </w:r>
      <w:r w:rsidRPr="002F4F7E">
        <w:rPr>
          <w:b/>
          <w:lang w:eastAsia="en-AU"/>
        </w:rPr>
        <w:t xml:space="preserve">: </w:t>
      </w:r>
      <w:hyperlink r:id="rId12" w:history="1">
        <w:r w:rsidRPr="00550F6C">
          <w:rPr>
            <w:rStyle w:val="Hyperlink"/>
            <w:lang w:eastAsia="en-AU"/>
          </w:rPr>
          <w:t>[2021] SCC 17</w:t>
        </w:r>
      </w:hyperlink>
    </w:p>
    <w:p w:rsidR="00550F6C" w:rsidRPr="002F4F7E" w:rsidRDefault="00550F6C" w:rsidP="00550F6C">
      <w:pPr>
        <w:rPr>
          <w:lang w:eastAsia="en-AU"/>
        </w:rPr>
      </w:pPr>
    </w:p>
    <w:p w:rsidR="00550F6C" w:rsidRPr="002F4F7E" w:rsidRDefault="00550F6C" w:rsidP="00550F6C">
      <w:pPr>
        <w:rPr>
          <w:lang w:eastAsia="en-AU"/>
        </w:rPr>
      </w:pPr>
      <w:r w:rsidRPr="002F4F7E">
        <w:rPr>
          <w:b/>
          <w:lang w:eastAsia="en-AU"/>
        </w:rPr>
        <w:t>Judgment delivered:</w:t>
      </w:r>
      <w:r>
        <w:rPr>
          <w:lang w:eastAsia="en-AU"/>
        </w:rPr>
        <w:t xml:space="preserve"> 23 April 2021</w:t>
      </w:r>
    </w:p>
    <w:p w:rsidR="00550F6C" w:rsidRPr="002F4F7E" w:rsidRDefault="00550F6C" w:rsidP="00550F6C">
      <w:pPr>
        <w:rPr>
          <w:lang w:eastAsia="en-AU"/>
        </w:rPr>
      </w:pPr>
    </w:p>
    <w:p w:rsidR="00550F6C" w:rsidRPr="002F4F7E" w:rsidRDefault="00550F6C" w:rsidP="00550F6C">
      <w:pPr>
        <w:rPr>
          <w:lang w:eastAsia="en-AU"/>
        </w:rPr>
      </w:pPr>
      <w:r w:rsidRPr="002F4F7E">
        <w:rPr>
          <w:b/>
          <w:lang w:eastAsia="en-AU"/>
        </w:rPr>
        <w:t xml:space="preserve">Coram: </w:t>
      </w:r>
      <w:r w:rsidRPr="00550F6C">
        <w:rPr>
          <w:lang w:eastAsia="en-AU"/>
        </w:rPr>
        <w:t>Wagner CJ</w:t>
      </w:r>
      <w:r>
        <w:rPr>
          <w:lang w:eastAsia="en-AU"/>
        </w:rPr>
        <w:t>,</w:t>
      </w:r>
      <w:r w:rsidRPr="00550F6C">
        <w:rPr>
          <w:lang w:eastAsia="en-AU"/>
        </w:rPr>
        <w:t xml:space="preserve"> Abella, Moldaver, Karakatsanis, Côté, Brown, Rowe, Martin and Kasirer JJ</w:t>
      </w:r>
    </w:p>
    <w:p w:rsidR="00550F6C" w:rsidRPr="002F4F7E" w:rsidRDefault="00550F6C" w:rsidP="00550F6C">
      <w:pPr>
        <w:rPr>
          <w:lang w:eastAsia="en-AU"/>
        </w:rPr>
      </w:pPr>
    </w:p>
    <w:p w:rsidR="00550F6C" w:rsidRPr="002F4F7E" w:rsidRDefault="00550F6C" w:rsidP="00550F6C">
      <w:pPr>
        <w:rPr>
          <w:b/>
          <w:lang w:eastAsia="en-AU"/>
        </w:rPr>
      </w:pPr>
      <w:r>
        <w:rPr>
          <w:b/>
          <w:lang w:eastAsia="en-AU"/>
        </w:rPr>
        <w:t>Catchwords:</w:t>
      </w:r>
    </w:p>
    <w:p w:rsidR="00550F6C" w:rsidRPr="00856E9C" w:rsidRDefault="00550F6C" w:rsidP="00550F6C">
      <w:pPr>
        <w:rPr>
          <w:b/>
          <w:highlight w:val="yellow"/>
          <w:lang w:eastAsia="en-AU"/>
        </w:rPr>
      </w:pPr>
    </w:p>
    <w:p w:rsidR="00550F6C" w:rsidRDefault="00550F6C" w:rsidP="00550F6C">
      <w:pPr>
        <w:ind w:left="720"/>
        <w:rPr>
          <w:lang w:eastAsia="en-AU"/>
        </w:rPr>
      </w:pPr>
      <w:r w:rsidRPr="00550F6C">
        <w:rPr>
          <w:lang w:eastAsia="en-AU"/>
        </w:rPr>
        <w:t xml:space="preserve">Constitutional law — Aboriginal peoples — Aboriginal rights — Hunting — </w:t>
      </w:r>
      <w:r w:rsidR="00CB03BC">
        <w:rPr>
          <w:lang w:eastAsia="en-AU"/>
        </w:rPr>
        <w:t>Where c</w:t>
      </w:r>
      <w:r w:rsidRPr="00550F6C">
        <w:rPr>
          <w:lang w:eastAsia="en-AU"/>
        </w:rPr>
        <w:t xml:space="preserve">itizen and resident of United States charged under provincial wildlife legislation with hunting in British Columbia without licence and while not being resident of province — </w:t>
      </w:r>
      <w:r w:rsidR="00CB03BC">
        <w:rPr>
          <w:lang w:eastAsia="en-AU"/>
        </w:rPr>
        <w:t>Where c</w:t>
      </w:r>
      <w:r w:rsidRPr="00550F6C">
        <w:rPr>
          <w:lang w:eastAsia="en-AU"/>
        </w:rPr>
        <w:t>harges defended on basis of constitutionally</w:t>
      </w:r>
      <w:r w:rsidRPr="00550F6C">
        <w:rPr>
          <w:rFonts w:ascii="Cambria Math" w:hAnsi="Cambria Math" w:cs="Cambria Math"/>
          <w:lang w:eastAsia="en-AU"/>
        </w:rPr>
        <w:t>‑</w:t>
      </w:r>
      <w:r w:rsidRPr="00550F6C">
        <w:rPr>
          <w:lang w:eastAsia="en-AU"/>
        </w:rPr>
        <w:t xml:space="preserve">protected Aboriginal right to hunt in traditional territory of ancestors </w:t>
      </w:r>
      <w:r w:rsidRPr="00550F6C">
        <w:rPr>
          <w:rFonts w:cs="Verdana"/>
          <w:lang w:eastAsia="en-AU"/>
        </w:rPr>
        <w:t>—</w:t>
      </w:r>
      <w:r w:rsidRPr="00550F6C">
        <w:rPr>
          <w:lang w:eastAsia="en-AU"/>
        </w:rPr>
        <w:t xml:space="preserve"> Whether Aboriginal people located outside Canada can assert Aboriginal rights under Canadian Constitution — If so, whether provincial wildlife legislation of no force or effect by reason of Aboriginal right — </w:t>
      </w:r>
      <w:r w:rsidRPr="00550F6C">
        <w:rPr>
          <w:i/>
          <w:lang w:eastAsia="en-AU"/>
        </w:rPr>
        <w:t>Constitutional Act</w:t>
      </w:r>
      <w:r w:rsidRPr="00550F6C">
        <w:rPr>
          <w:lang w:eastAsia="en-AU"/>
        </w:rPr>
        <w:t>, 1982, s. 35(1).</w:t>
      </w:r>
    </w:p>
    <w:p w:rsidR="00550F6C" w:rsidRPr="00856E9C" w:rsidRDefault="00550F6C" w:rsidP="00550F6C">
      <w:pPr>
        <w:ind w:left="720"/>
        <w:rPr>
          <w:highlight w:val="yellow"/>
          <w:lang w:eastAsia="en-AU"/>
        </w:rPr>
      </w:pPr>
    </w:p>
    <w:p w:rsidR="00550F6C" w:rsidRDefault="00550F6C" w:rsidP="00550F6C">
      <w:pPr>
        <w:rPr>
          <w:lang w:eastAsia="en-AU"/>
        </w:rPr>
      </w:pPr>
      <w:r w:rsidRPr="002F4F7E">
        <w:rPr>
          <w:b/>
          <w:lang w:eastAsia="en-AU"/>
        </w:rPr>
        <w:t>Held (</w:t>
      </w:r>
      <w:r>
        <w:rPr>
          <w:b/>
          <w:lang w:eastAsia="en-AU"/>
        </w:rPr>
        <w:t>7:2</w:t>
      </w:r>
      <w:r w:rsidRPr="002F4F7E">
        <w:rPr>
          <w:b/>
          <w:lang w:eastAsia="en-AU"/>
        </w:rPr>
        <w:t xml:space="preserve">): </w:t>
      </w:r>
      <w:r>
        <w:rPr>
          <w:lang w:eastAsia="en-AU"/>
        </w:rPr>
        <w:t xml:space="preserve">Appeal dismissed. </w:t>
      </w:r>
    </w:p>
    <w:p w:rsidR="00550F6C" w:rsidRPr="00181993" w:rsidRDefault="00550F6C" w:rsidP="00550F6C">
      <w:pPr>
        <w:pStyle w:val="BullDivider1"/>
        <w:pBdr>
          <w:bottom w:val="dotted" w:sz="4" w:space="0" w:color="auto"/>
        </w:pBdr>
      </w:pPr>
    </w:p>
    <w:p w:rsidR="003E6C38" w:rsidRDefault="003E6C38" w:rsidP="003E6C38">
      <w:pPr>
        <w:rPr>
          <w:lang w:eastAsia="en-AU"/>
        </w:rPr>
      </w:pPr>
    </w:p>
    <w:p w:rsidR="003E6C38" w:rsidRDefault="003E6C38" w:rsidP="003E6C38">
      <w:pPr>
        <w:rPr>
          <w:rFonts w:ascii="Arial" w:hAnsi="Arial" w:cs="Arial"/>
          <w:bCs/>
          <w:i/>
          <w:iCs/>
          <w:sz w:val="28"/>
          <w:szCs w:val="28"/>
          <w:lang w:eastAsia="en-AU"/>
        </w:rPr>
      </w:pPr>
      <w:r>
        <w:rPr>
          <w:rFonts w:ascii="Arial" w:hAnsi="Arial" w:cs="Arial"/>
          <w:bCs/>
          <w:i/>
          <w:iCs/>
          <w:sz w:val="28"/>
          <w:szCs w:val="28"/>
          <w:lang w:eastAsia="en-AU"/>
        </w:rPr>
        <w:t xml:space="preserve">Sithole </w:t>
      </w:r>
      <w:r w:rsidR="00A37625">
        <w:rPr>
          <w:rFonts w:ascii="Arial" w:hAnsi="Arial" w:cs="Arial"/>
          <w:bCs/>
          <w:i/>
          <w:iCs/>
          <w:sz w:val="28"/>
          <w:szCs w:val="28"/>
          <w:lang w:eastAsia="en-AU"/>
        </w:rPr>
        <w:t>and Anor v Sithole and Anor</w:t>
      </w:r>
    </w:p>
    <w:p w:rsidR="003E6C38" w:rsidRPr="002F4F7E" w:rsidRDefault="003E6C38" w:rsidP="003E6C38">
      <w:pPr>
        <w:rPr>
          <w:lang w:eastAsia="en-AU"/>
        </w:rPr>
      </w:pPr>
      <w:r>
        <w:rPr>
          <w:b/>
          <w:lang w:eastAsia="en-AU"/>
        </w:rPr>
        <w:t>Constitutional Court of South Africa</w:t>
      </w:r>
      <w:r w:rsidRPr="002F4F7E">
        <w:rPr>
          <w:b/>
          <w:lang w:eastAsia="en-AU"/>
        </w:rPr>
        <w:t xml:space="preserve">: </w:t>
      </w:r>
      <w:hyperlink r:id="rId13" w:history="1">
        <w:r w:rsidRPr="005653A2">
          <w:rPr>
            <w:rStyle w:val="Hyperlink"/>
            <w:lang w:eastAsia="en-AU"/>
          </w:rPr>
          <w:t xml:space="preserve">[2021] ZACC </w:t>
        </w:r>
        <w:r w:rsidR="00A37625">
          <w:rPr>
            <w:rStyle w:val="Hyperlink"/>
            <w:lang w:eastAsia="en-AU"/>
          </w:rPr>
          <w:t>7</w:t>
        </w:r>
      </w:hyperlink>
    </w:p>
    <w:p w:rsidR="003E6C38" w:rsidRPr="002F4F7E" w:rsidRDefault="003E6C38" w:rsidP="003E6C38">
      <w:pPr>
        <w:rPr>
          <w:lang w:eastAsia="en-AU"/>
        </w:rPr>
      </w:pPr>
    </w:p>
    <w:p w:rsidR="003E6C38" w:rsidRPr="002F4F7E" w:rsidRDefault="003E6C38" w:rsidP="003E6C38">
      <w:pPr>
        <w:rPr>
          <w:lang w:eastAsia="en-AU"/>
        </w:rPr>
      </w:pPr>
      <w:r w:rsidRPr="002F4F7E">
        <w:rPr>
          <w:b/>
          <w:lang w:eastAsia="en-AU"/>
        </w:rPr>
        <w:t>Judgment delivered:</w:t>
      </w:r>
      <w:r w:rsidRPr="002F4F7E">
        <w:rPr>
          <w:lang w:eastAsia="en-AU"/>
        </w:rPr>
        <w:t xml:space="preserve"> </w:t>
      </w:r>
      <w:r w:rsidR="00A37625">
        <w:rPr>
          <w:lang w:eastAsia="en-AU"/>
        </w:rPr>
        <w:t>14</w:t>
      </w:r>
      <w:r>
        <w:rPr>
          <w:lang w:eastAsia="en-AU"/>
        </w:rPr>
        <w:t xml:space="preserve"> April 2021</w:t>
      </w:r>
    </w:p>
    <w:p w:rsidR="003E6C38" w:rsidRPr="002F4F7E" w:rsidRDefault="003E6C38" w:rsidP="003E6C38">
      <w:pPr>
        <w:rPr>
          <w:lang w:eastAsia="en-AU"/>
        </w:rPr>
      </w:pPr>
    </w:p>
    <w:p w:rsidR="003E6C38" w:rsidRPr="002F4F7E" w:rsidRDefault="003E6C38" w:rsidP="003E6C38">
      <w:pPr>
        <w:rPr>
          <w:lang w:eastAsia="en-AU"/>
        </w:rPr>
      </w:pPr>
      <w:r w:rsidRPr="002F4F7E">
        <w:rPr>
          <w:b/>
          <w:lang w:eastAsia="en-AU"/>
        </w:rPr>
        <w:lastRenderedPageBreak/>
        <w:t xml:space="preserve">Coram: </w:t>
      </w:r>
      <w:r>
        <w:rPr>
          <w:lang w:eastAsia="en-AU"/>
        </w:rPr>
        <w:t>Moegong CJ, Jafta, Khampepe, Madlanga, Majiedt JJ, Mathopo AJ, Mhlantla, Theron, Tshiqi JJ and Victor AJ</w:t>
      </w:r>
    </w:p>
    <w:p w:rsidR="003E6C38" w:rsidRPr="002F4F7E" w:rsidRDefault="003E6C38" w:rsidP="003E6C38">
      <w:pPr>
        <w:rPr>
          <w:lang w:eastAsia="en-AU"/>
        </w:rPr>
      </w:pPr>
    </w:p>
    <w:p w:rsidR="003E6C38" w:rsidRPr="002F4F7E" w:rsidRDefault="003E6C38" w:rsidP="003E6C38">
      <w:pPr>
        <w:rPr>
          <w:b/>
          <w:lang w:eastAsia="en-AU"/>
        </w:rPr>
      </w:pPr>
      <w:r>
        <w:rPr>
          <w:b/>
          <w:lang w:eastAsia="en-AU"/>
        </w:rPr>
        <w:t>Catchwords:</w:t>
      </w:r>
    </w:p>
    <w:p w:rsidR="003E6C38" w:rsidRPr="00856E9C" w:rsidRDefault="003E6C38" w:rsidP="003E6C38">
      <w:pPr>
        <w:rPr>
          <w:b/>
          <w:highlight w:val="yellow"/>
          <w:lang w:eastAsia="en-AU"/>
        </w:rPr>
      </w:pPr>
    </w:p>
    <w:p w:rsidR="003E6C38" w:rsidRPr="00FD448A" w:rsidRDefault="002B6F77" w:rsidP="003E6C38">
      <w:pPr>
        <w:ind w:left="720"/>
        <w:rPr>
          <w:lang w:eastAsia="en-AU"/>
        </w:rPr>
      </w:pPr>
      <w:r>
        <w:rPr>
          <w:lang w:eastAsia="en-AU"/>
        </w:rPr>
        <w:t xml:space="preserve">Constitutional law – Discrimination – Marriage – Community of property – Where s 21 of </w:t>
      </w:r>
      <w:r>
        <w:rPr>
          <w:i/>
          <w:lang w:eastAsia="en-AU"/>
        </w:rPr>
        <w:t xml:space="preserve">Matrimonial Property Act 99 of 1984 </w:t>
      </w:r>
      <w:r>
        <w:rPr>
          <w:lang w:eastAsia="en-AU"/>
        </w:rPr>
        <w:t xml:space="preserve">and s 22 </w:t>
      </w:r>
      <w:r>
        <w:rPr>
          <w:i/>
          <w:lang w:eastAsia="en-AU"/>
        </w:rPr>
        <w:t xml:space="preserve">Black Administration Act 38 of 1927 </w:t>
      </w:r>
      <w:r>
        <w:rPr>
          <w:lang w:eastAsia="en-AU"/>
        </w:rPr>
        <w:t xml:space="preserve">provide that marriages of black couples entered into before 1988 are automatically out of community of property – Where all other married couples automatically in community of property – Where applicant married respondent in 1972 – Where family home registered in respondent’s name only – Where marriage broke down and respondent threatened to sell home – Where applicant devout Roman Catholic and divorce discouraged – Where applicant applied for injunction to restrain respondent from selling home but failed due to not married outside community of property – Where applicant </w:t>
      </w:r>
      <w:r w:rsidR="0087380C">
        <w:rPr>
          <w:lang w:eastAsia="en-AU"/>
        </w:rPr>
        <w:t xml:space="preserve">successfully </w:t>
      </w:r>
      <w:r>
        <w:rPr>
          <w:lang w:eastAsia="en-AU"/>
        </w:rPr>
        <w:t xml:space="preserve">argued in High Court that Acts invalid to extent disadvantaged Black women married prior to 1988 by denying protection afforded by community of property </w:t>
      </w:r>
      <w:r w:rsidR="0087380C">
        <w:rPr>
          <w:lang w:eastAsia="en-AU"/>
        </w:rPr>
        <w:t xml:space="preserve">– Whether Acts unfair discrimination and invalid – Whether declaration of invalidity should have immediate and retrospective effect to all applicable marriages. </w:t>
      </w:r>
    </w:p>
    <w:p w:rsidR="003E6C38" w:rsidRPr="00856E9C" w:rsidRDefault="003E6C38" w:rsidP="003E6C38">
      <w:pPr>
        <w:ind w:left="720"/>
        <w:rPr>
          <w:highlight w:val="yellow"/>
          <w:lang w:eastAsia="en-AU"/>
        </w:rPr>
      </w:pPr>
    </w:p>
    <w:p w:rsidR="003E6C38" w:rsidRPr="00A37625" w:rsidRDefault="003E6C38" w:rsidP="003E6C38">
      <w:pPr>
        <w:rPr>
          <w:lang w:eastAsia="en-AU"/>
        </w:rPr>
      </w:pPr>
      <w:r w:rsidRPr="002F4F7E">
        <w:rPr>
          <w:b/>
          <w:lang w:eastAsia="en-AU"/>
        </w:rPr>
        <w:t>Held (</w:t>
      </w:r>
      <w:r>
        <w:rPr>
          <w:b/>
          <w:lang w:eastAsia="en-AU"/>
        </w:rPr>
        <w:t>10:0</w:t>
      </w:r>
      <w:r w:rsidRPr="002F4F7E">
        <w:rPr>
          <w:b/>
          <w:lang w:eastAsia="en-AU"/>
        </w:rPr>
        <w:t>):</w:t>
      </w:r>
      <w:r w:rsidR="00A37625">
        <w:rPr>
          <w:b/>
          <w:lang w:eastAsia="en-AU"/>
        </w:rPr>
        <w:t xml:space="preserve"> </w:t>
      </w:r>
      <w:r w:rsidR="00A37625">
        <w:rPr>
          <w:lang w:eastAsia="en-AU"/>
        </w:rPr>
        <w:t xml:space="preserve">Declaration of constitutional invalidity </w:t>
      </w:r>
      <w:r w:rsidR="009B36C5">
        <w:rPr>
          <w:lang w:eastAsia="en-AU"/>
        </w:rPr>
        <w:t xml:space="preserve">confirmed. </w:t>
      </w:r>
    </w:p>
    <w:p w:rsidR="003E6C38" w:rsidRPr="00181993" w:rsidRDefault="003E6C38" w:rsidP="003E6C38">
      <w:pPr>
        <w:pStyle w:val="BullDivider1"/>
        <w:pBdr>
          <w:bottom w:val="dotted" w:sz="4" w:space="0" w:color="auto"/>
        </w:pBdr>
      </w:pPr>
    </w:p>
    <w:p w:rsidR="006E4A26" w:rsidRPr="006E4A26" w:rsidRDefault="006E4A26" w:rsidP="006E4A26">
      <w:pPr>
        <w:rPr>
          <w:lang w:eastAsia="en-AU"/>
        </w:rPr>
      </w:pPr>
    </w:p>
    <w:p w:rsidR="006E4A26" w:rsidRPr="00FD4E73" w:rsidRDefault="00522F8E" w:rsidP="006E4A26">
      <w:pPr>
        <w:pStyle w:val="Heading2"/>
        <w:rPr>
          <w:i w:val="0"/>
        </w:rPr>
      </w:pPr>
      <w:r>
        <w:t>Florida v Georgia</w:t>
      </w:r>
    </w:p>
    <w:p w:rsidR="006E4A26" w:rsidRPr="002F4F7E" w:rsidRDefault="006E4A26" w:rsidP="006E4A26">
      <w:pPr>
        <w:rPr>
          <w:lang w:eastAsia="en-AU"/>
        </w:rPr>
      </w:pPr>
      <w:r>
        <w:rPr>
          <w:b/>
          <w:lang w:eastAsia="en-AU"/>
        </w:rPr>
        <w:t>Supreme Court of the United States</w:t>
      </w:r>
      <w:r w:rsidRPr="002F4F7E">
        <w:rPr>
          <w:b/>
          <w:lang w:eastAsia="en-AU"/>
        </w:rPr>
        <w:t xml:space="preserve">: </w:t>
      </w:r>
      <w:hyperlink r:id="rId14" w:history="1">
        <w:r w:rsidRPr="00F110BA">
          <w:rPr>
            <w:rStyle w:val="Hyperlink"/>
            <w:lang w:eastAsia="en-AU"/>
          </w:rPr>
          <w:t xml:space="preserve">Docket No </w:t>
        </w:r>
        <w:r w:rsidR="00E77F58">
          <w:rPr>
            <w:rStyle w:val="Hyperlink"/>
            <w:lang w:eastAsia="en-AU"/>
          </w:rPr>
          <w:t>142, Orig.</w:t>
        </w:r>
      </w:hyperlink>
    </w:p>
    <w:p w:rsidR="006E4A26" w:rsidRPr="002F4F7E" w:rsidRDefault="006E4A26" w:rsidP="006E4A26">
      <w:pPr>
        <w:rPr>
          <w:lang w:eastAsia="en-AU"/>
        </w:rPr>
      </w:pPr>
    </w:p>
    <w:p w:rsidR="006E4A26" w:rsidRPr="002F4F7E" w:rsidRDefault="006E4A26" w:rsidP="006E4A26">
      <w:pPr>
        <w:rPr>
          <w:lang w:eastAsia="en-AU"/>
        </w:rPr>
      </w:pPr>
      <w:r w:rsidRPr="002F4F7E">
        <w:rPr>
          <w:b/>
          <w:lang w:eastAsia="en-AU"/>
        </w:rPr>
        <w:t>Judgment delivered:</w:t>
      </w:r>
      <w:r>
        <w:rPr>
          <w:lang w:eastAsia="en-AU"/>
        </w:rPr>
        <w:t xml:space="preserve"> </w:t>
      </w:r>
      <w:r w:rsidR="00E77F58">
        <w:rPr>
          <w:lang w:eastAsia="en-AU"/>
        </w:rPr>
        <w:t>1 April</w:t>
      </w:r>
      <w:r>
        <w:rPr>
          <w:lang w:eastAsia="en-AU"/>
        </w:rPr>
        <w:t xml:space="preserve"> 2021</w:t>
      </w:r>
    </w:p>
    <w:p w:rsidR="006E4A26" w:rsidRPr="002F4F7E" w:rsidRDefault="006E4A26" w:rsidP="006E4A26">
      <w:pPr>
        <w:rPr>
          <w:lang w:eastAsia="en-AU"/>
        </w:rPr>
      </w:pPr>
    </w:p>
    <w:p w:rsidR="006E4A26" w:rsidRPr="002F4F7E" w:rsidRDefault="006E4A26" w:rsidP="006E4A26">
      <w:pPr>
        <w:rPr>
          <w:lang w:eastAsia="en-AU"/>
        </w:rPr>
      </w:pPr>
      <w:r w:rsidRPr="002F4F7E">
        <w:rPr>
          <w:b/>
          <w:lang w:eastAsia="en-AU"/>
        </w:rPr>
        <w:t xml:space="preserve">Coram: </w:t>
      </w:r>
      <w:r>
        <w:rPr>
          <w:lang w:eastAsia="en-AU"/>
        </w:rPr>
        <w:t>Roberts CJ, Thomas, Breyer, Alito, Sotomayor, Kagan, Gorsuch</w:t>
      </w:r>
      <w:r w:rsidR="00E77F58">
        <w:rPr>
          <w:lang w:eastAsia="en-AU"/>
        </w:rPr>
        <w:t xml:space="preserve">, </w:t>
      </w:r>
      <w:r>
        <w:rPr>
          <w:lang w:eastAsia="en-AU"/>
        </w:rPr>
        <w:t xml:space="preserve">Kavanaugh </w:t>
      </w:r>
      <w:r w:rsidR="00E77F58">
        <w:rPr>
          <w:lang w:eastAsia="en-AU"/>
        </w:rPr>
        <w:t xml:space="preserve">and Barrett </w:t>
      </w:r>
      <w:r>
        <w:rPr>
          <w:lang w:eastAsia="en-AU"/>
        </w:rPr>
        <w:t>JJ</w:t>
      </w:r>
    </w:p>
    <w:p w:rsidR="006E4A26" w:rsidRPr="002F4F7E" w:rsidRDefault="006E4A26" w:rsidP="006E4A26">
      <w:pPr>
        <w:rPr>
          <w:lang w:eastAsia="en-AU"/>
        </w:rPr>
      </w:pPr>
    </w:p>
    <w:p w:rsidR="006E4A26" w:rsidRPr="002F4F7E" w:rsidRDefault="006E4A26" w:rsidP="006E4A26">
      <w:pPr>
        <w:rPr>
          <w:b/>
          <w:lang w:eastAsia="en-AU"/>
        </w:rPr>
      </w:pPr>
      <w:r>
        <w:rPr>
          <w:b/>
          <w:lang w:eastAsia="en-AU"/>
        </w:rPr>
        <w:t>Catchwords:</w:t>
      </w:r>
    </w:p>
    <w:p w:rsidR="006E4A26" w:rsidRPr="00856E9C" w:rsidRDefault="006E4A26" w:rsidP="006E4A26">
      <w:pPr>
        <w:rPr>
          <w:b/>
          <w:highlight w:val="yellow"/>
          <w:lang w:eastAsia="en-AU"/>
        </w:rPr>
      </w:pPr>
    </w:p>
    <w:p w:rsidR="006E4A26" w:rsidRDefault="006E4A26" w:rsidP="006E4A26">
      <w:pPr>
        <w:ind w:left="720"/>
        <w:rPr>
          <w:lang w:eastAsia="en-AU"/>
        </w:rPr>
      </w:pPr>
      <w:r>
        <w:rPr>
          <w:lang w:eastAsia="en-AU"/>
        </w:rPr>
        <w:t>Constitutional law –</w:t>
      </w:r>
      <w:r w:rsidR="009C4A40">
        <w:rPr>
          <w:lang w:eastAsia="en-AU"/>
        </w:rPr>
        <w:t xml:space="preserve"> Apportionment of interstate streams – Where Supreme Court has original jurisdiction to equitably apportion interstate waters between States – Where Florida brought original action against Georgia alleging Georgia consume</w:t>
      </w:r>
      <w:r w:rsidR="00E43C8E">
        <w:rPr>
          <w:lang w:eastAsia="en-AU"/>
        </w:rPr>
        <w:t>d</w:t>
      </w:r>
      <w:r w:rsidR="009C4A40">
        <w:rPr>
          <w:lang w:eastAsia="en-AU"/>
        </w:rPr>
        <w:t xml:space="preserve"> more than fair share of water in Apalachicola River – Where Florida claim</w:t>
      </w:r>
      <w:r w:rsidR="00E43C8E">
        <w:rPr>
          <w:lang w:eastAsia="en-AU"/>
        </w:rPr>
        <w:t>ed</w:t>
      </w:r>
      <w:r w:rsidR="009C4A40">
        <w:rPr>
          <w:lang w:eastAsia="en-AU"/>
        </w:rPr>
        <w:t xml:space="preserve"> overconsumption caused serious harm to Florida’s oyster fisheries and river ecosystem – Where Supreme Court appointed Special Master to assess Florida’s claim – Where, following initial assessment dismissing Florida’s claim and Florida’s successful appeal to Supreme Court, Special Master issued final report recommending Supreme Court deny Florida relief – Where Special Master concluded Florida failed to prove by clear and convincing evidence that overconsumption caused serious harm – Where Florida filed exceptions – Whether Florida proved Georgia’s overconsumption caused serious harm to Florida’s oyster fisheries or river ecosystem. </w:t>
      </w:r>
    </w:p>
    <w:p w:rsidR="009C4A40" w:rsidRPr="00856E9C" w:rsidRDefault="009C4A40" w:rsidP="006E4A26">
      <w:pPr>
        <w:ind w:left="720"/>
        <w:rPr>
          <w:highlight w:val="yellow"/>
          <w:lang w:eastAsia="en-AU"/>
        </w:rPr>
      </w:pPr>
    </w:p>
    <w:p w:rsidR="006E4A26" w:rsidRDefault="006E4A26" w:rsidP="006E4A26">
      <w:pPr>
        <w:rPr>
          <w:lang w:eastAsia="en-AU"/>
        </w:rPr>
      </w:pPr>
      <w:r w:rsidRPr="002F4F7E">
        <w:rPr>
          <w:b/>
          <w:lang w:eastAsia="en-AU"/>
        </w:rPr>
        <w:t>Held (</w:t>
      </w:r>
      <w:r w:rsidR="00E77F58">
        <w:rPr>
          <w:b/>
          <w:lang w:eastAsia="en-AU"/>
        </w:rPr>
        <w:t>9</w:t>
      </w:r>
      <w:r>
        <w:rPr>
          <w:b/>
          <w:lang w:eastAsia="en-AU"/>
        </w:rPr>
        <w:t>:0</w:t>
      </w:r>
      <w:r w:rsidRPr="002F4F7E">
        <w:rPr>
          <w:b/>
          <w:lang w:eastAsia="en-AU"/>
        </w:rPr>
        <w:t xml:space="preserve">): </w:t>
      </w:r>
      <w:r w:rsidR="00E77F58">
        <w:rPr>
          <w:lang w:eastAsia="en-AU"/>
        </w:rPr>
        <w:t xml:space="preserve">Exceptions </w:t>
      </w:r>
      <w:r w:rsidR="00EB4F31">
        <w:rPr>
          <w:lang w:eastAsia="en-AU"/>
        </w:rPr>
        <w:t>overruled,</w:t>
      </w:r>
      <w:r w:rsidR="00E77F58">
        <w:rPr>
          <w:lang w:eastAsia="en-AU"/>
        </w:rPr>
        <w:t xml:space="preserve"> and case dismissed. </w:t>
      </w:r>
      <w:r>
        <w:rPr>
          <w:lang w:eastAsia="en-AU"/>
        </w:rPr>
        <w:t xml:space="preserve"> </w:t>
      </w:r>
    </w:p>
    <w:p w:rsidR="006E4A26" w:rsidRPr="00181993" w:rsidRDefault="006E4A26" w:rsidP="006E4A26">
      <w:pPr>
        <w:pStyle w:val="BullDivider1"/>
        <w:pBdr>
          <w:bottom w:val="dotted" w:sz="4" w:space="0" w:color="auto"/>
        </w:pBdr>
      </w:pPr>
    </w:p>
    <w:p w:rsidR="006E4A26" w:rsidRPr="00FD4E73" w:rsidRDefault="006E4A26" w:rsidP="006E4A26">
      <w:pPr>
        <w:rPr>
          <w:lang w:eastAsia="en-AU"/>
        </w:rPr>
      </w:pPr>
    </w:p>
    <w:p w:rsidR="00FD4E73" w:rsidRPr="00FD4E73" w:rsidRDefault="00FD4E73" w:rsidP="00FD4E73">
      <w:pPr>
        <w:rPr>
          <w:lang w:eastAsia="en-AU"/>
        </w:rPr>
      </w:pPr>
    </w:p>
    <w:p w:rsidR="00FD4E73" w:rsidRPr="00FD4E73" w:rsidRDefault="00FD4E73" w:rsidP="00FD4E73">
      <w:pPr>
        <w:pStyle w:val="Heading2"/>
        <w:rPr>
          <w:i w:val="0"/>
        </w:rPr>
      </w:pPr>
      <w:r>
        <w:t xml:space="preserve">References re Greenhouse Gas Pollution Pricing Act </w:t>
      </w:r>
    </w:p>
    <w:p w:rsidR="00FD4E73" w:rsidRPr="002F4F7E" w:rsidRDefault="00FD4E73" w:rsidP="00FD4E73">
      <w:pPr>
        <w:rPr>
          <w:lang w:eastAsia="en-AU"/>
        </w:rPr>
      </w:pPr>
      <w:r>
        <w:rPr>
          <w:b/>
          <w:lang w:eastAsia="en-AU"/>
        </w:rPr>
        <w:t>Supreme Court of Canada</w:t>
      </w:r>
      <w:r w:rsidRPr="002F4F7E">
        <w:rPr>
          <w:b/>
          <w:lang w:eastAsia="en-AU"/>
        </w:rPr>
        <w:t xml:space="preserve">: </w:t>
      </w:r>
      <w:hyperlink r:id="rId15" w:history="1">
        <w:r w:rsidRPr="00FD4E73">
          <w:rPr>
            <w:rStyle w:val="Hyperlink"/>
            <w:lang w:eastAsia="en-AU"/>
          </w:rPr>
          <w:t>[2021] SCC 11</w:t>
        </w:r>
      </w:hyperlink>
    </w:p>
    <w:p w:rsidR="00FD4E73" w:rsidRPr="002F4F7E" w:rsidRDefault="00FD4E73" w:rsidP="00FD4E73">
      <w:pPr>
        <w:rPr>
          <w:lang w:eastAsia="en-AU"/>
        </w:rPr>
      </w:pPr>
    </w:p>
    <w:p w:rsidR="00FD4E73" w:rsidRPr="002F4F7E" w:rsidRDefault="00FD4E73" w:rsidP="00FD4E73">
      <w:pPr>
        <w:rPr>
          <w:lang w:eastAsia="en-AU"/>
        </w:rPr>
      </w:pPr>
      <w:r w:rsidRPr="002F4F7E">
        <w:rPr>
          <w:b/>
          <w:lang w:eastAsia="en-AU"/>
        </w:rPr>
        <w:t>Judgment delivered:</w:t>
      </w:r>
      <w:r>
        <w:rPr>
          <w:lang w:eastAsia="en-AU"/>
        </w:rPr>
        <w:t xml:space="preserve"> 25 March 2021</w:t>
      </w:r>
    </w:p>
    <w:p w:rsidR="00FD4E73" w:rsidRPr="002F4F7E" w:rsidRDefault="00FD4E73" w:rsidP="00FD4E73">
      <w:pPr>
        <w:rPr>
          <w:lang w:eastAsia="en-AU"/>
        </w:rPr>
      </w:pPr>
    </w:p>
    <w:p w:rsidR="00FD4E73" w:rsidRPr="002F4F7E" w:rsidRDefault="00FD4E73" w:rsidP="00FD4E73">
      <w:pPr>
        <w:rPr>
          <w:lang w:eastAsia="en-AU"/>
        </w:rPr>
      </w:pPr>
      <w:r w:rsidRPr="002F4F7E">
        <w:rPr>
          <w:b/>
          <w:lang w:eastAsia="en-AU"/>
        </w:rPr>
        <w:t xml:space="preserve">Coram: </w:t>
      </w:r>
      <w:r w:rsidRPr="006F2978">
        <w:rPr>
          <w:lang w:eastAsia="en-AU"/>
        </w:rPr>
        <w:t>Wagner CJ</w:t>
      </w:r>
      <w:r>
        <w:rPr>
          <w:lang w:eastAsia="en-AU"/>
        </w:rPr>
        <w:t>,</w:t>
      </w:r>
      <w:r w:rsidRPr="006F2978">
        <w:rPr>
          <w:lang w:eastAsia="en-AU"/>
        </w:rPr>
        <w:t xml:space="preserve"> Abella, Moldaver, Karakatsanis, Côté, Brown, Rowe, Martin and Kasirer JJ</w:t>
      </w:r>
    </w:p>
    <w:p w:rsidR="00FD4E73" w:rsidRPr="002F4F7E" w:rsidRDefault="00FD4E73" w:rsidP="00FD4E73">
      <w:pPr>
        <w:rPr>
          <w:lang w:eastAsia="en-AU"/>
        </w:rPr>
      </w:pPr>
    </w:p>
    <w:p w:rsidR="00FD4E73" w:rsidRPr="002F4F7E" w:rsidRDefault="00FD4E73" w:rsidP="00FD4E73">
      <w:pPr>
        <w:rPr>
          <w:b/>
          <w:lang w:eastAsia="en-AU"/>
        </w:rPr>
      </w:pPr>
      <w:r>
        <w:rPr>
          <w:b/>
          <w:lang w:eastAsia="en-AU"/>
        </w:rPr>
        <w:t>Catchwords:</w:t>
      </w:r>
    </w:p>
    <w:p w:rsidR="00FD4E73" w:rsidRPr="00856E9C" w:rsidRDefault="00FD4E73" w:rsidP="00FD4E73">
      <w:pPr>
        <w:rPr>
          <w:b/>
          <w:highlight w:val="yellow"/>
          <w:lang w:eastAsia="en-AU"/>
        </w:rPr>
      </w:pPr>
    </w:p>
    <w:p w:rsidR="00FD4E73" w:rsidRDefault="00FD4E73" w:rsidP="00FD4E73">
      <w:pPr>
        <w:ind w:left="720"/>
        <w:rPr>
          <w:lang w:eastAsia="en-AU"/>
        </w:rPr>
      </w:pPr>
      <w:r w:rsidRPr="00FD4E73">
        <w:rPr>
          <w:lang w:eastAsia="en-AU"/>
        </w:rPr>
        <w:t xml:space="preserve">Constitutional law — Division of powers — Greenhouse gas emissions — </w:t>
      </w:r>
      <w:r>
        <w:rPr>
          <w:lang w:eastAsia="en-AU"/>
        </w:rPr>
        <w:t xml:space="preserve">Where </w:t>
      </w:r>
      <w:r w:rsidRPr="00FD4E73">
        <w:rPr>
          <w:lang w:eastAsia="en-AU"/>
        </w:rPr>
        <w:t xml:space="preserve">Federal legislation set minimum national standards of greenhouse gas pricing — Whether greenhouse gas pricing is matter of national concern falling within Parliament’s power to legislate in respect of peace, order and good government of Canada — </w:t>
      </w:r>
      <w:r w:rsidRPr="00FD4E73">
        <w:rPr>
          <w:i/>
          <w:lang w:eastAsia="en-AU"/>
        </w:rPr>
        <w:t>Constitution Act</w:t>
      </w:r>
      <w:r w:rsidRPr="00FD4E73">
        <w:rPr>
          <w:lang w:eastAsia="en-AU"/>
        </w:rPr>
        <w:t xml:space="preserve">, 1867, s. 91  “preamble” — </w:t>
      </w:r>
      <w:r w:rsidRPr="00FD4E73">
        <w:rPr>
          <w:i/>
          <w:lang w:eastAsia="en-AU"/>
        </w:rPr>
        <w:t>Greenhouse Gas Pollution Pricing Act,</w:t>
      </w:r>
      <w:r w:rsidRPr="00FD4E73">
        <w:rPr>
          <w:lang w:eastAsia="en-AU"/>
        </w:rPr>
        <w:t xml:space="preserve"> S.C. 2018, c. 12, s. 186.</w:t>
      </w:r>
    </w:p>
    <w:p w:rsidR="00FD4E73" w:rsidRPr="00856E9C" w:rsidRDefault="00FD4E73" w:rsidP="00FD4E73">
      <w:pPr>
        <w:ind w:left="720"/>
        <w:rPr>
          <w:highlight w:val="yellow"/>
          <w:lang w:eastAsia="en-AU"/>
        </w:rPr>
      </w:pPr>
    </w:p>
    <w:p w:rsidR="009A5DC8" w:rsidRPr="00FD4E73" w:rsidRDefault="00FD4E73" w:rsidP="009A5DC8">
      <w:pPr>
        <w:pStyle w:val="BullDivider1"/>
        <w:pBdr>
          <w:bottom w:val="dotted" w:sz="4" w:space="18" w:color="auto"/>
        </w:pBdr>
      </w:pPr>
      <w:r w:rsidRPr="002F4F7E">
        <w:rPr>
          <w:b/>
        </w:rPr>
        <w:t>Held (</w:t>
      </w:r>
      <w:r>
        <w:rPr>
          <w:b/>
        </w:rPr>
        <w:t>6:3</w:t>
      </w:r>
      <w:r w:rsidRPr="002F4F7E">
        <w:rPr>
          <w:b/>
        </w:rPr>
        <w:t xml:space="preserve">): </w:t>
      </w:r>
      <w:r>
        <w:t xml:space="preserve">Reference questions answered. </w:t>
      </w:r>
    </w:p>
    <w:p w:rsidR="009A5DC8" w:rsidRDefault="009A5DC8" w:rsidP="009A5DC8"/>
    <w:p w:rsidR="009A5DC8" w:rsidRPr="00FD4E73" w:rsidRDefault="009A5DC8" w:rsidP="009A5DC8">
      <w:pPr>
        <w:pStyle w:val="Heading2"/>
        <w:rPr>
          <w:i w:val="0"/>
        </w:rPr>
      </w:pPr>
      <w:r>
        <w:t>Ford Motor Co v Montana Eighth Judicial District Court and Ors</w:t>
      </w:r>
      <w:r w:rsidR="00D13FEC">
        <w:t>; Ford Motor Co v Bandemer</w:t>
      </w:r>
    </w:p>
    <w:p w:rsidR="009A5DC8" w:rsidRPr="002F4F7E" w:rsidRDefault="009A5DC8" w:rsidP="009A5DC8">
      <w:pPr>
        <w:rPr>
          <w:lang w:eastAsia="en-AU"/>
        </w:rPr>
      </w:pPr>
      <w:r>
        <w:rPr>
          <w:b/>
          <w:lang w:eastAsia="en-AU"/>
        </w:rPr>
        <w:t>Supreme Court of the United States</w:t>
      </w:r>
      <w:r w:rsidRPr="002F4F7E">
        <w:rPr>
          <w:b/>
          <w:lang w:eastAsia="en-AU"/>
        </w:rPr>
        <w:t xml:space="preserve">: </w:t>
      </w:r>
      <w:hyperlink r:id="rId16" w:history="1">
        <w:r w:rsidRPr="00F110BA">
          <w:rPr>
            <w:rStyle w:val="Hyperlink"/>
            <w:lang w:eastAsia="en-AU"/>
          </w:rPr>
          <w:t>Docket No 19-</w:t>
        </w:r>
        <w:r>
          <w:rPr>
            <w:rStyle w:val="Hyperlink"/>
            <w:lang w:eastAsia="en-AU"/>
          </w:rPr>
          <w:t>368</w:t>
        </w:r>
      </w:hyperlink>
    </w:p>
    <w:p w:rsidR="009A5DC8" w:rsidRPr="002F4F7E" w:rsidRDefault="009A5DC8" w:rsidP="009A5DC8">
      <w:pPr>
        <w:rPr>
          <w:lang w:eastAsia="en-AU"/>
        </w:rPr>
      </w:pPr>
    </w:p>
    <w:p w:rsidR="009A5DC8" w:rsidRPr="002F4F7E" w:rsidRDefault="009A5DC8" w:rsidP="009A5DC8">
      <w:pPr>
        <w:rPr>
          <w:lang w:eastAsia="en-AU"/>
        </w:rPr>
      </w:pPr>
      <w:r w:rsidRPr="002F4F7E">
        <w:rPr>
          <w:b/>
          <w:lang w:eastAsia="en-AU"/>
        </w:rPr>
        <w:t>Judgment delivered:</w:t>
      </w:r>
      <w:r>
        <w:rPr>
          <w:lang w:eastAsia="en-AU"/>
        </w:rPr>
        <w:t xml:space="preserve"> 25 March 2021</w:t>
      </w:r>
    </w:p>
    <w:p w:rsidR="009A5DC8" w:rsidRPr="002F4F7E" w:rsidRDefault="009A5DC8" w:rsidP="009A5DC8">
      <w:pPr>
        <w:rPr>
          <w:lang w:eastAsia="en-AU"/>
        </w:rPr>
      </w:pPr>
    </w:p>
    <w:p w:rsidR="009A5DC8" w:rsidRPr="002F4F7E" w:rsidRDefault="009A5DC8" w:rsidP="009A5DC8">
      <w:pPr>
        <w:rPr>
          <w:lang w:eastAsia="en-AU"/>
        </w:rPr>
      </w:pPr>
      <w:r w:rsidRPr="002F4F7E">
        <w:rPr>
          <w:b/>
          <w:lang w:eastAsia="en-AU"/>
        </w:rPr>
        <w:t xml:space="preserve">Coram: </w:t>
      </w:r>
      <w:r>
        <w:rPr>
          <w:lang w:eastAsia="en-AU"/>
        </w:rPr>
        <w:t>Roberts CJ, Thomas, Breyer, Alito, Sotomayor, Kagan, Gorsuch and Kavanaugh JJ</w:t>
      </w:r>
    </w:p>
    <w:p w:rsidR="009A5DC8" w:rsidRPr="002F4F7E" w:rsidRDefault="009A5DC8" w:rsidP="009A5DC8">
      <w:pPr>
        <w:rPr>
          <w:lang w:eastAsia="en-AU"/>
        </w:rPr>
      </w:pPr>
    </w:p>
    <w:p w:rsidR="009A5DC8" w:rsidRPr="002F4F7E" w:rsidRDefault="009A5DC8" w:rsidP="009A5DC8">
      <w:pPr>
        <w:rPr>
          <w:b/>
          <w:lang w:eastAsia="en-AU"/>
        </w:rPr>
      </w:pPr>
      <w:r>
        <w:rPr>
          <w:b/>
          <w:lang w:eastAsia="en-AU"/>
        </w:rPr>
        <w:t>Catchwords:</w:t>
      </w:r>
    </w:p>
    <w:p w:rsidR="009A5DC8" w:rsidRPr="00856E9C" w:rsidRDefault="009A5DC8" w:rsidP="009A5DC8">
      <w:pPr>
        <w:rPr>
          <w:b/>
          <w:highlight w:val="yellow"/>
          <w:lang w:eastAsia="en-AU"/>
        </w:rPr>
      </w:pPr>
    </w:p>
    <w:p w:rsidR="009A5DC8" w:rsidRDefault="009A5DC8" w:rsidP="009A5DC8">
      <w:pPr>
        <w:ind w:left="720"/>
        <w:rPr>
          <w:lang w:eastAsia="en-AU"/>
        </w:rPr>
      </w:pPr>
      <w:r>
        <w:rPr>
          <w:lang w:eastAsia="en-AU"/>
        </w:rPr>
        <w:t xml:space="preserve">Constitutional law – Fourteenth Amendment – Due Process clause – Jurisdiction of state courts – </w:t>
      </w:r>
      <w:r w:rsidR="004519DE">
        <w:rPr>
          <w:lang w:eastAsia="en-AU"/>
        </w:rPr>
        <w:t>Where Due Process clause restricts jurisdiction of state courts to claims “</w:t>
      </w:r>
      <w:r w:rsidR="004519DE" w:rsidRPr="004519DE">
        <w:rPr>
          <w:lang w:eastAsia="en-AU"/>
        </w:rPr>
        <w:t>aris</w:t>
      </w:r>
      <w:r w:rsidR="004519DE">
        <w:rPr>
          <w:lang w:eastAsia="en-AU"/>
        </w:rPr>
        <w:t>ing</w:t>
      </w:r>
      <w:r w:rsidR="004519DE" w:rsidRPr="004519DE">
        <w:rPr>
          <w:lang w:eastAsia="en-AU"/>
        </w:rPr>
        <w:t xml:space="preserve"> out of or relat</w:t>
      </w:r>
      <w:r w:rsidR="004519DE">
        <w:rPr>
          <w:lang w:eastAsia="en-AU"/>
        </w:rPr>
        <w:t>ing</w:t>
      </w:r>
      <w:r w:rsidR="004519DE" w:rsidRPr="004519DE">
        <w:rPr>
          <w:lang w:eastAsia="en-AU"/>
        </w:rPr>
        <w:t xml:space="preserve"> to</w:t>
      </w:r>
      <w:r w:rsidR="004519DE">
        <w:rPr>
          <w:lang w:eastAsia="en-AU"/>
        </w:rPr>
        <w:t xml:space="preserve">” non-resident person’s activities in state – </w:t>
      </w:r>
      <w:r>
        <w:rPr>
          <w:lang w:eastAsia="en-AU"/>
        </w:rPr>
        <w:t xml:space="preserve">Where petitioner manufacturer and seller of cars </w:t>
      </w:r>
      <w:r w:rsidR="004519DE">
        <w:rPr>
          <w:lang w:eastAsia="en-AU"/>
        </w:rPr>
        <w:t xml:space="preserve">incorporated in Delaware and headquartered in Michigan </w:t>
      </w:r>
      <w:r>
        <w:rPr>
          <w:lang w:eastAsia="en-AU"/>
        </w:rPr>
        <w:t>– Where</w:t>
      </w:r>
      <w:r w:rsidR="00D13FEC">
        <w:rPr>
          <w:lang w:eastAsia="en-AU"/>
        </w:rPr>
        <w:t xml:space="preserve"> petitioner encourage</w:t>
      </w:r>
      <w:r w:rsidR="00640919">
        <w:rPr>
          <w:lang w:eastAsia="en-AU"/>
        </w:rPr>
        <w:t>d</w:t>
      </w:r>
      <w:r w:rsidR="00D13FEC">
        <w:rPr>
          <w:lang w:eastAsia="en-AU"/>
        </w:rPr>
        <w:t xml:space="preserve"> resale market for its vehicles – Where, in first case, plaintiff alleged Ford car malfunctioned, resulting in death to person in Montana – Where, in second case, plaintiff claimed for injuries caused by collision with defective Ford car on Minnesota road – Where plaintiffs sued petitioner in product liability suit in Montana and Minnesota courts, respectively – </w:t>
      </w:r>
      <w:r w:rsidR="004519DE">
        <w:rPr>
          <w:lang w:eastAsia="en-AU"/>
        </w:rPr>
        <w:t xml:space="preserve">Where cars were only brought into relevant State following multiple resales and relocations – </w:t>
      </w:r>
      <w:r w:rsidR="00D13FEC">
        <w:rPr>
          <w:lang w:eastAsia="en-AU"/>
        </w:rPr>
        <w:t xml:space="preserve">Where Ford moved to dismiss both suits for lack of personal jurisdiction, because cars were not manufactured or sold in relevant State </w:t>
      </w:r>
      <w:r w:rsidR="004519DE">
        <w:rPr>
          <w:lang w:eastAsia="en-AU"/>
        </w:rPr>
        <w:t>–</w:t>
      </w:r>
      <w:r w:rsidR="003A290B">
        <w:rPr>
          <w:lang w:eastAsia="en-AU"/>
        </w:rPr>
        <w:t xml:space="preserve"> </w:t>
      </w:r>
      <w:r w:rsidR="004519DE">
        <w:rPr>
          <w:lang w:eastAsia="en-AU"/>
        </w:rPr>
        <w:t xml:space="preserve">Where Montana and Minnesota Supreme Courts rejected petitioner’s argument – Whether plaintiff’s </w:t>
      </w:r>
      <w:r w:rsidR="004519DE">
        <w:rPr>
          <w:lang w:eastAsia="en-AU"/>
        </w:rPr>
        <w:lastRenderedPageBreak/>
        <w:t>claims “</w:t>
      </w:r>
      <w:r w:rsidR="004519DE" w:rsidRPr="004519DE">
        <w:rPr>
          <w:lang w:eastAsia="en-AU"/>
        </w:rPr>
        <w:t>arise out of or relate to</w:t>
      </w:r>
      <w:r w:rsidR="004519DE">
        <w:rPr>
          <w:lang w:eastAsia="en-AU"/>
        </w:rPr>
        <w:t xml:space="preserve">” petitioner’s activities in Montana or Minnesota. </w:t>
      </w:r>
    </w:p>
    <w:p w:rsidR="009A5DC8" w:rsidRPr="00856E9C" w:rsidRDefault="009A5DC8" w:rsidP="009A5DC8">
      <w:pPr>
        <w:ind w:left="720"/>
        <w:rPr>
          <w:highlight w:val="yellow"/>
          <w:lang w:eastAsia="en-AU"/>
        </w:rPr>
      </w:pPr>
    </w:p>
    <w:p w:rsidR="00F8765D" w:rsidRDefault="009A5DC8" w:rsidP="009A5DC8">
      <w:pPr>
        <w:rPr>
          <w:lang w:eastAsia="en-AU"/>
        </w:rPr>
      </w:pPr>
      <w:r w:rsidRPr="002F4F7E">
        <w:rPr>
          <w:b/>
          <w:lang w:eastAsia="en-AU"/>
        </w:rPr>
        <w:t>Held (</w:t>
      </w:r>
      <w:r w:rsidR="004519DE">
        <w:rPr>
          <w:b/>
          <w:lang w:eastAsia="en-AU"/>
        </w:rPr>
        <w:t>8</w:t>
      </w:r>
      <w:r>
        <w:rPr>
          <w:b/>
          <w:lang w:eastAsia="en-AU"/>
        </w:rPr>
        <w:t>:</w:t>
      </w:r>
      <w:r w:rsidR="004519DE">
        <w:rPr>
          <w:b/>
          <w:lang w:eastAsia="en-AU"/>
        </w:rPr>
        <w:t>0</w:t>
      </w:r>
      <w:r w:rsidRPr="002F4F7E">
        <w:rPr>
          <w:b/>
          <w:lang w:eastAsia="en-AU"/>
        </w:rPr>
        <w:t xml:space="preserve">): </w:t>
      </w:r>
      <w:r w:rsidR="006E4A26">
        <w:rPr>
          <w:lang w:eastAsia="en-AU"/>
        </w:rPr>
        <w:t>A</w:t>
      </w:r>
      <w:r w:rsidR="004519DE">
        <w:rPr>
          <w:lang w:eastAsia="en-AU"/>
        </w:rPr>
        <w:t>ffirmed</w:t>
      </w:r>
      <w:r w:rsidR="006E4A26">
        <w:rPr>
          <w:lang w:eastAsia="en-AU"/>
        </w:rPr>
        <w:t xml:space="preserve">. </w:t>
      </w:r>
    </w:p>
    <w:p w:rsidR="00F8765D" w:rsidRPr="00181993" w:rsidRDefault="00F8765D" w:rsidP="00F8765D">
      <w:pPr>
        <w:pStyle w:val="BullDivider1"/>
        <w:pBdr>
          <w:bottom w:val="dotted" w:sz="4" w:space="0" w:color="auto"/>
        </w:pBdr>
      </w:pPr>
    </w:p>
    <w:p w:rsidR="00F8765D" w:rsidRPr="00FD4E73" w:rsidRDefault="00F8765D" w:rsidP="00F8765D">
      <w:pPr>
        <w:rPr>
          <w:lang w:eastAsia="en-AU"/>
        </w:rPr>
      </w:pPr>
    </w:p>
    <w:p w:rsidR="00F8765D" w:rsidRPr="00FD4E73" w:rsidRDefault="008D5B9C" w:rsidP="00F8765D">
      <w:pPr>
        <w:pStyle w:val="Heading2"/>
        <w:rPr>
          <w:i w:val="0"/>
        </w:rPr>
      </w:pPr>
      <w:r>
        <w:t>Torres v Madrid and Anor</w:t>
      </w:r>
      <w:r w:rsidR="00F8765D">
        <w:t xml:space="preserve"> </w:t>
      </w:r>
    </w:p>
    <w:p w:rsidR="00F8765D" w:rsidRPr="002F4F7E" w:rsidRDefault="00F8765D" w:rsidP="00F8765D">
      <w:pPr>
        <w:rPr>
          <w:lang w:eastAsia="en-AU"/>
        </w:rPr>
      </w:pPr>
      <w:r>
        <w:rPr>
          <w:b/>
          <w:lang w:eastAsia="en-AU"/>
        </w:rPr>
        <w:t>Supreme Court of the United States</w:t>
      </w:r>
      <w:r w:rsidRPr="002F4F7E">
        <w:rPr>
          <w:b/>
          <w:lang w:eastAsia="en-AU"/>
        </w:rPr>
        <w:t xml:space="preserve">: </w:t>
      </w:r>
      <w:hyperlink r:id="rId17" w:history="1">
        <w:r w:rsidRPr="00F110BA">
          <w:rPr>
            <w:rStyle w:val="Hyperlink"/>
            <w:lang w:eastAsia="en-AU"/>
          </w:rPr>
          <w:t>Docket No 19-</w:t>
        </w:r>
        <w:r w:rsidR="008D5B9C">
          <w:rPr>
            <w:rStyle w:val="Hyperlink"/>
            <w:lang w:eastAsia="en-AU"/>
          </w:rPr>
          <w:t>292</w:t>
        </w:r>
      </w:hyperlink>
    </w:p>
    <w:p w:rsidR="00F8765D" w:rsidRPr="002F4F7E" w:rsidRDefault="00F8765D" w:rsidP="00F8765D">
      <w:pPr>
        <w:rPr>
          <w:lang w:eastAsia="en-AU"/>
        </w:rPr>
      </w:pPr>
    </w:p>
    <w:p w:rsidR="00F8765D" w:rsidRPr="002F4F7E" w:rsidRDefault="00F8765D" w:rsidP="00F8765D">
      <w:pPr>
        <w:rPr>
          <w:lang w:eastAsia="en-AU"/>
        </w:rPr>
      </w:pPr>
      <w:r w:rsidRPr="002F4F7E">
        <w:rPr>
          <w:b/>
          <w:lang w:eastAsia="en-AU"/>
        </w:rPr>
        <w:t>Judgment delivered:</w:t>
      </w:r>
      <w:r>
        <w:rPr>
          <w:lang w:eastAsia="en-AU"/>
        </w:rPr>
        <w:t xml:space="preserve"> </w:t>
      </w:r>
      <w:r w:rsidR="008D5B9C">
        <w:rPr>
          <w:lang w:eastAsia="en-AU"/>
        </w:rPr>
        <w:t>25</w:t>
      </w:r>
      <w:r>
        <w:rPr>
          <w:lang w:eastAsia="en-AU"/>
        </w:rPr>
        <w:t xml:space="preserve"> March 2021</w:t>
      </w:r>
    </w:p>
    <w:p w:rsidR="00F8765D" w:rsidRPr="002F4F7E" w:rsidRDefault="00F8765D" w:rsidP="00F8765D">
      <w:pPr>
        <w:rPr>
          <w:lang w:eastAsia="en-AU"/>
        </w:rPr>
      </w:pPr>
    </w:p>
    <w:p w:rsidR="00F8765D" w:rsidRPr="002F4F7E" w:rsidRDefault="00F8765D" w:rsidP="00F8765D">
      <w:pPr>
        <w:rPr>
          <w:lang w:eastAsia="en-AU"/>
        </w:rPr>
      </w:pPr>
      <w:r w:rsidRPr="002F4F7E">
        <w:rPr>
          <w:b/>
          <w:lang w:eastAsia="en-AU"/>
        </w:rPr>
        <w:t xml:space="preserve">Coram: </w:t>
      </w:r>
      <w:r>
        <w:rPr>
          <w:lang w:eastAsia="en-AU"/>
        </w:rPr>
        <w:t xml:space="preserve">Roberts CJ, Thomas, Breyer, Alito, Sotomayor, Kagan, Gorsuch </w:t>
      </w:r>
      <w:r w:rsidR="008D5B9C">
        <w:rPr>
          <w:lang w:eastAsia="en-AU"/>
        </w:rPr>
        <w:t xml:space="preserve">and </w:t>
      </w:r>
      <w:r>
        <w:rPr>
          <w:lang w:eastAsia="en-AU"/>
        </w:rPr>
        <w:t>Kavanaugh JJ</w:t>
      </w:r>
    </w:p>
    <w:p w:rsidR="00F8765D" w:rsidRPr="002F4F7E" w:rsidRDefault="00F8765D" w:rsidP="00F8765D">
      <w:pPr>
        <w:rPr>
          <w:lang w:eastAsia="en-AU"/>
        </w:rPr>
      </w:pPr>
    </w:p>
    <w:p w:rsidR="00F8765D" w:rsidRPr="002F4F7E" w:rsidRDefault="00F8765D" w:rsidP="00F8765D">
      <w:pPr>
        <w:rPr>
          <w:b/>
          <w:lang w:eastAsia="en-AU"/>
        </w:rPr>
      </w:pPr>
      <w:r>
        <w:rPr>
          <w:b/>
          <w:lang w:eastAsia="en-AU"/>
        </w:rPr>
        <w:t>Catchwords:</w:t>
      </w:r>
    </w:p>
    <w:p w:rsidR="00F8765D" w:rsidRPr="00856E9C" w:rsidRDefault="00F8765D" w:rsidP="00F8765D">
      <w:pPr>
        <w:rPr>
          <w:b/>
          <w:highlight w:val="yellow"/>
          <w:lang w:eastAsia="en-AU"/>
        </w:rPr>
      </w:pPr>
    </w:p>
    <w:p w:rsidR="008D5B9C" w:rsidRDefault="008D5B9C" w:rsidP="00F8765D">
      <w:pPr>
        <w:ind w:left="720"/>
        <w:rPr>
          <w:lang w:eastAsia="en-AU"/>
        </w:rPr>
      </w:pPr>
      <w:r>
        <w:rPr>
          <w:lang w:eastAsia="en-AU"/>
        </w:rPr>
        <w:t>Constitutional law – Fourth Amendment – Right against unreasonable search and seizure – Where respondents police officers arrived at apartment to execute arrest warrant – Where petitioner not subject of arrest warrant – Where respondents attempt</w:t>
      </w:r>
      <w:r w:rsidR="00640919">
        <w:rPr>
          <w:lang w:eastAsia="en-AU"/>
        </w:rPr>
        <w:t>ed</w:t>
      </w:r>
      <w:r>
        <w:rPr>
          <w:lang w:eastAsia="en-AU"/>
        </w:rPr>
        <w:t xml:space="preserve"> to speak to petitioner but, believing they were carjackers, attempted to escape by driving off – Where respondents shot at petitioner to stop her and struck her twice – Where petitioner managed to escape and drove to hospital – Where police arrested her at hospital next day – Where petitioner claimed shooting constituted excessive force and unreasonable seizure under Fourth Amendment – Where District Court held, and Tenth Circuit affirmed, petitioner’s continued flight after being shot at negate</w:t>
      </w:r>
      <w:r w:rsidR="00640919">
        <w:rPr>
          <w:lang w:eastAsia="en-AU"/>
        </w:rPr>
        <w:t>d</w:t>
      </w:r>
      <w:r>
        <w:rPr>
          <w:lang w:eastAsia="en-AU"/>
        </w:rPr>
        <w:t xml:space="preserve"> Fourth Amendment claim – Whether application of physical force to body of person with intent to restrain seizure, even if person does not submit. </w:t>
      </w:r>
    </w:p>
    <w:p w:rsidR="00F8765D" w:rsidRPr="00856E9C" w:rsidRDefault="00F8765D" w:rsidP="00F8765D">
      <w:pPr>
        <w:ind w:left="720"/>
        <w:rPr>
          <w:highlight w:val="yellow"/>
          <w:lang w:eastAsia="en-AU"/>
        </w:rPr>
      </w:pPr>
    </w:p>
    <w:p w:rsidR="00F8765D" w:rsidRPr="000D3E8D" w:rsidRDefault="00F8765D" w:rsidP="00FD4E73">
      <w:pPr>
        <w:rPr>
          <w:lang w:eastAsia="en-AU"/>
        </w:rPr>
      </w:pPr>
      <w:r w:rsidRPr="002F4F7E">
        <w:rPr>
          <w:b/>
          <w:lang w:eastAsia="en-AU"/>
        </w:rPr>
        <w:t>Held (</w:t>
      </w:r>
      <w:r w:rsidR="008D5B9C">
        <w:rPr>
          <w:b/>
          <w:lang w:eastAsia="en-AU"/>
        </w:rPr>
        <w:t>5</w:t>
      </w:r>
      <w:r>
        <w:rPr>
          <w:b/>
          <w:lang w:eastAsia="en-AU"/>
        </w:rPr>
        <w:t>:</w:t>
      </w:r>
      <w:r w:rsidR="008D5B9C">
        <w:rPr>
          <w:b/>
          <w:lang w:eastAsia="en-AU"/>
        </w:rPr>
        <w:t>3</w:t>
      </w:r>
      <w:r w:rsidRPr="002F4F7E">
        <w:rPr>
          <w:b/>
          <w:lang w:eastAsia="en-AU"/>
        </w:rPr>
        <w:t xml:space="preserve">): </w:t>
      </w:r>
      <w:r w:rsidR="006E4A26">
        <w:rPr>
          <w:lang w:eastAsia="en-AU"/>
        </w:rPr>
        <w:t xml:space="preserve">Vacated and remanded. </w:t>
      </w:r>
      <w:r>
        <w:rPr>
          <w:lang w:eastAsia="en-AU"/>
        </w:rPr>
        <w:t xml:space="preserve"> </w:t>
      </w:r>
    </w:p>
    <w:p w:rsidR="00F66815" w:rsidRPr="00B546B2" w:rsidRDefault="00F66815" w:rsidP="00F66815">
      <w:pPr>
        <w:pStyle w:val="BullDivider2"/>
        <w:rPr>
          <w:rFonts w:cs="Arial"/>
          <w:highlight w:val="yellow"/>
        </w:rPr>
      </w:pPr>
    </w:p>
    <w:p w:rsidR="00F66815" w:rsidRPr="00B546B2" w:rsidRDefault="00F66815" w:rsidP="00F66815">
      <w:pPr>
        <w:rPr>
          <w:highlight w:val="yellow"/>
          <w:lang w:eastAsia="en-AU"/>
        </w:rPr>
      </w:pPr>
    </w:p>
    <w:p w:rsidR="00F66815" w:rsidRDefault="00F66815" w:rsidP="00F66815">
      <w:pPr>
        <w:pStyle w:val="Heading1"/>
      </w:pPr>
      <w:r>
        <w:t>Consumer Law</w:t>
      </w:r>
    </w:p>
    <w:p w:rsidR="00A72ED1" w:rsidRDefault="00A72ED1" w:rsidP="00A72ED1"/>
    <w:p w:rsidR="00A72ED1" w:rsidRPr="00FD4E73" w:rsidRDefault="00BD3C95" w:rsidP="00A72ED1">
      <w:pPr>
        <w:pStyle w:val="Heading2"/>
        <w:rPr>
          <w:i w:val="0"/>
        </w:rPr>
      </w:pPr>
      <w:r>
        <w:t>AMG Capital Management LLC and Ors v Federal Trade Commission</w:t>
      </w:r>
    </w:p>
    <w:p w:rsidR="00A72ED1" w:rsidRPr="002F4F7E" w:rsidRDefault="00A72ED1" w:rsidP="00A72ED1">
      <w:pPr>
        <w:rPr>
          <w:lang w:eastAsia="en-AU"/>
        </w:rPr>
      </w:pPr>
      <w:r>
        <w:rPr>
          <w:b/>
          <w:lang w:eastAsia="en-AU"/>
        </w:rPr>
        <w:t>Supreme Court of the United States</w:t>
      </w:r>
      <w:r w:rsidRPr="002F4F7E">
        <w:rPr>
          <w:b/>
          <w:lang w:eastAsia="en-AU"/>
        </w:rPr>
        <w:t xml:space="preserve">: </w:t>
      </w:r>
      <w:hyperlink r:id="rId18" w:history="1">
        <w:r w:rsidRPr="00F110BA">
          <w:rPr>
            <w:rStyle w:val="Hyperlink"/>
            <w:lang w:eastAsia="en-AU"/>
          </w:rPr>
          <w:t>Docket No 19-</w:t>
        </w:r>
        <w:r w:rsidR="00BD3C95">
          <w:rPr>
            <w:rStyle w:val="Hyperlink"/>
            <w:lang w:eastAsia="en-AU"/>
          </w:rPr>
          <w:t>508</w:t>
        </w:r>
      </w:hyperlink>
    </w:p>
    <w:p w:rsidR="00A72ED1" w:rsidRPr="002F4F7E" w:rsidRDefault="00A72ED1" w:rsidP="00A72ED1">
      <w:pPr>
        <w:rPr>
          <w:lang w:eastAsia="en-AU"/>
        </w:rPr>
      </w:pPr>
    </w:p>
    <w:p w:rsidR="00A72ED1" w:rsidRPr="002F4F7E" w:rsidRDefault="00A72ED1" w:rsidP="00A72ED1">
      <w:pPr>
        <w:rPr>
          <w:lang w:eastAsia="en-AU"/>
        </w:rPr>
      </w:pPr>
      <w:r w:rsidRPr="002F4F7E">
        <w:rPr>
          <w:b/>
          <w:lang w:eastAsia="en-AU"/>
        </w:rPr>
        <w:t>Judgment delivered:</w:t>
      </w:r>
      <w:r>
        <w:rPr>
          <w:lang w:eastAsia="en-AU"/>
        </w:rPr>
        <w:t xml:space="preserve"> </w:t>
      </w:r>
      <w:r w:rsidR="00B9015D">
        <w:rPr>
          <w:lang w:eastAsia="en-AU"/>
        </w:rPr>
        <w:t>22 April</w:t>
      </w:r>
      <w:r>
        <w:rPr>
          <w:lang w:eastAsia="en-AU"/>
        </w:rPr>
        <w:t xml:space="preserve"> 2021</w:t>
      </w:r>
    </w:p>
    <w:p w:rsidR="00A72ED1" w:rsidRPr="002F4F7E" w:rsidRDefault="00A72ED1" w:rsidP="00A72ED1">
      <w:pPr>
        <w:rPr>
          <w:lang w:eastAsia="en-AU"/>
        </w:rPr>
      </w:pPr>
    </w:p>
    <w:p w:rsidR="00A72ED1" w:rsidRPr="002F4F7E" w:rsidRDefault="00A72ED1" w:rsidP="00A72ED1">
      <w:pPr>
        <w:rPr>
          <w:lang w:eastAsia="en-AU"/>
        </w:rPr>
      </w:pPr>
      <w:r w:rsidRPr="002F4F7E">
        <w:rPr>
          <w:b/>
          <w:lang w:eastAsia="en-AU"/>
        </w:rPr>
        <w:t xml:space="preserve">Coram: </w:t>
      </w:r>
      <w:r>
        <w:rPr>
          <w:lang w:eastAsia="en-AU"/>
        </w:rPr>
        <w:t>Roberts CJ, Thomas, Breyer, Alito, Sotomayor, Kagan, Gorsuch, Kavanaugh and Barrett JJ</w:t>
      </w:r>
    </w:p>
    <w:p w:rsidR="00A72ED1" w:rsidRPr="002F4F7E" w:rsidRDefault="00A72ED1" w:rsidP="00A72ED1">
      <w:pPr>
        <w:rPr>
          <w:lang w:eastAsia="en-AU"/>
        </w:rPr>
      </w:pPr>
    </w:p>
    <w:p w:rsidR="00A72ED1" w:rsidRPr="002F4F7E" w:rsidRDefault="00A72ED1" w:rsidP="00A72ED1">
      <w:pPr>
        <w:rPr>
          <w:b/>
          <w:lang w:eastAsia="en-AU"/>
        </w:rPr>
      </w:pPr>
      <w:r>
        <w:rPr>
          <w:b/>
          <w:lang w:eastAsia="en-AU"/>
        </w:rPr>
        <w:t>Catchwords:</w:t>
      </w:r>
    </w:p>
    <w:p w:rsidR="00A72ED1" w:rsidRPr="00856E9C" w:rsidRDefault="00A72ED1" w:rsidP="00A72ED1">
      <w:pPr>
        <w:rPr>
          <w:b/>
          <w:highlight w:val="yellow"/>
          <w:lang w:eastAsia="en-AU"/>
        </w:rPr>
      </w:pPr>
    </w:p>
    <w:p w:rsidR="00A72ED1" w:rsidRPr="00BD3C95" w:rsidRDefault="00BD3C95" w:rsidP="00A72ED1">
      <w:pPr>
        <w:ind w:left="720"/>
        <w:rPr>
          <w:lang w:eastAsia="en-AU"/>
        </w:rPr>
      </w:pPr>
      <w:r>
        <w:rPr>
          <w:lang w:eastAsia="en-AU"/>
        </w:rPr>
        <w:t xml:space="preserve">Consumer law – Deceptive conduct – Equitable remedies – Where respondent filed complaint against petitioners alleging deceptive payday lending practices in violation of </w:t>
      </w:r>
      <w:r w:rsidRPr="00BD3C95">
        <w:rPr>
          <w:lang w:eastAsia="en-AU"/>
        </w:rPr>
        <w:t xml:space="preserve">§5(a) of </w:t>
      </w:r>
      <w:r w:rsidRPr="00BD3C95">
        <w:rPr>
          <w:i/>
          <w:lang w:eastAsia="en-AU"/>
        </w:rPr>
        <w:t>Federal Trade Commission Act</w:t>
      </w:r>
      <w:r>
        <w:rPr>
          <w:lang w:eastAsia="en-AU"/>
        </w:rPr>
        <w:t xml:space="preserve"> – Where </w:t>
      </w:r>
      <w:r w:rsidRPr="00BD3C95">
        <w:rPr>
          <w:lang w:eastAsia="en-AU"/>
        </w:rPr>
        <w:t>§13(b)</w:t>
      </w:r>
      <w:r>
        <w:rPr>
          <w:lang w:eastAsia="en-AU"/>
        </w:rPr>
        <w:t xml:space="preserve"> of Act authorise</w:t>
      </w:r>
      <w:r w:rsidR="00640919">
        <w:rPr>
          <w:lang w:eastAsia="en-AU"/>
        </w:rPr>
        <w:t>d</w:t>
      </w:r>
      <w:r>
        <w:rPr>
          <w:lang w:eastAsia="en-AU"/>
        </w:rPr>
        <w:t xml:space="preserve"> respondent to seek permanent injunction – Where District Court granted respondent’s request for permanent </w:t>
      </w:r>
      <w:r>
        <w:rPr>
          <w:lang w:eastAsia="en-AU"/>
        </w:rPr>
        <w:lastRenderedPageBreak/>
        <w:t xml:space="preserve">injunction pursuant to </w:t>
      </w:r>
      <w:r w:rsidRPr="00BD3C95">
        <w:rPr>
          <w:lang w:eastAsia="en-AU"/>
        </w:rPr>
        <w:t xml:space="preserve">§13(b) of Act </w:t>
      </w:r>
      <w:r>
        <w:rPr>
          <w:lang w:eastAsia="en-AU"/>
        </w:rPr>
        <w:t xml:space="preserve">and ordered petitioners to pay $1.27 billion in restitution and disgorgement on same authority – Where petitioners’ appeal to Ninth Circuit failed – Whether </w:t>
      </w:r>
      <w:r w:rsidRPr="00BD3C95">
        <w:rPr>
          <w:lang w:eastAsia="en-AU"/>
        </w:rPr>
        <w:t xml:space="preserve">§13(b) </w:t>
      </w:r>
      <w:r>
        <w:rPr>
          <w:lang w:eastAsia="en-AU"/>
        </w:rPr>
        <w:t>authorise</w:t>
      </w:r>
      <w:r w:rsidR="00640919">
        <w:rPr>
          <w:lang w:eastAsia="en-AU"/>
        </w:rPr>
        <w:t>d</w:t>
      </w:r>
      <w:r>
        <w:rPr>
          <w:lang w:eastAsia="en-AU"/>
        </w:rPr>
        <w:t xml:space="preserve"> respondent to seek, or court to award, equitable monetary relief. </w:t>
      </w:r>
    </w:p>
    <w:p w:rsidR="00A72ED1" w:rsidRPr="00856E9C" w:rsidRDefault="00A72ED1" w:rsidP="00A72ED1">
      <w:pPr>
        <w:ind w:left="720"/>
        <w:rPr>
          <w:highlight w:val="yellow"/>
          <w:lang w:eastAsia="en-AU"/>
        </w:rPr>
      </w:pPr>
    </w:p>
    <w:p w:rsidR="00A72ED1" w:rsidRDefault="00A72ED1" w:rsidP="00A72ED1">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Reversed and remanded.  </w:t>
      </w:r>
    </w:p>
    <w:p w:rsidR="00A72ED1" w:rsidRPr="00181993" w:rsidRDefault="00A72ED1" w:rsidP="00A72ED1">
      <w:pPr>
        <w:pStyle w:val="BullDivider1"/>
        <w:pBdr>
          <w:bottom w:val="dotted" w:sz="4" w:space="0" w:color="auto"/>
        </w:pBdr>
      </w:pPr>
    </w:p>
    <w:p w:rsidR="00F66815" w:rsidRPr="00FD4E73" w:rsidRDefault="00F66815" w:rsidP="00F66815">
      <w:pPr>
        <w:rPr>
          <w:lang w:eastAsia="en-AU"/>
        </w:rPr>
      </w:pPr>
    </w:p>
    <w:p w:rsidR="00F66815" w:rsidRPr="00FD4E73" w:rsidRDefault="00F66815" w:rsidP="00F66815">
      <w:pPr>
        <w:pStyle w:val="Heading2"/>
        <w:rPr>
          <w:i w:val="0"/>
        </w:rPr>
      </w:pPr>
      <w:r>
        <w:t>Facebook, Inc v Duguid and Ors</w:t>
      </w:r>
    </w:p>
    <w:p w:rsidR="00F66815" w:rsidRPr="002F4F7E" w:rsidRDefault="00F66815" w:rsidP="00F66815">
      <w:pPr>
        <w:rPr>
          <w:lang w:eastAsia="en-AU"/>
        </w:rPr>
      </w:pPr>
      <w:r>
        <w:rPr>
          <w:b/>
          <w:lang w:eastAsia="en-AU"/>
        </w:rPr>
        <w:t>Supreme Court of the United States</w:t>
      </w:r>
      <w:r w:rsidRPr="002F4F7E">
        <w:rPr>
          <w:b/>
          <w:lang w:eastAsia="en-AU"/>
        </w:rPr>
        <w:t xml:space="preserve">: </w:t>
      </w:r>
      <w:hyperlink r:id="rId19" w:history="1">
        <w:r w:rsidRPr="00F110BA">
          <w:rPr>
            <w:rStyle w:val="Hyperlink"/>
            <w:lang w:eastAsia="en-AU"/>
          </w:rPr>
          <w:t>Docket No 19-5</w:t>
        </w:r>
        <w:r>
          <w:rPr>
            <w:rStyle w:val="Hyperlink"/>
            <w:lang w:eastAsia="en-AU"/>
          </w:rPr>
          <w:t>11</w:t>
        </w:r>
      </w:hyperlink>
    </w:p>
    <w:p w:rsidR="00F66815" w:rsidRPr="002F4F7E" w:rsidRDefault="00F66815" w:rsidP="00F66815">
      <w:pPr>
        <w:rPr>
          <w:lang w:eastAsia="en-AU"/>
        </w:rPr>
      </w:pPr>
    </w:p>
    <w:p w:rsidR="00F66815" w:rsidRPr="002F4F7E" w:rsidRDefault="00F66815" w:rsidP="00F66815">
      <w:pPr>
        <w:rPr>
          <w:lang w:eastAsia="en-AU"/>
        </w:rPr>
      </w:pPr>
      <w:r w:rsidRPr="002F4F7E">
        <w:rPr>
          <w:b/>
          <w:lang w:eastAsia="en-AU"/>
        </w:rPr>
        <w:t>Judgment delivered:</w:t>
      </w:r>
      <w:r>
        <w:rPr>
          <w:lang w:eastAsia="en-AU"/>
        </w:rPr>
        <w:t xml:space="preserve"> 1 April 2021</w:t>
      </w:r>
    </w:p>
    <w:p w:rsidR="00F66815" w:rsidRPr="002F4F7E" w:rsidRDefault="00F66815" w:rsidP="00F66815">
      <w:pPr>
        <w:rPr>
          <w:lang w:eastAsia="en-AU"/>
        </w:rPr>
      </w:pPr>
    </w:p>
    <w:p w:rsidR="00F66815" w:rsidRPr="002F4F7E" w:rsidRDefault="00F66815" w:rsidP="00F66815">
      <w:pPr>
        <w:rPr>
          <w:lang w:eastAsia="en-AU"/>
        </w:rPr>
      </w:pPr>
      <w:r w:rsidRPr="002F4F7E">
        <w:rPr>
          <w:b/>
          <w:lang w:eastAsia="en-AU"/>
        </w:rPr>
        <w:t xml:space="preserve">Coram: </w:t>
      </w:r>
      <w:r>
        <w:rPr>
          <w:lang w:eastAsia="en-AU"/>
        </w:rPr>
        <w:t>Roberts CJ, Thomas, Breyer, Alito, Sotomayor, Kagan, Gorsuch, Kavanaugh and Barrett JJ</w:t>
      </w:r>
    </w:p>
    <w:p w:rsidR="00F66815" w:rsidRPr="002F4F7E" w:rsidRDefault="00F66815" w:rsidP="00F66815">
      <w:pPr>
        <w:rPr>
          <w:lang w:eastAsia="en-AU"/>
        </w:rPr>
      </w:pPr>
    </w:p>
    <w:p w:rsidR="00F66815" w:rsidRPr="002F4F7E" w:rsidRDefault="00F66815" w:rsidP="00F66815">
      <w:pPr>
        <w:rPr>
          <w:b/>
          <w:lang w:eastAsia="en-AU"/>
        </w:rPr>
      </w:pPr>
      <w:r>
        <w:rPr>
          <w:b/>
          <w:lang w:eastAsia="en-AU"/>
        </w:rPr>
        <w:t>Catchwords:</w:t>
      </w:r>
    </w:p>
    <w:p w:rsidR="00F66815" w:rsidRPr="00856E9C" w:rsidRDefault="00F66815" w:rsidP="00F66815">
      <w:pPr>
        <w:rPr>
          <w:b/>
          <w:highlight w:val="yellow"/>
          <w:lang w:eastAsia="en-AU"/>
        </w:rPr>
      </w:pPr>
    </w:p>
    <w:p w:rsidR="00F66815" w:rsidRPr="000B3DD4" w:rsidRDefault="009F4DD4" w:rsidP="00F66815">
      <w:pPr>
        <w:ind w:left="720"/>
        <w:rPr>
          <w:lang w:eastAsia="en-AU"/>
        </w:rPr>
      </w:pPr>
      <w:r>
        <w:rPr>
          <w:lang w:eastAsia="en-AU"/>
        </w:rPr>
        <w:t xml:space="preserve">Consumer law </w:t>
      </w:r>
      <w:r w:rsidR="00087B51">
        <w:rPr>
          <w:lang w:eastAsia="en-AU"/>
        </w:rPr>
        <w:t>–</w:t>
      </w:r>
      <w:r>
        <w:rPr>
          <w:lang w:eastAsia="en-AU"/>
        </w:rPr>
        <w:t xml:space="preserve"> </w:t>
      </w:r>
      <w:r w:rsidR="00087B51">
        <w:rPr>
          <w:lang w:eastAsia="en-AU"/>
        </w:rPr>
        <w:t xml:space="preserve">Telecommunications </w:t>
      </w:r>
      <w:r w:rsidR="000B3DD4">
        <w:rPr>
          <w:lang w:eastAsia="en-AU"/>
        </w:rPr>
        <w:t>–</w:t>
      </w:r>
      <w:r w:rsidR="00087B51">
        <w:rPr>
          <w:lang w:eastAsia="en-AU"/>
        </w:rPr>
        <w:t xml:space="preserve"> </w:t>
      </w:r>
      <w:r w:rsidR="000B3DD4">
        <w:rPr>
          <w:lang w:eastAsia="en-AU"/>
        </w:rPr>
        <w:t xml:space="preserve">Where </w:t>
      </w:r>
      <w:r w:rsidR="000B3DD4">
        <w:rPr>
          <w:i/>
          <w:lang w:eastAsia="en-AU"/>
        </w:rPr>
        <w:t>Telephone Consumer Protection Act 1991</w:t>
      </w:r>
      <w:r w:rsidR="00BF417E">
        <w:rPr>
          <w:i/>
          <w:lang w:eastAsia="en-AU"/>
        </w:rPr>
        <w:t xml:space="preserve"> </w:t>
      </w:r>
      <w:r w:rsidR="00BF417E">
        <w:rPr>
          <w:lang w:eastAsia="en-AU"/>
        </w:rPr>
        <w:t>(TCPA)</w:t>
      </w:r>
      <w:r w:rsidR="000B3DD4">
        <w:rPr>
          <w:i/>
          <w:lang w:eastAsia="en-AU"/>
        </w:rPr>
        <w:t xml:space="preserve"> </w:t>
      </w:r>
      <w:r w:rsidR="000B3DD4">
        <w:rPr>
          <w:lang w:eastAsia="en-AU"/>
        </w:rPr>
        <w:t>prohibit</w:t>
      </w:r>
      <w:r w:rsidR="00640919">
        <w:rPr>
          <w:lang w:eastAsia="en-AU"/>
        </w:rPr>
        <w:t>ed</w:t>
      </w:r>
      <w:r w:rsidR="000B3DD4">
        <w:rPr>
          <w:lang w:eastAsia="en-AU"/>
        </w:rPr>
        <w:t xml:space="preserve"> </w:t>
      </w:r>
      <w:r w:rsidR="00BF417E">
        <w:rPr>
          <w:lang w:eastAsia="en-AU"/>
        </w:rPr>
        <w:t>telemarketing practices by restricting certain communications made with “automatic telephone dialling system” – Where TCPA define</w:t>
      </w:r>
      <w:r w:rsidR="00640919">
        <w:rPr>
          <w:lang w:eastAsia="en-AU"/>
        </w:rPr>
        <w:t>d</w:t>
      </w:r>
      <w:r w:rsidR="00BF417E">
        <w:rPr>
          <w:lang w:eastAsia="en-AU"/>
        </w:rPr>
        <w:t xml:space="preserve"> “autodialers” as equipment with capacity to both “store or produce telephone numbers to be called, using a random or sequential number generator” and to dial those numbers – Where petitioner maintain</w:t>
      </w:r>
      <w:r w:rsidR="00640919">
        <w:rPr>
          <w:lang w:eastAsia="en-AU"/>
        </w:rPr>
        <w:t>ed</w:t>
      </w:r>
      <w:r w:rsidR="00BF417E">
        <w:rPr>
          <w:lang w:eastAsia="en-AU"/>
        </w:rPr>
        <w:t xml:space="preserve"> social media platform with security feature allowing users to elect to receive text messages when someone attempt</w:t>
      </w:r>
      <w:r w:rsidR="00640919">
        <w:rPr>
          <w:lang w:eastAsia="en-AU"/>
        </w:rPr>
        <w:t>s</w:t>
      </w:r>
      <w:r w:rsidR="00BF417E">
        <w:rPr>
          <w:lang w:eastAsia="en-AU"/>
        </w:rPr>
        <w:t xml:space="preserve"> to log in to user’s account – Where petitioner sent such messages to respondent, but respondent did not create any Facebook account or link his telephone number to Facebook – Where respondent claimed petitioner violated TCPA – Where petitioner argued TCPA d</w:t>
      </w:r>
      <w:r w:rsidR="00640919">
        <w:rPr>
          <w:lang w:eastAsia="en-AU"/>
        </w:rPr>
        <w:t>id</w:t>
      </w:r>
      <w:r w:rsidR="00BF417E">
        <w:rPr>
          <w:lang w:eastAsia="en-AU"/>
        </w:rPr>
        <w:t xml:space="preserve"> not apply because system did not use random or sequential number generator – Where Ninth Circuit held TCPA applied to petitioner’s system – Whether adjectival clause “using a random or sequential number generator” modifie</w:t>
      </w:r>
      <w:r w:rsidR="00640919">
        <w:rPr>
          <w:lang w:eastAsia="en-AU"/>
        </w:rPr>
        <w:t>s</w:t>
      </w:r>
      <w:r w:rsidR="00BF417E">
        <w:rPr>
          <w:lang w:eastAsia="en-AU"/>
        </w:rPr>
        <w:t xml:space="preserve"> both              verbs “store” and “produce” or modifies only “produce” – Whether petitioner’s system violated TCPA. </w:t>
      </w:r>
    </w:p>
    <w:p w:rsidR="00F66815" w:rsidRPr="00856E9C" w:rsidRDefault="00F66815" w:rsidP="00F66815">
      <w:pPr>
        <w:ind w:left="720"/>
        <w:rPr>
          <w:highlight w:val="yellow"/>
          <w:lang w:eastAsia="en-AU"/>
        </w:rPr>
      </w:pPr>
    </w:p>
    <w:p w:rsidR="00F66815" w:rsidRPr="000D3E8D" w:rsidRDefault="00F66815" w:rsidP="00F66815">
      <w:pPr>
        <w:rPr>
          <w:lang w:eastAsia="en-AU"/>
        </w:rPr>
      </w:pPr>
      <w:r w:rsidRPr="002F4F7E">
        <w:rPr>
          <w:b/>
          <w:lang w:eastAsia="en-AU"/>
        </w:rPr>
        <w:t>Held (</w:t>
      </w:r>
      <w:r>
        <w:rPr>
          <w:b/>
          <w:lang w:eastAsia="en-AU"/>
        </w:rPr>
        <w:t>9:0</w:t>
      </w:r>
      <w:r w:rsidRPr="002F4F7E">
        <w:rPr>
          <w:b/>
          <w:lang w:eastAsia="en-AU"/>
        </w:rPr>
        <w:t xml:space="preserve">): </w:t>
      </w:r>
      <w:r w:rsidR="00EB4F31">
        <w:rPr>
          <w:lang w:eastAsia="en-AU"/>
        </w:rPr>
        <w:t>R</w:t>
      </w:r>
      <w:r>
        <w:rPr>
          <w:lang w:eastAsia="en-AU"/>
        </w:rPr>
        <w:t>eversed</w:t>
      </w:r>
      <w:r w:rsidR="00EB4F31">
        <w:rPr>
          <w:lang w:eastAsia="en-AU"/>
        </w:rPr>
        <w:t xml:space="preserve"> and </w:t>
      </w:r>
      <w:r>
        <w:rPr>
          <w:lang w:eastAsia="en-AU"/>
        </w:rPr>
        <w:t xml:space="preserve">remanded. </w:t>
      </w:r>
    </w:p>
    <w:p w:rsidR="00FD4E73" w:rsidRPr="00B546B2" w:rsidRDefault="00FD4E73" w:rsidP="00FD4E73">
      <w:pPr>
        <w:pStyle w:val="BullDivider2"/>
        <w:rPr>
          <w:rFonts w:cs="Arial"/>
          <w:highlight w:val="yellow"/>
        </w:rPr>
      </w:pPr>
    </w:p>
    <w:p w:rsidR="00FD4E73" w:rsidRPr="00B546B2" w:rsidRDefault="00FD4E73" w:rsidP="00FD4E73">
      <w:pPr>
        <w:rPr>
          <w:highlight w:val="yellow"/>
        </w:rPr>
      </w:pPr>
    </w:p>
    <w:p w:rsidR="002F4F7E" w:rsidRDefault="002B1A95" w:rsidP="002F4F7E">
      <w:pPr>
        <w:pStyle w:val="Heading1"/>
      </w:pPr>
      <w:r>
        <w:t>C</w:t>
      </w:r>
      <w:r w:rsidR="00974F0D">
        <w:t>riminal Law</w:t>
      </w:r>
    </w:p>
    <w:p w:rsidR="00847773" w:rsidRDefault="00847773" w:rsidP="00847773"/>
    <w:p w:rsidR="00847773" w:rsidRPr="00FD4E73" w:rsidRDefault="00847773" w:rsidP="00847773">
      <w:pPr>
        <w:pStyle w:val="Heading2"/>
        <w:rPr>
          <w:i w:val="0"/>
        </w:rPr>
      </w:pPr>
      <w:r>
        <w:t>Jones v Mississippi</w:t>
      </w:r>
    </w:p>
    <w:p w:rsidR="00847773" w:rsidRPr="002F4F7E" w:rsidRDefault="00847773" w:rsidP="00847773">
      <w:pPr>
        <w:rPr>
          <w:lang w:eastAsia="en-AU"/>
        </w:rPr>
      </w:pPr>
      <w:r>
        <w:rPr>
          <w:b/>
          <w:lang w:eastAsia="en-AU"/>
        </w:rPr>
        <w:t>Supreme Court of the United States</w:t>
      </w:r>
      <w:r w:rsidRPr="002F4F7E">
        <w:rPr>
          <w:b/>
          <w:lang w:eastAsia="en-AU"/>
        </w:rPr>
        <w:t xml:space="preserve">: </w:t>
      </w:r>
      <w:hyperlink r:id="rId20" w:history="1">
        <w:r w:rsidRPr="00F110BA">
          <w:rPr>
            <w:rStyle w:val="Hyperlink"/>
            <w:lang w:eastAsia="en-AU"/>
          </w:rPr>
          <w:t>Docket No 1</w:t>
        </w:r>
        <w:r>
          <w:rPr>
            <w:rStyle w:val="Hyperlink"/>
            <w:lang w:eastAsia="en-AU"/>
          </w:rPr>
          <w:t>8-1259</w:t>
        </w:r>
      </w:hyperlink>
    </w:p>
    <w:p w:rsidR="00847773" w:rsidRPr="002F4F7E" w:rsidRDefault="00847773" w:rsidP="00847773">
      <w:pPr>
        <w:rPr>
          <w:lang w:eastAsia="en-AU"/>
        </w:rPr>
      </w:pPr>
    </w:p>
    <w:p w:rsidR="00847773" w:rsidRPr="002F4F7E" w:rsidRDefault="00847773" w:rsidP="00847773">
      <w:pPr>
        <w:rPr>
          <w:lang w:eastAsia="en-AU"/>
        </w:rPr>
      </w:pPr>
      <w:r w:rsidRPr="002F4F7E">
        <w:rPr>
          <w:b/>
          <w:lang w:eastAsia="en-AU"/>
        </w:rPr>
        <w:t>Judgment delivered:</w:t>
      </w:r>
      <w:r>
        <w:rPr>
          <w:lang w:eastAsia="en-AU"/>
        </w:rPr>
        <w:t xml:space="preserve"> 22 April 2021</w:t>
      </w:r>
    </w:p>
    <w:p w:rsidR="00847773" w:rsidRPr="002F4F7E" w:rsidRDefault="00847773" w:rsidP="00847773">
      <w:pPr>
        <w:rPr>
          <w:lang w:eastAsia="en-AU"/>
        </w:rPr>
      </w:pPr>
    </w:p>
    <w:p w:rsidR="00847773" w:rsidRPr="002F4F7E" w:rsidRDefault="00847773" w:rsidP="00847773">
      <w:pPr>
        <w:rPr>
          <w:lang w:eastAsia="en-AU"/>
        </w:rPr>
      </w:pPr>
      <w:r w:rsidRPr="002F4F7E">
        <w:rPr>
          <w:b/>
          <w:lang w:eastAsia="en-AU"/>
        </w:rPr>
        <w:t xml:space="preserve">Coram: </w:t>
      </w:r>
      <w:r>
        <w:rPr>
          <w:lang w:eastAsia="en-AU"/>
        </w:rPr>
        <w:t>Roberts CJ, Thomas, Breyer, Alito, Sotomayor, Kagan, Gorsuch, Kavanaugh and Barrett JJ</w:t>
      </w:r>
    </w:p>
    <w:p w:rsidR="00847773" w:rsidRPr="002F4F7E" w:rsidRDefault="00847773" w:rsidP="00847773">
      <w:pPr>
        <w:rPr>
          <w:lang w:eastAsia="en-AU"/>
        </w:rPr>
      </w:pPr>
    </w:p>
    <w:p w:rsidR="00847773" w:rsidRPr="002F4F7E" w:rsidRDefault="00847773" w:rsidP="00847773">
      <w:pPr>
        <w:rPr>
          <w:b/>
          <w:lang w:eastAsia="en-AU"/>
        </w:rPr>
      </w:pPr>
      <w:r>
        <w:rPr>
          <w:b/>
          <w:lang w:eastAsia="en-AU"/>
        </w:rPr>
        <w:t>Catchwords:</w:t>
      </w:r>
    </w:p>
    <w:p w:rsidR="00847773" w:rsidRPr="00856E9C" w:rsidRDefault="00847773" w:rsidP="00847773">
      <w:pPr>
        <w:rPr>
          <w:b/>
          <w:highlight w:val="yellow"/>
          <w:lang w:eastAsia="en-AU"/>
        </w:rPr>
      </w:pPr>
    </w:p>
    <w:p w:rsidR="00847773" w:rsidRPr="00847773" w:rsidRDefault="00847773" w:rsidP="00847773">
      <w:pPr>
        <w:ind w:left="720"/>
        <w:rPr>
          <w:lang w:eastAsia="en-AU"/>
        </w:rPr>
      </w:pPr>
      <w:r>
        <w:rPr>
          <w:lang w:eastAsia="en-AU"/>
        </w:rPr>
        <w:t xml:space="preserve">Criminal law – Sentencing – Discretion – Where petitioner convicted of murder when 15 years old – Where, at time of offence, murder carried mandatory sentence of life without parole – Where subsequently, in </w:t>
      </w:r>
      <w:r>
        <w:rPr>
          <w:i/>
          <w:lang w:eastAsia="en-AU"/>
        </w:rPr>
        <w:t>Miller v Alabama</w:t>
      </w:r>
      <w:r>
        <w:rPr>
          <w:lang w:eastAsia="en-AU"/>
        </w:rPr>
        <w:t xml:space="preserve">, 567 US 460, Supreme Court held Eight Amendment only permits life without parole for defendants under 18 if sentence not mandatory and </w:t>
      </w:r>
      <w:r w:rsidR="00985ADE">
        <w:rPr>
          <w:lang w:eastAsia="en-AU"/>
        </w:rPr>
        <w:t>court</w:t>
      </w:r>
      <w:r>
        <w:rPr>
          <w:lang w:eastAsia="en-AU"/>
        </w:rPr>
        <w:t xml:space="preserve"> has discretion to impose lesser sentence – Where Mississippi Supreme Court ordered petitioner be resentenced according to </w:t>
      </w:r>
      <w:r>
        <w:rPr>
          <w:i/>
          <w:lang w:eastAsia="en-AU"/>
        </w:rPr>
        <w:t xml:space="preserve">Miller </w:t>
      </w:r>
      <w:r>
        <w:rPr>
          <w:lang w:eastAsia="en-AU"/>
        </w:rPr>
        <w:t xml:space="preserve">– Where, at resentencing, judge acknowledged </w:t>
      </w:r>
      <w:r>
        <w:rPr>
          <w:i/>
          <w:lang w:eastAsia="en-AU"/>
        </w:rPr>
        <w:t xml:space="preserve">Miller </w:t>
      </w:r>
      <w:r>
        <w:rPr>
          <w:lang w:eastAsia="en-AU"/>
        </w:rPr>
        <w:t xml:space="preserve">discretion but determined that life without parole remained appropriate sentence – Where petitioner unsuccessfully appealed to Mississippi Court of Appeals – Whether </w:t>
      </w:r>
      <w:r>
        <w:rPr>
          <w:i/>
          <w:lang w:eastAsia="en-AU"/>
        </w:rPr>
        <w:t xml:space="preserve">Miller </w:t>
      </w:r>
      <w:r>
        <w:rPr>
          <w:lang w:eastAsia="en-AU"/>
        </w:rPr>
        <w:t xml:space="preserve">and subsequent cases require </w:t>
      </w:r>
      <w:r w:rsidR="002C5D3D">
        <w:rPr>
          <w:lang w:eastAsia="en-AU"/>
        </w:rPr>
        <w:t>court</w:t>
      </w:r>
      <w:r>
        <w:rPr>
          <w:lang w:eastAsia="en-AU"/>
        </w:rPr>
        <w:t xml:space="preserve"> to make separate factual finding of permanent incorrigibility of person under 18 before resentencing to life without parole. </w:t>
      </w:r>
    </w:p>
    <w:p w:rsidR="00847773" w:rsidRPr="00856E9C" w:rsidRDefault="00847773" w:rsidP="00847773">
      <w:pPr>
        <w:ind w:left="720"/>
        <w:rPr>
          <w:highlight w:val="yellow"/>
          <w:lang w:eastAsia="en-AU"/>
        </w:rPr>
      </w:pPr>
    </w:p>
    <w:p w:rsidR="00847773" w:rsidRPr="000D3E8D" w:rsidRDefault="00847773" w:rsidP="00847773">
      <w:pPr>
        <w:rPr>
          <w:lang w:eastAsia="en-AU"/>
        </w:rPr>
      </w:pPr>
      <w:r w:rsidRPr="002F4F7E">
        <w:rPr>
          <w:b/>
          <w:lang w:eastAsia="en-AU"/>
        </w:rPr>
        <w:t>Held (</w:t>
      </w:r>
      <w:r w:rsidR="0055691D">
        <w:rPr>
          <w:b/>
          <w:lang w:eastAsia="en-AU"/>
        </w:rPr>
        <w:t>6</w:t>
      </w:r>
      <w:r>
        <w:rPr>
          <w:b/>
          <w:lang w:eastAsia="en-AU"/>
        </w:rPr>
        <w:t>:</w:t>
      </w:r>
      <w:r w:rsidR="0055691D">
        <w:rPr>
          <w:b/>
          <w:lang w:eastAsia="en-AU"/>
        </w:rPr>
        <w:t>3</w:t>
      </w:r>
      <w:r w:rsidRPr="002F4F7E">
        <w:rPr>
          <w:b/>
          <w:lang w:eastAsia="en-AU"/>
        </w:rPr>
        <w:t xml:space="preserve">): </w:t>
      </w:r>
      <w:r>
        <w:rPr>
          <w:lang w:eastAsia="en-AU"/>
        </w:rPr>
        <w:t xml:space="preserve">Affirmed.  </w:t>
      </w:r>
    </w:p>
    <w:p w:rsidR="00847773" w:rsidRPr="00181993" w:rsidRDefault="00847773" w:rsidP="00847773">
      <w:pPr>
        <w:pStyle w:val="BullDivider1"/>
        <w:pBdr>
          <w:bottom w:val="dotted" w:sz="4" w:space="0" w:color="auto"/>
        </w:pBdr>
      </w:pPr>
    </w:p>
    <w:p w:rsidR="006420F3" w:rsidRPr="006420F3" w:rsidRDefault="006420F3" w:rsidP="006420F3">
      <w:pPr>
        <w:rPr>
          <w:lang w:eastAsia="en-AU"/>
        </w:rPr>
      </w:pPr>
    </w:p>
    <w:p w:rsidR="006420F3" w:rsidRPr="002F4F7E" w:rsidRDefault="006420F3" w:rsidP="006420F3">
      <w:pPr>
        <w:pStyle w:val="Heading2"/>
      </w:pPr>
      <w:r>
        <w:t xml:space="preserve">R v RV </w:t>
      </w:r>
    </w:p>
    <w:p w:rsidR="006420F3" w:rsidRPr="002F4F7E" w:rsidRDefault="006F2978" w:rsidP="006420F3">
      <w:pPr>
        <w:rPr>
          <w:lang w:eastAsia="en-AU"/>
        </w:rPr>
      </w:pPr>
      <w:r>
        <w:rPr>
          <w:b/>
          <w:lang w:eastAsia="en-AU"/>
        </w:rPr>
        <w:t>Supreme Court of Canada</w:t>
      </w:r>
      <w:r w:rsidR="006420F3" w:rsidRPr="002F4F7E">
        <w:rPr>
          <w:b/>
          <w:lang w:eastAsia="en-AU"/>
        </w:rPr>
        <w:t xml:space="preserve">: </w:t>
      </w:r>
      <w:hyperlink r:id="rId21" w:history="1">
        <w:r w:rsidRPr="006F2978">
          <w:rPr>
            <w:rStyle w:val="Hyperlink"/>
            <w:lang w:eastAsia="en-AU"/>
          </w:rPr>
          <w:t>[2021] SCC 10</w:t>
        </w:r>
      </w:hyperlink>
    </w:p>
    <w:p w:rsidR="006420F3" w:rsidRPr="002F4F7E" w:rsidRDefault="006420F3" w:rsidP="006420F3">
      <w:pPr>
        <w:rPr>
          <w:lang w:eastAsia="en-AU"/>
        </w:rPr>
      </w:pPr>
    </w:p>
    <w:p w:rsidR="006420F3" w:rsidRPr="002F4F7E" w:rsidRDefault="006420F3" w:rsidP="006420F3">
      <w:pPr>
        <w:rPr>
          <w:lang w:eastAsia="en-AU"/>
        </w:rPr>
      </w:pPr>
      <w:r w:rsidRPr="002F4F7E">
        <w:rPr>
          <w:b/>
          <w:lang w:eastAsia="en-AU"/>
        </w:rPr>
        <w:t>Judgment delivered:</w:t>
      </w:r>
      <w:r w:rsidRPr="002F4F7E">
        <w:rPr>
          <w:lang w:eastAsia="en-AU"/>
        </w:rPr>
        <w:t xml:space="preserve"> </w:t>
      </w:r>
      <w:r w:rsidR="006F2978">
        <w:rPr>
          <w:lang w:eastAsia="en-AU"/>
        </w:rPr>
        <w:t>12 March 2021</w:t>
      </w:r>
    </w:p>
    <w:p w:rsidR="006420F3" w:rsidRPr="002F4F7E" w:rsidRDefault="006420F3" w:rsidP="006420F3">
      <w:pPr>
        <w:rPr>
          <w:lang w:eastAsia="en-AU"/>
        </w:rPr>
      </w:pPr>
    </w:p>
    <w:p w:rsidR="006420F3" w:rsidRPr="002F4F7E" w:rsidRDefault="006420F3" w:rsidP="006420F3">
      <w:pPr>
        <w:rPr>
          <w:lang w:eastAsia="en-AU"/>
        </w:rPr>
      </w:pPr>
      <w:r w:rsidRPr="002F4F7E">
        <w:rPr>
          <w:b/>
          <w:lang w:eastAsia="en-AU"/>
        </w:rPr>
        <w:t xml:space="preserve">Coram: </w:t>
      </w:r>
      <w:r w:rsidR="006F2978" w:rsidRPr="006F2978">
        <w:rPr>
          <w:lang w:eastAsia="en-AU"/>
        </w:rPr>
        <w:t>Wagner CJ</w:t>
      </w:r>
      <w:r w:rsidR="006F2978">
        <w:rPr>
          <w:lang w:eastAsia="en-AU"/>
        </w:rPr>
        <w:t>,</w:t>
      </w:r>
      <w:r w:rsidR="006F2978" w:rsidRPr="006F2978">
        <w:rPr>
          <w:lang w:eastAsia="en-AU"/>
        </w:rPr>
        <w:t xml:space="preserve"> Abella, Moldaver, Karakatsanis, Côté, Brown, Rowe, Martin and Kasirer JJ</w:t>
      </w:r>
    </w:p>
    <w:p w:rsidR="006420F3" w:rsidRPr="002F4F7E" w:rsidRDefault="006420F3" w:rsidP="006420F3">
      <w:pPr>
        <w:rPr>
          <w:lang w:eastAsia="en-AU"/>
        </w:rPr>
      </w:pPr>
    </w:p>
    <w:p w:rsidR="006420F3" w:rsidRPr="002F4F7E" w:rsidRDefault="006420F3" w:rsidP="006420F3">
      <w:pPr>
        <w:rPr>
          <w:b/>
          <w:lang w:eastAsia="en-AU"/>
        </w:rPr>
      </w:pPr>
      <w:r>
        <w:rPr>
          <w:b/>
          <w:lang w:eastAsia="en-AU"/>
        </w:rPr>
        <w:t>Catchwords:</w:t>
      </w:r>
    </w:p>
    <w:p w:rsidR="006420F3" w:rsidRPr="00856E9C" w:rsidRDefault="006420F3" w:rsidP="006420F3">
      <w:pPr>
        <w:rPr>
          <w:b/>
          <w:highlight w:val="yellow"/>
          <w:lang w:eastAsia="en-AU"/>
        </w:rPr>
      </w:pPr>
    </w:p>
    <w:p w:rsidR="006420F3" w:rsidRDefault="006F2978" w:rsidP="006420F3">
      <w:pPr>
        <w:ind w:left="720"/>
        <w:rPr>
          <w:lang w:eastAsia="en-AU"/>
        </w:rPr>
      </w:pPr>
      <w:r w:rsidRPr="006F2978">
        <w:rPr>
          <w:lang w:eastAsia="en-AU"/>
        </w:rPr>
        <w:t xml:space="preserve">Criminal law — Appeals — Unreasonable verdict — Inconsistent verdicts — Charge to jury — </w:t>
      </w:r>
      <w:r>
        <w:rPr>
          <w:lang w:eastAsia="en-AU"/>
        </w:rPr>
        <w:t>Where a</w:t>
      </w:r>
      <w:r w:rsidRPr="006F2978">
        <w:rPr>
          <w:lang w:eastAsia="en-AU"/>
        </w:rPr>
        <w:t xml:space="preserve">ccused convicted by jury of sexual interference and invitation to sexual touching while acquitted of sexual assault — </w:t>
      </w:r>
      <w:r>
        <w:rPr>
          <w:lang w:eastAsia="en-AU"/>
        </w:rPr>
        <w:t>Where a</w:t>
      </w:r>
      <w:r w:rsidRPr="006F2978">
        <w:rPr>
          <w:lang w:eastAsia="en-AU"/>
        </w:rPr>
        <w:t>ll three offences ar</w:t>
      </w:r>
      <w:r>
        <w:rPr>
          <w:lang w:eastAsia="en-AU"/>
        </w:rPr>
        <w:t>ose</w:t>
      </w:r>
      <w:r w:rsidRPr="006F2978">
        <w:rPr>
          <w:lang w:eastAsia="en-AU"/>
        </w:rPr>
        <w:t xml:space="preserve"> from same conduct involving one complainant — </w:t>
      </w:r>
      <w:r>
        <w:rPr>
          <w:lang w:eastAsia="en-AU"/>
        </w:rPr>
        <w:t>Where accused a</w:t>
      </w:r>
      <w:r w:rsidRPr="006F2978">
        <w:rPr>
          <w:lang w:eastAsia="en-AU"/>
        </w:rPr>
        <w:t>ppeal</w:t>
      </w:r>
      <w:r>
        <w:rPr>
          <w:lang w:eastAsia="en-AU"/>
        </w:rPr>
        <w:t>ed</w:t>
      </w:r>
      <w:r w:rsidRPr="006F2978">
        <w:rPr>
          <w:lang w:eastAsia="en-AU"/>
        </w:rPr>
        <w:t xml:space="preserve"> against verdicts of guilt and </w:t>
      </w:r>
      <w:r>
        <w:rPr>
          <w:lang w:eastAsia="en-AU"/>
        </w:rPr>
        <w:t xml:space="preserve">Crown </w:t>
      </w:r>
      <w:r w:rsidRPr="006F2978">
        <w:rPr>
          <w:lang w:eastAsia="en-AU"/>
        </w:rPr>
        <w:t>cross</w:t>
      </w:r>
      <w:r w:rsidRPr="006F2978">
        <w:rPr>
          <w:rFonts w:ascii="Cambria Math" w:hAnsi="Cambria Math" w:cs="Cambria Math"/>
          <w:lang w:eastAsia="en-AU"/>
        </w:rPr>
        <w:t>‑</w:t>
      </w:r>
      <w:r w:rsidRPr="006F2978">
        <w:rPr>
          <w:lang w:eastAsia="en-AU"/>
        </w:rPr>
        <w:t>appeal</w:t>
      </w:r>
      <w:r>
        <w:rPr>
          <w:lang w:eastAsia="en-AU"/>
        </w:rPr>
        <w:t>ed</w:t>
      </w:r>
      <w:r w:rsidRPr="006F2978">
        <w:rPr>
          <w:lang w:eastAsia="en-AU"/>
        </w:rPr>
        <w:t xml:space="preserve"> against verdict of acquittal — Whether legal error in jury instructions can reconcile apparently inconsistent verdicts — Appropriate remedy — </w:t>
      </w:r>
      <w:r w:rsidRPr="006F2978">
        <w:rPr>
          <w:i/>
          <w:lang w:eastAsia="en-AU"/>
        </w:rPr>
        <w:t>Criminal Code</w:t>
      </w:r>
      <w:r w:rsidRPr="006F2978">
        <w:rPr>
          <w:lang w:eastAsia="en-AU"/>
        </w:rPr>
        <w:t>, R.S.C. 1985, c. C</w:t>
      </w:r>
      <w:r w:rsidRPr="006F2978">
        <w:rPr>
          <w:rFonts w:ascii="Cambria Math" w:hAnsi="Cambria Math" w:cs="Cambria Math"/>
          <w:lang w:eastAsia="en-AU"/>
        </w:rPr>
        <w:t>‑</w:t>
      </w:r>
      <w:r w:rsidRPr="006F2978">
        <w:rPr>
          <w:lang w:eastAsia="en-AU"/>
        </w:rPr>
        <w:t>46, s. 686(4), (8).</w:t>
      </w:r>
    </w:p>
    <w:p w:rsidR="006F2978" w:rsidRPr="00856E9C" w:rsidRDefault="006F2978" w:rsidP="006420F3">
      <w:pPr>
        <w:ind w:left="720"/>
        <w:rPr>
          <w:highlight w:val="yellow"/>
          <w:lang w:eastAsia="en-AU"/>
        </w:rPr>
      </w:pPr>
    </w:p>
    <w:p w:rsidR="006420F3" w:rsidRPr="000D3E8D" w:rsidRDefault="006420F3" w:rsidP="006420F3">
      <w:pPr>
        <w:rPr>
          <w:lang w:eastAsia="en-AU"/>
        </w:rPr>
      </w:pPr>
      <w:r w:rsidRPr="002F4F7E">
        <w:rPr>
          <w:b/>
          <w:lang w:eastAsia="en-AU"/>
        </w:rPr>
        <w:t>Held (</w:t>
      </w:r>
      <w:r w:rsidR="006F2978">
        <w:rPr>
          <w:b/>
          <w:lang w:eastAsia="en-AU"/>
        </w:rPr>
        <w:t>7</w:t>
      </w:r>
      <w:r>
        <w:rPr>
          <w:b/>
          <w:lang w:eastAsia="en-AU"/>
        </w:rPr>
        <w:t>:</w:t>
      </w:r>
      <w:r w:rsidR="006F2978">
        <w:rPr>
          <w:b/>
          <w:lang w:eastAsia="en-AU"/>
        </w:rPr>
        <w:t>2</w:t>
      </w:r>
      <w:r w:rsidRPr="002F4F7E">
        <w:rPr>
          <w:b/>
          <w:lang w:eastAsia="en-AU"/>
        </w:rPr>
        <w:t xml:space="preserve">): </w:t>
      </w:r>
      <w:r w:rsidR="006F2978">
        <w:rPr>
          <w:lang w:eastAsia="en-AU"/>
        </w:rPr>
        <w:t xml:space="preserve">Appeal allowed. </w:t>
      </w:r>
    </w:p>
    <w:p w:rsidR="006420F3" w:rsidRPr="00181993" w:rsidRDefault="006420F3" w:rsidP="006420F3">
      <w:pPr>
        <w:pStyle w:val="BullDivider1"/>
        <w:pBdr>
          <w:bottom w:val="dotted" w:sz="4" w:space="0" w:color="auto"/>
        </w:pBdr>
      </w:pPr>
    </w:p>
    <w:p w:rsidR="002F4F7E" w:rsidRPr="00856E9C" w:rsidRDefault="002F4F7E" w:rsidP="002F4F7E">
      <w:pPr>
        <w:rPr>
          <w:highlight w:val="yellow"/>
          <w:lang w:eastAsia="en-AU"/>
        </w:rPr>
      </w:pPr>
    </w:p>
    <w:p w:rsidR="002F4F7E" w:rsidRPr="002F4F7E" w:rsidRDefault="00974F0D" w:rsidP="002F4F7E">
      <w:pPr>
        <w:pStyle w:val="Heading2"/>
      </w:pPr>
      <w:r>
        <w:t>R v Esseghaier</w:t>
      </w:r>
    </w:p>
    <w:p w:rsidR="002F4F7E" w:rsidRPr="002F4F7E" w:rsidRDefault="00974F0D" w:rsidP="002F4F7E">
      <w:pPr>
        <w:rPr>
          <w:lang w:eastAsia="en-AU"/>
        </w:rPr>
      </w:pPr>
      <w:r w:rsidRPr="00974F0D">
        <w:rPr>
          <w:b/>
          <w:lang w:eastAsia="en-AU"/>
        </w:rPr>
        <w:t>Supreme Court of Canada</w:t>
      </w:r>
      <w:r w:rsidR="002F4F7E" w:rsidRPr="002F4F7E">
        <w:rPr>
          <w:b/>
          <w:lang w:eastAsia="en-AU"/>
        </w:rPr>
        <w:t xml:space="preserve">: </w:t>
      </w:r>
      <w:hyperlink r:id="rId22" w:history="1">
        <w:r w:rsidRPr="00974F0D">
          <w:rPr>
            <w:rStyle w:val="Hyperlink"/>
            <w:lang w:eastAsia="en-AU"/>
          </w:rPr>
          <w:t>[2021] SCC 9</w:t>
        </w:r>
      </w:hyperlink>
    </w:p>
    <w:p w:rsidR="002F4F7E" w:rsidRPr="002F4F7E" w:rsidRDefault="002F4F7E" w:rsidP="002F4F7E">
      <w:pPr>
        <w:rPr>
          <w:lang w:eastAsia="en-AU"/>
        </w:rPr>
      </w:pPr>
    </w:p>
    <w:p w:rsidR="002F4F7E" w:rsidRPr="002F4F7E" w:rsidRDefault="002F4F7E" w:rsidP="002F4F7E">
      <w:pPr>
        <w:rPr>
          <w:lang w:eastAsia="en-AU"/>
        </w:rPr>
      </w:pPr>
      <w:r w:rsidRPr="002F4F7E">
        <w:rPr>
          <w:b/>
          <w:lang w:eastAsia="en-AU"/>
        </w:rPr>
        <w:t>Judgment delivered:</w:t>
      </w:r>
      <w:r w:rsidRPr="002F4F7E">
        <w:rPr>
          <w:lang w:eastAsia="en-AU"/>
        </w:rPr>
        <w:t xml:space="preserve"> </w:t>
      </w:r>
      <w:r w:rsidR="00974F0D">
        <w:rPr>
          <w:lang w:eastAsia="en-AU"/>
        </w:rPr>
        <w:t>5 March 2021</w:t>
      </w:r>
    </w:p>
    <w:p w:rsidR="002F4F7E" w:rsidRPr="002F4F7E" w:rsidRDefault="002F4F7E" w:rsidP="002F4F7E">
      <w:pPr>
        <w:rPr>
          <w:lang w:eastAsia="en-AU"/>
        </w:rPr>
      </w:pPr>
    </w:p>
    <w:p w:rsidR="002F4F7E" w:rsidRPr="002F4F7E" w:rsidRDefault="002F4F7E" w:rsidP="002F4F7E">
      <w:pPr>
        <w:rPr>
          <w:lang w:eastAsia="en-AU"/>
        </w:rPr>
      </w:pPr>
      <w:r w:rsidRPr="002F4F7E">
        <w:rPr>
          <w:b/>
          <w:lang w:eastAsia="en-AU"/>
        </w:rPr>
        <w:t xml:space="preserve">Coram: </w:t>
      </w:r>
      <w:r w:rsidR="00974F0D">
        <w:rPr>
          <w:lang w:eastAsia="en-AU"/>
        </w:rPr>
        <w:t xml:space="preserve">Wagner CJ, Abella, Moldaver, Karakatsanis, </w:t>
      </w:r>
      <w:r w:rsidR="00974F0D" w:rsidRPr="00974F0D">
        <w:rPr>
          <w:lang w:eastAsia="en-AU"/>
        </w:rPr>
        <w:t>Côté, Brown, Rowe, Martin and Kasirer JJ</w:t>
      </w:r>
    </w:p>
    <w:p w:rsidR="002F4F7E" w:rsidRPr="002F4F7E" w:rsidRDefault="002F4F7E" w:rsidP="002F4F7E">
      <w:pPr>
        <w:rPr>
          <w:lang w:eastAsia="en-AU"/>
        </w:rPr>
      </w:pPr>
    </w:p>
    <w:p w:rsidR="002F4F7E" w:rsidRPr="002F4F7E" w:rsidRDefault="002B1A95" w:rsidP="002F4F7E">
      <w:pPr>
        <w:rPr>
          <w:b/>
          <w:lang w:eastAsia="en-AU"/>
        </w:rPr>
      </w:pPr>
      <w:r>
        <w:rPr>
          <w:b/>
          <w:lang w:eastAsia="en-AU"/>
        </w:rPr>
        <w:t>Catchwords:</w:t>
      </w:r>
    </w:p>
    <w:p w:rsidR="002F4F7E" w:rsidRPr="00856E9C" w:rsidRDefault="002F4F7E" w:rsidP="002F4F7E">
      <w:pPr>
        <w:rPr>
          <w:b/>
          <w:highlight w:val="yellow"/>
          <w:lang w:eastAsia="en-AU"/>
        </w:rPr>
      </w:pPr>
    </w:p>
    <w:p w:rsidR="002F4F7E" w:rsidRDefault="00974F0D" w:rsidP="002F4F7E">
      <w:pPr>
        <w:ind w:left="720"/>
        <w:rPr>
          <w:lang w:eastAsia="en-AU"/>
        </w:rPr>
      </w:pPr>
      <w:r w:rsidRPr="00974F0D">
        <w:rPr>
          <w:lang w:eastAsia="en-AU"/>
        </w:rPr>
        <w:lastRenderedPageBreak/>
        <w:t xml:space="preserve">Criminal law — Appeals — Curative proviso — Jury selection process — </w:t>
      </w:r>
      <w:r>
        <w:rPr>
          <w:lang w:eastAsia="en-AU"/>
        </w:rPr>
        <w:t>Where a</w:t>
      </w:r>
      <w:r w:rsidRPr="00974F0D">
        <w:rPr>
          <w:lang w:eastAsia="en-AU"/>
        </w:rPr>
        <w:t xml:space="preserve">ccused convicted of terrorism offences — </w:t>
      </w:r>
      <w:r>
        <w:rPr>
          <w:lang w:eastAsia="en-AU"/>
        </w:rPr>
        <w:t>Where a</w:t>
      </w:r>
      <w:r w:rsidRPr="00974F0D">
        <w:rPr>
          <w:lang w:eastAsia="en-AU"/>
        </w:rPr>
        <w:t>ccused appeal</w:t>
      </w:r>
      <w:r>
        <w:rPr>
          <w:lang w:eastAsia="en-AU"/>
        </w:rPr>
        <w:t>ed</w:t>
      </w:r>
      <w:r w:rsidRPr="00974F0D">
        <w:rPr>
          <w:lang w:eastAsia="en-AU"/>
        </w:rPr>
        <w:t xml:space="preserve"> convictions on basis that jury improperly constituted — </w:t>
      </w:r>
      <w:r>
        <w:rPr>
          <w:lang w:eastAsia="en-AU"/>
        </w:rPr>
        <w:t xml:space="preserve">Where </w:t>
      </w:r>
      <w:r w:rsidRPr="00974F0D">
        <w:rPr>
          <w:lang w:eastAsia="en-AU"/>
        </w:rPr>
        <w:t>Court of Appeal overturn</w:t>
      </w:r>
      <w:r>
        <w:rPr>
          <w:lang w:eastAsia="en-AU"/>
        </w:rPr>
        <w:t>ed</w:t>
      </w:r>
      <w:r w:rsidRPr="00974F0D">
        <w:rPr>
          <w:lang w:eastAsia="en-AU"/>
        </w:rPr>
        <w:t xml:space="preserve"> convictions and order</w:t>
      </w:r>
      <w:r>
        <w:rPr>
          <w:lang w:eastAsia="en-AU"/>
        </w:rPr>
        <w:t>ed</w:t>
      </w:r>
      <w:r w:rsidRPr="00974F0D">
        <w:rPr>
          <w:lang w:eastAsia="en-AU"/>
        </w:rPr>
        <w:t xml:space="preserve"> new trial — </w:t>
      </w:r>
      <w:r>
        <w:rPr>
          <w:lang w:eastAsia="en-AU"/>
        </w:rPr>
        <w:t xml:space="preserve">Where </w:t>
      </w:r>
      <w:r w:rsidRPr="00974F0D">
        <w:rPr>
          <w:lang w:eastAsia="en-AU"/>
        </w:rPr>
        <w:t>Court of Appeal h</w:t>
      </w:r>
      <w:r>
        <w:rPr>
          <w:lang w:eastAsia="en-AU"/>
        </w:rPr>
        <w:t>eld</w:t>
      </w:r>
      <w:r w:rsidRPr="00974F0D">
        <w:rPr>
          <w:lang w:eastAsia="en-AU"/>
        </w:rPr>
        <w:t xml:space="preserve"> that jury selection error could not be cured by operation of curative proviso at s. 686(1) (b)(iv) of </w:t>
      </w:r>
      <w:r w:rsidRPr="00974F0D">
        <w:rPr>
          <w:i/>
          <w:lang w:eastAsia="en-AU"/>
        </w:rPr>
        <w:t>Criminal Code</w:t>
      </w:r>
      <w:r w:rsidRPr="00974F0D">
        <w:rPr>
          <w:lang w:eastAsia="en-AU"/>
        </w:rPr>
        <w:t xml:space="preserve">  — Whether curative proviso can be applied to cure procedural errors occurring during jury selection process — </w:t>
      </w:r>
      <w:r w:rsidRPr="00974F0D">
        <w:rPr>
          <w:i/>
          <w:lang w:eastAsia="en-AU"/>
        </w:rPr>
        <w:t>Criminal Code</w:t>
      </w:r>
      <w:r w:rsidRPr="00974F0D">
        <w:rPr>
          <w:lang w:eastAsia="en-AU"/>
        </w:rPr>
        <w:t>, R.S.C. 1985, c. C</w:t>
      </w:r>
      <w:r w:rsidRPr="00974F0D">
        <w:rPr>
          <w:rFonts w:ascii="Cambria Math" w:hAnsi="Cambria Math" w:cs="Cambria Math"/>
          <w:lang w:eastAsia="en-AU"/>
        </w:rPr>
        <w:t>‑</w:t>
      </w:r>
      <w:r w:rsidRPr="00974F0D">
        <w:rPr>
          <w:lang w:eastAsia="en-AU"/>
        </w:rPr>
        <w:t>46, s. 686(1) (b)(iv).</w:t>
      </w:r>
    </w:p>
    <w:p w:rsidR="00974F0D" w:rsidRPr="00856E9C" w:rsidRDefault="00974F0D" w:rsidP="002F4F7E">
      <w:pPr>
        <w:ind w:left="720"/>
        <w:rPr>
          <w:highlight w:val="yellow"/>
          <w:lang w:eastAsia="en-AU"/>
        </w:rPr>
      </w:pPr>
    </w:p>
    <w:p w:rsidR="002F4F7E" w:rsidRPr="000D3E8D" w:rsidRDefault="002F4F7E" w:rsidP="002F4F7E">
      <w:pPr>
        <w:rPr>
          <w:lang w:eastAsia="en-AU"/>
        </w:rPr>
      </w:pPr>
      <w:r w:rsidRPr="002F4F7E">
        <w:rPr>
          <w:b/>
          <w:lang w:eastAsia="en-AU"/>
        </w:rPr>
        <w:t>Held (</w:t>
      </w:r>
      <w:r w:rsidR="00974F0D">
        <w:rPr>
          <w:b/>
          <w:lang w:eastAsia="en-AU"/>
        </w:rPr>
        <w:t>9</w:t>
      </w:r>
      <w:r w:rsidR="002B1A95">
        <w:rPr>
          <w:b/>
          <w:lang w:eastAsia="en-AU"/>
        </w:rPr>
        <w:t>:</w:t>
      </w:r>
      <w:r w:rsidR="00974F0D">
        <w:rPr>
          <w:b/>
          <w:lang w:eastAsia="en-AU"/>
        </w:rPr>
        <w:t>0</w:t>
      </w:r>
      <w:r w:rsidRPr="002F4F7E">
        <w:rPr>
          <w:b/>
          <w:lang w:eastAsia="en-AU"/>
        </w:rPr>
        <w:t xml:space="preserve">): </w:t>
      </w:r>
      <w:r w:rsidR="00974F0D">
        <w:rPr>
          <w:lang w:eastAsia="en-AU"/>
        </w:rPr>
        <w:t xml:space="preserve">Appeal allowed. </w:t>
      </w:r>
    </w:p>
    <w:p w:rsidR="00C920EA" w:rsidRPr="00B546B2" w:rsidRDefault="00C920EA" w:rsidP="00C920EA">
      <w:pPr>
        <w:pStyle w:val="BullDivider2"/>
        <w:rPr>
          <w:rFonts w:cs="Arial"/>
          <w:highlight w:val="yellow"/>
        </w:rPr>
      </w:pPr>
    </w:p>
    <w:p w:rsidR="007C27CF" w:rsidRDefault="007C27CF" w:rsidP="007C27CF"/>
    <w:p w:rsidR="007C27CF" w:rsidRDefault="00BD6D8B" w:rsidP="007C27CF">
      <w:pPr>
        <w:pStyle w:val="Heading1"/>
      </w:pPr>
      <w:r>
        <w:t>E</w:t>
      </w:r>
      <w:r w:rsidR="004C658D">
        <w:t>xtradition</w:t>
      </w:r>
    </w:p>
    <w:p w:rsidR="007C27CF" w:rsidRPr="00FD4E73" w:rsidRDefault="007C27CF" w:rsidP="007C27CF">
      <w:pPr>
        <w:rPr>
          <w:lang w:eastAsia="en-AU"/>
        </w:rPr>
      </w:pPr>
    </w:p>
    <w:p w:rsidR="007C27CF" w:rsidRDefault="007C27CF" w:rsidP="007C27CF">
      <w:pPr>
        <w:rPr>
          <w:rFonts w:ascii="Arial" w:hAnsi="Arial" w:cs="Arial"/>
          <w:bCs/>
          <w:i/>
          <w:iCs/>
          <w:sz w:val="28"/>
          <w:szCs w:val="28"/>
          <w:lang w:eastAsia="en-AU"/>
        </w:rPr>
      </w:pPr>
      <w:r w:rsidRPr="007C27CF">
        <w:rPr>
          <w:rFonts w:ascii="Arial" w:hAnsi="Arial" w:cs="Arial"/>
          <w:bCs/>
          <w:i/>
          <w:iCs/>
          <w:sz w:val="28"/>
          <w:szCs w:val="28"/>
          <w:lang w:eastAsia="en-AU"/>
        </w:rPr>
        <w:t>Zabolotnyi</w:t>
      </w:r>
      <w:r>
        <w:rPr>
          <w:rFonts w:ascii="Arial" w:hAnsi="Arial" w:cs="Arial"/>
          <w:bCs/>
          <w:i/>
          <w:iCs/>
          <w:sz w:val="28"/>
          <w:szCs w:val="28"/>
          <w:lang w:eastAsia="en-AU"/>
        </w:rPr>
        <w:t xml:space="preserve"> </w:t>
      </w:r>
      <w:r w:rsidRPr="007C27CF">
        <w:rPr>
          <w:rFonts w:ascii="Arial" w:hAnsi="Arial" w:cs="Arial"/>
          <w:bCs/>
          <w:i/>
          <w:iCs/>
          <w:sz w:val="28"/>
          <w:szCs w:val="28"/>
          <w:lang w:eastAsia="en-AU"/>
        </w:rPr>
        <w:t>v The Mateszalka District Court, Hungary</w:t>
      </w:r>
    </w:p>
    <w:p w:rsidR="007C27CF" w:rsidRPr="002F4F7E" w:rsidRDefault="007C27CF" w:rsidP="007C27CF">
      <w:pPr>
        <w:rPr>
          <w:lang w:eastAsia="en-AU"/>
        </w:rPr>
      </w:pPr>
      <w:r>
        <w:rPr>
          <w:b/>
          <w:lang w:eastAsia="en-AU"/>
        </w:rPr>
        <w:t>Supreme Court of the United Kingdom</w:t>
      </w:r>
      <w:r w:rsidRPr="002F4F7E">
        <w:rPr>
          <w:b/>
          <w:lang w:eastAsia="en-AU"/>
        </w:rPr>
        <w:t xml:space="preserve">: </w:t>
      </w:r>
      <w:hyperlink r:id="rId23" w:history="1">
        <w:r w:rsidRPr="00181F68">
          <w:rPr>
            <w:rStyle w:val="Hyperlink"/>
            <w:lang w:eastAsia="en-AU"/>
          </w:rPr>
          <w:t>[2021] UKSC 1</w:t>
        </w:r>
        <w:r>
          <w:rPr>
            <w:rStyle w:val="Hyperlink"/>
            <w:lang w:eastAsia="en-AU"/>
          </w:rPr>
          <w:t>3</w:t>
        </w:r>
      </w:hyperlink>
    </w:p>
    <w:p w:rsidR="007C27CF" w:rsidRPr="002F4F7E" w:rsidRDefault="007C27CF" w:rsidP="007C27CF">
      <w:pPr>
        <w:rPr>
          <w:lang w:eastAsia="en-AU"/>
        </w:rPr>
      </w:pPr>
    </w:p>
    <w:p w:rsidR="007C27CF" w:rsidRPr="002F4F7E" w:rsidRDefault="007C27CF" w:rsidP="007C27CF">
      <w:pPr>
        <w:rPr>
          <w:lang w:eastAsia="en-AU"/>
        </w:rPr>
      </w:pPr>
      <w:r w:rsidRPr="002F4F7E">
        <w:rPr>
          <w:b/>
          <w:lang w:eastAsia="en-AU"/>
        </w:rPr>
        <w:t>Judgment delivered:</w:t>
      </w:r>
      <w:r>
        <w:rPr>
          <w:lang w:eastAsia="en-AU"/>
        </w:rPr>
        <w:t xml:space="preserve"> </w:t>
      </w:r>
      <w:r w:rsidR="00BD6D8B">
        <w:rPr>
          <w:lang w:eastAsia="en-AU"/>
        </w:rPr>
        <w:t>30</w:t>
      </w:r>
      <w:r>
        <w:rPr>
          <w:lang w:eastAsia="en-AU"/>
        </w:rPr>
        <w:t xml:space="preserve"> April 2021</w:t>
      </w:r>
    </w:p>
    <w:p w:rsidR="007C27CF" w:rsidRPr="002F4F7E" w:rsidRDefault="007C27CF" w:rsidP="007C27CF">
      <w:pPr>
        <w:rPr>
          <w:lang w:eastAsia="en-AU"/>
        </w:rPr>
      </w:pPr>
    </w:p>
    <w:p w:rsidR="007C27CF" w:rsidRPr="002F4F7E" w:rsidRDefault="007C27CF" w:rsidP="007C27CF">
      <w:pPr>
        <w:rPr>
          <w:lang w:eastAsia="en-AU"/>
        </w:rPr>
      </w:pPr>
      <w:r w:rsidRPr="002F4F7E">
        <w:rPr>
          <w:b/>
          <w:lang w:eastAsia="en-AU"/>
        </w:rPr>
        <w:t xml:space="preserve">Coram: </w:t>
      </w:r>
      <w:r>
        <w:rPr>
          <w:lang w:eastAsia="en-AU"/>
        </w:rPr>
        <w:t xml:space="preserve">Lords </w:t>
      </w:r>
      <w:r w:rsidR="00BD6D8B">
        <w:rPr>
          <w:lang w:eastAsia="en-AU"/>
        </w:rPr>
        <w:t>Lloyd-Jones</w:t>
      </w:r>
      <w:r>
        <w:rPr>
          <w:lang w:eastAsia="en-AU"/>
        </w:rPr>
        <w:t>, Hamblen, Leggatt</w:t>
      </w:r>
      <w:r w:rsidR="00BD6D8B">
        <w:rPr>
          <w:lang w:eastAsia="en-AU"/>
        </w:rPr>
        <w:t xml:space="preserve">, </w:t>
      </w:r>
      <w:r>
        <w:rPr>
          <w:lang w:eastAsia="en-AU"/>
        </w:rPr>
        <w:t xml:space="preserve">Burrows </w:t>
      </w:r>
      <w:r w:rsidR="00BD6D8B">
        <w:rPr>
          <w:lang w:eastAsia="en-AU"/>
        </w:rPr>
        <w:t>and Stephens</w:t>
      </w:r>
    </w:p>
    <w:p w:rsidR="007C27CF" w:rsidRPr="002F4F7E" w:rsidRDefault="007C27CF" w:rsidP="007C27CF">
      <w:pPr>
        <w:rPr>
          <w:lang w:eastAsia="en-AU"/>
        </w:rPr>
      </w:pPr>
    </w:p>
    <w:p w:rsidR="007C27CF" w:rsidRPr="002F4F7E" w:rsidRDefault="007C27CF" w:rsidP="007C27CF">
      <w:pPr>
        <w:rPr>
          <w:b/>
          <w:lang w:eastAsia="en-AU"/>
        </w:rPr>
      </w:pPr>
      <w:r>
        <w:rPr>
          <w:b/>
          <w:lang w:eastAsia="en-AU"/>
        </w:rPr>
        <w:t>Catchwords:</w:t>
      </w:r>
    </w:p>
    <w:p w:rsidR="007C27CF" w:rsidRPr="00856E9C" w:rsidRDefault="007C27CF" w:rsidP="007C27CF">
      <w:pPr>
        <w:rPr>
          <w:b/>
          <w:highlight w:val="yellow"/>
          <w:lang w:eastAsia="en-AU"/>
        </w:rPr>
      </w:pPr>
    </w:p>
    <w:p w:rsidR="007C27CF" w:rsidRPr="00E179E2" w:rsidRDefault="004C658D" w:rsidP="007C27CF">
      <w:pPr>
        <w:ind w:left="720"/>
        <w:rPr>
          <w:lang w:eastAsia="en-AU"/>
        </w:rPr>
      </w:pPr>
      <w:r>
        <w:rPr>
          <w:lang w:eastAsia="en-AU"/>
        </w:rPr>
        <w:t xml:space="preserve">Extradition – </w:t>
      </w:r>
      <w:r w:rsidR="00BD6D8B">
        <w:rPr>
          <w:lang w:eastAsia="en-AU"/>
        </w:rPr>
        <w:t>Evidence – Admissibility</w:t>
      </w:r>
      <w:r>
        <w:rPr>
          <w:lang w:eastAsia="en-AU"/>
        </w:rPr>
        <w:t xml:space="preserve"> of fresh evidence</w:t>
      </w:r>
      <w:r w:rsidR="00BD6D8B">
        <w:rPr>
          <w:lang w:eastAsia="en-AU"/>
        </w:rPr>
        <w:t xml:space="preserve"> – Assurances given by foreign countries – Where respondent requested extradition of appellant pursuant to European </w:t>
      </w:r>
      <w:r>
        <w:rPr>
          <w:lang w:eastAsia="en-AU"/>
        </w:rPr>
        <w:t>a</w:t>
      </w:r>
      <w:r w:rsidR="00BD6D8B">
        <w:rPr>
          <w:lang w:eastAsia="en-AU"/>
        </w:rPr>
        <w:t xml:space="preserve">rrest </w:t>
      </w:r>
      <w:r>
        <w:rPr>
          <w:lang w:eastAsia="en-AU"/>
        </w:rPr>
        <w:t>w</w:t>
      </w:r>
      <w:r w:rsidR="00BD6D8B">
        <w:rPr>
          <w:lang w:eastAsia="en-AU"/>
        </w:rPr>
        <w:t xml:space="preserve">arrant – Where </w:t>
      </w:r>
      <w:r w:rsidR="00694238">
        <w:rPr>
          <w:lang w:eastAsia="en-AU"/>
        </w:rPr>
        <w:t xml:space="preserve">appellant resisted extradition </w:t>
      </w:r>
      <w:r w:rsidR="00E179E2">
        <w:rPr>
          <w:lang w:eastAsia="en-AU"/>
        </w:rPr>
        <w:t xml:space="preserve">because real risk he would be held in prison not compliant with Art 3 of </w:t>
      </w:r>
      <w:r w:rsidR="00E179E2">
        <w:rPr>
          <w:i/>
          <w:lang w:eastAsia="en-AU"/>
        </w:rPr>
        <w:t xml:space="preserve">European Convention on Human Rights </w:t>
      </w:r>
      <w:r w:rsidR="00E179E2">
        <w:rPr>
          <w:lang w:eastAsia="en-AU"/>
        </w:rPr>
        <w:t xml:space="preserve">– Where District Judge ordered extradition on basis Hungary had taken significant steps to improve prisons – Where Hungary gave assurance to appellant he would be held in prison compliant with Art 3 – Where appellant applied for permission to rely on fresh evidence on appeal to Divisional Court, comprising reports of alleged breaches of assurances given to persons extradited to Hungary – Where Divisional Court refused to admit evidence on basis it could only admit evidence relating to assurances if manifestly credible, directly relevant and of real importance, and dismissed appeal – Whether special test for admitting evidence relating to assurances given by foreign countries – Whether evidence admissible. </w:t>
      </w:r>
    </w:p>
    <w:p w:rsidR="00BD6D8B" w:rsidRPr="00856E9C" w:rsidRDefault="00BD6D8B" w:rsidP="007C27CF">
      <w:pPr>
        <w:ind w:left="720"/>
        <w:rPr>
          <w:highlight w:val="yellow"/>
          <w:lang w:eastAsia="en-AU"/>
        </w:rPr>
      </w:pPr>
    </w:p>
    <w:p w:rsidR="007C27CF" w:rsidRPr="000D3E8D" w:rsidRDefault="007C27CF" w:rsidP="007C27CF">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dismissed.  </w:t>
      </w:r>
    </w:p>
    <w:p w:rsidR="007C27CF" w:rsidRPr="00B546B2" w:rsidRDefault="007C27CF" w:rsidP="007C27CF">
      <w:pPr>
        <w:pStyle w:val="BullDivider2"/>
        <w:rPr>
          <w:rFonts w:cs="Arial"/>
          <w:highlight w:val="yellow"/>
        </w:rPr>
      </w:pPr>
    </w:p>
    <w:p w:rsidR="000379B1" w:rsidRDefault="000379B1" w:rsidP="007C27CF"/>
    <w:p w:rsidR="000379B1" w:rsidRDefault="000379B1" w:rsidP="000379B1">
      <w:pPr>
        <w:pStyle w:val="Heading1"/>
      </w:pPr>
      <w:r>
        <w:t>Immigration</w:t>
      </w:r>
    </w:p>
    <w:p w:rsidR="0055691D" w:rsidRDefault="0055691D" w:rsidP="0055691D"/>
    <w:p w:rsidR="0055691D" w:rsidRPr="00FD4E73" w:rsidRDefault="0055691D" w:rsidP="0055691D">
      <w:pPr>
        <w:pStyle w:val="Heading2"/>
        <w:rPr>
          <w:i w:val="0"/>
        </w:rPr>
      </w:pPr>
      <w:r>
        <w:t>Niz-Chavez v Garland, Attorney-General</w:t>
      </w:r>
    </w:p>
    <w:p w:rsidR="0055691D" w:rsidRPr="002F4F7E" w:rsidRDefault="0055691D" w:rsidP="0055691D">
      <w:pPr>
        <w:rPr>
          <w:lang w:eastAsia="en-AU"/>
        </w:rPr>
      </w:pPr>
      <w:r>
        <w:rPr>
          <w:b/>
          <w:lang w:eastAsia="en-AU"/>
        </w:rPr>
        <w:t>Supreme Court of the United States</w:t>
      </w:r>
      <w:r w:rsidRPr="002F4F7E">
        <w:rPr>
          <w:b/>
          <w:lang w:eastAsia="en-AU"/>
        </w:rPr>
        <w:t xml:space="preserve">: </w:t>
      </w:r>
      <w:hyperlink r:id="rId24" w:history="1">
        <w:r w:rsidRPr="00F110BA">
          <w:rPr>
            <w:rStyle w:val="Hyperlink"/>
            <w:lang w:eastAsia="en-AU"/>
          </w:rPr>
          <w:t xml:space="preserve">Docket No </w:t>
        </w:r>
        <w:r>
          <w:rPr>
            <w:rStyle w:val="Hyperlink"/>
            <w:lang w:eastAsia="en-AU"/>
          </w:rPr>
          <w:t>19-863</w:t>
        </w:r>
      </w:hyperlink>
    </w:p>
    <w:p w:rsidR="0055691D" w:rsidRPr="002F4F7E" w:rsidRDefault="0055691D" w:rsidP="0055691D">
      <w:pPr>
        <w:rPr>
          <w:lang w:eastAsia="en-AU"/>
        </w:rPr>
      </w:pPr>
    </w:p>
    <w:p w:rsidR="0055691D" w:rsidRPr="002F4F7E" w:rsidRDefault="0055691D" w:rsidP="0055691D">
      <w:pPr>
        <w:rPr>
          <w:lang w:eastAsia="en-AU"/>
        </w:rPr>
      </w:pPr>
      <w:r w:rsidRPr="002F4F7E">
        <w:rPr>
          <w:b/>
          <w:lang w:eastAsia="en-AU"/>
        </w:rPr>
        <w:t>Judgment delivered:</w:t>
      </w:r>
      <w:r>
        <w:rPr>
          <w:lang w:eastAsia="en-AU"/>
        </w:rPr>
        <w:t xml:space="preserve"> 29 April 2021</w:t>
      </w:r>
    </w:p>
    <w:p w:rsidR="0055691D" w:rsidRPr="002F4F7E" w:rsidRDefault="0055691D" w:rsidP="0055691D">
      <w:pPr>
        <w:rPr>
          <w:lang w:eastAsia="en-AU"/>
        </w:rPr>
      </w:pPr>
    </w:p>
    <w:p w:rsidR="0055691D" w:rsidRPr="002F4F7E" w:rsidRDefault="0055691D" w:rsidP="0055691D">
      <w:pPr>
        <w:rPr>
          <w:lang w:eastAsia="en-AU"/>
        </w:rPr>
      </w:pPr>
      <w:r w:rsidRPr="002F4F7E">
        <w:rPr>
          <w:b/>
          <w:lang w:eastAsia="en-AU"/>
        </w:rPr>
        <w:t xml:space="preserve">Coram: </w:t>
      </w:r>
      <w:r>
        <w:rPr>
          <w:lang w:eastAsia="en-AU"/>
        </w:rPr>
        <w:t>Roberts CJ, Thomas, Breyer, Alito, Sotomayor, Kagan, Gorsuch, Kavanaugh and Barrett JJ</w:t>
      </w:r>
    </w:p>
    <w:p w:rsidR="0055691D" w:rsidRPr="002F4F7E" w:rsidRDefault="0055691D" w:rsidP="0055691D">
      <w:pPr>
        <w:rPr>
          <w:lang w:eastAsia="en-AU"/>
        </w:rPr>
      </w:pPr>
    </w:p>
    <w:p w:rsidR="0055691D" w:rsidRPr="002F4F7E" w:rsidRDefault="0055691D" w:rsidP="0055691D">
      <w:pPr>
        <w:rPr>
          <w:b/>
          <w:lang w:eastAsia="en-AU"/>
        </w:rPr>
      </w:pPr>
      <w:r>
        <w:rPr>
          <w:b/>
          <w:lang w:eastAsia="en-AU"/>
        </w:rPr>
        <w:t>Catchwords:</w:t>
      </w:r>
    </w:p>
    <w:p w:rsidR="0055691D" w:rsidRPr="00856E9C" w:rsidRDefault="0055691D" w:rsidP="0055691D">
      <w:pPr>
        <w:rPr>
          <w:b/>
          <w:highlight w:val="yellow"/>
          <w:lang w:eastAsia="en-AU"/>
        </w:rPr>
      </w:pPr>
    </w:p>
    <w:p w:rsidR="0055691D" w:rsidRPr="0055691D" w:rsidRDefault="0055691D" w:rsidP="0055691D">
      <w:pPr>
        <w:ind w:left="720"/>
        <w:rPr>
          <w:b/>
          <w:lang w:eastAsia="en-AU"/>
        </w:rPr>
      </w:pPr>
      <w:r>
        <w:rPr>
          <w:lang w:eastAsia="en-AU"/>
        </w:rPr>
        <w:t xml:space="preserve">Immigration – Discretionary relief – Stop-time rule – Where </w:t>
      </w:r>
      <w:r w:rsidRPr="0055691D">
        <w:rPr>
          <w:lang w:eastAsia="en-AU"/>
        </w:rPr>
        <w:t>8 USC §1229b(b)(1)</w:t>
      </w:r>
      <w:r>
        <w:rPr>
          <w:lang w:eastAsia="en-AU"/>
        </w:rPr>
        <w:t xml:space="preserve"> provide</w:t>
      </w:r>
      <w:r w:rsidR="000A27C5">
        <w:rPr>
          <w:lang w:eastAsia="en-AU"/>
        </w:rPr>
        <w:t>d</w:t>
      </w:r>
      <w:r>
        <w:rPr>
          <w:lang w:eastAsia="en-AU"/>
        </w:rPr>
        <w:t xml:space="preserve"> non-permanent resident aliens ordered removed eligible for discretionary relief </w:t>
      </w:r>
      <w:r w:rsidR="000A27C5">
        <w:rPr>
          <w:lang w:eastAsia="en-AU"/>
        </w:rPr>
        <w:t xml:space="preserve">if </w:t>
      </w:r>
      <w:r>
        <w:rPr>
          <w:lang w:eastAsia="en-AU"/>
        </w:rPr>
        <w:t>establish</w:t>
      </w:r>
      <w:r w:rsidR="000A27C5">
        <w:rPr>
          <w:lang w:eastAsia="en-AU"/>
        </w:rPr>
        <w:t>ed</w:t>
      </w:r>
      <w:r>
        <w:rPr>
          <w:lang w:eastAsia="en-AU"/>
        </w:rPr>
        <w:t xml:space="preserve"> continuous presence in country for at least 10 years – Where stop-time rule in </w:t>
      </w:r>
      <w:r w:rsidRPr="0055691D">
        <w:rPr>
          <w:lang w:eastAsia="en-AU"/>
        </w:rPr>
        <w:t>§1229b(d)(1</w:t>
      </w:r>
      <w:r>
        <w:rPr>
          <w:lang w:eastAsia="en-AU"/>
        </w:rPr>
        <w:t>) provide</w:t>
      </w:r>
      <w:r w:rsidR="000A27C5">
        <w:rPr>
          <w:lang w:eastAsia="en-AU"/>
        </w:rPr>
        <w:t>d</w:t>
      </w:r>
      <w:r>
        <w:rPr>
          <w:lang w:eastAsia="en-AU"/>
        </w:rPr>
        <w:t xml:space="preserve"> period of continuous presence “shall be deemed to end … when alien is served a notice to appear” – Where “notice to appear” defined as notice specifying certain information – Where </w:t>
      </w:r>
      <w:r w:rsidR="000602A7">
        <w:rPr>
          <w:lang w:eastAsia="en-AU"/>
        </w:rPr>
        <w:t xml:space="preserve">government ordered removal of </w:t>
      </w:r>
      <w:r>
        <w:rPr>
          <w:lang w:eastAsia="en-AU"/>
        </w:rPr>
        <w:t xml:space="preserve">petitioner alien </w:t>
      </w:r>
      <w:r w:rsidR="000602A7">
        <w:rPr>
          <w:lang w:eastAsia="en-AU"/>
        </w:rPr>
        <w:t xml:space="preserve">and sent him document </w:t>
      </w:r>
      <w:r w:rsidR="009D7F4F">
        <w:rPr>
          <w:lang w:eastAsia="en-AU"/>
        </w:rPr>
        <w:t>with some information</w:t>
      </w:r>
      <w:r w:rsidR="000602A7">
        <w:rPr>
          <w:lang w:eastAsia="en-AU"/>
        </w:rPr>
        <w:t xml:space="preserve"> – Where, two months later, government sent petitioner </w:t>
      </w:r>
      <w:r w:rsidR="009D7F4F">
        <w:rPr>
          <w:lang w:eastAsia="en-AU"/>
        </w:rPr>
        <w:t>document with more information</w:t>
      </w:r>
      <w:r w:rsidR="000602A7">
        <w:rPr>
          <w:lang w:eastAsia="en-AU"/>
        </w:rPr>
        <w:t xml:space="preserve"> – Where</w:t>
      </w:r>
      <w:r w:rsidR="009D7F4F">
        <w:rPr>
          <w:lang w:eastAsia="en-AU"/>
        </w:rPr>
        <w:t xml:space="preserve">, separately, documents </w:t>
      </w:r>
      <w:r w:rsidR="005F6397">
        <w:rPr>
          <w:lang w:eastAsia="en-AU"/>
        </w:rPr>
        <w:t xml:space="preserve">not provide sufficient information </w:t>
      </w:r>
      <w:r w:rsidR="009D7F4F">
        <w:rPr>
          <w:lang w:eastAsia="en-AU"/>
        </w:rPr>
        <w:t>to constitute</w:t>
      </w:r>
      <w:r w:rsidR="005F6397">
        <w:rPr>
          <w:lang w:eastAsia="en-AU"/>
        </w:rPr>
        <w:t xml:space="preserve"> </w:t>
      </w:r>
      <w:r w:rsidR="009D7F4F">
        <w:rPr>
          <w:lang w:eastAsia="en-AU"/>
        </w:rPr>
        <w:t>“notice to appear” but together provided required information – Where government contend</w:t>
      </w:r>
      <w:r w:rsidR="000674A3">
        <w:rPr>
          <w:lang w:eastAsia="en-AU"/>
        </w:rPr>
        <w:t>ed</w:t>
      </w:r>
      <w:r w:rsidR="009D7F4F">
        <w:rPr>
          <w:lang w:eastAsia="en-AU"/>
        </w:rPr>
        <w:t xml:space="preserve"> stop-time rule applie</w:t>
      </w:r>
      <w:r w:rsidR="00927EF4">
        <w:rPr>
          <w:lang w:eastAsia="en-AU"/>
        </w:rPr>
        <w:t>d</w:t>
      </w:r>
      <w:r w:rsidR="009D7F4F">
        <w:rPr>
          <w:lang w:eastAsia="en-AU"/>
        </w:rPr>
        <w:t xml:space="preserve"> when served with second document – Whether use of indefinite article “a” means single document containing all required information </w:t>
      </w:r>
      <w:r w:rsidR="00BA0518">
        <w:rPr>
          <w:lang w:eastAsia="en-AU"/>
        </w:rPr>
        <w:t xml:space="preserve">must be given </w:t>
      </w:r>
      <w:r w:rsidR="009D7F4F">
        <w:rPr>
          <w:lang w:eastAsia="en-AU"/>
        </w:rPr>
        <w:t>– Whether stop-time rule applie</w:t>
      </w:r>
      <w:r w:rsidR="00604122">
        <w:rPr>
          <w:lang w:eastAsia="en-AU"/>
        </w:rPr>
        <w:t>d</w:t>
      </w:r>
      <w:r w:rsidR="009D7F4F">
        <w:rPr>
          <w:lang w:eastAsia="en-AU"/>
        </w:rPr>
        <w:t xml:space="preserve"> to petitioner. </w:t>
      </w:r>
    </w:p>
    <w:p w:rsidR="0055691D" w:rsidRPr="00856E9C" w:rsidRDefault="0055691D" w:rsidP="0055691D">
      <w:pPr>
        <w:ind w:left="720"/>
        <w:rPr>
          <w:highlight w:val="yellow"/>
          <w:lang w:eastAsia="en-AU"/>
        </w:rPr>
      </w:pPr>
    </w:p>
    <w:p w:rsidR="0055691D" w:rsidRPr="000D3E8D" w:rsidRDefault="0055691D" w:rsidP="0055691D">
      <w:pPr>
        <w:rPr>
          <w:lang w:eastAsia="en-AU"/>
        </w:rPr>
      </w:pPr>
      <w:r w:rsidRPr="002F4F7E">
        <w:rPr>
          <w:b/>
          <w:lang w:eastAsia="en-AU"/>
        </w:rPr>
        <w:t>Held (</w:t>
      </w:r>
      <w:r>
        <w:rPr>
          <w:b/>
          <w:lang w:eastAsia="en-AU"/>
        </w:rPr>
        <w:t>6:3</w:t>
      </w:r>
      <w:r w:rsidRPr="002F4F7E">
        <w:rPr>
          <w:b/>
          <w:lang w:eastAsia="en-AU"/>
        </w:rPr>
        <w:t xml:space="preserve">): </w:t>
      </w:r>
      <w:r w:rsidR="008916FE">
        <w:rPr>
          <w:lang w:eastAsia="en-AU"/>
        </w:rPr>
        <w:t xml:space="preserve">Reversed. </w:t>
      </w:r>
    </w:p>
    <w:p w:rsidR="0055691D" w:rsidRPr="00181993" w:rsidRDefault="0055691D" w:rsidP="0055691D">
      <w:pPr>
        <w:pStyle w:val="BullDivider1"/>
        <w:pBdr>
          <w:bottom w:val="dotted" w:sz="4" w:space="0" w:color="auto"/>
        </w:pBdr>
      </w:pPr>
    </w:p>
    <w:p w:rsidR="000379B1" w:rsidRPr="00FD4E73" w:rsidRDefault="000379B1" w:rsidP="000379B1">
      <w:pPr>
        <w:rPr>
          <w:lang w:eastAsia="en-AU"/>
        </w:rPr>
      </w:pPr>
    </w:p>
    <w:p w:rsidR="000379B1" w:rsidRPr="00FD4E73" w:rsidRDefault="000379B1" w:rsidP="000379B1">
      <w:pPr>
        <w:pStyle w:val="Heading2"/>
        <w:rPr>
          <w:i w:val="0"/>
        </w:rPr>
      </w:pPr>
      <w:r>
        <w:t>G v G</w:t>
      </w:r>
    </w:p>
    <w:p w:rsidR="000379B1" w:rsidRPr="002F4F7E" w:rsidRDefault="000379B1" w:rsidP="000379B1">
      <w:pPr>
        <w:rPr>
          <w:lang w:eastAsia="en-AU"/>
        </w:rPr>
      </w:pPr>
      <w:r>
        <w:rPr>
          <w:b/>
          <w:lang w:eastAsia="en-AU"/>
        </w:rPr>
        <w:t>Supreme Court of the United Kingdom</w:t>
      </w:r>
      <w:r w:rsidRPr="002F4F7E">
        <w:rPr>
          <w:b/>
          <w:lang w:eastAsia="en-AU"/>
        </w:rPr>
        <w:t xml:space="preserve">: </w:t>
      </w:r>
      <w:hyperlink r:id="rId25" w:history="1">
        <w:r w:rsidRPr="00C34C88">
          <w:rPr>
            <w:rStyle w:val="Hyperlink"/>
            <w:lang w:eastAsia="en-AU"/>
          </w:rPr>
          <w:t>[2021] UKSC</w:t>
        </w:r>
        <w:r w:rsidR="00C34C88" w:rsidRPr="00C34C88">
          <w:rPr>
            <w:rStyle w:val="Hyperlink"/>
            <w:lang w:eastAsia="en-AU"/>
          </w:rPr>
          <w:t xml:space="preserve"> 9</w:t>
        </w:r>
      </w:hyperlink>
    </w:p>
    <w:p w:rsidR="000379B1" w:rsidRPr="002F4F7E" w:rsidRDefault="000379B1" w:rsidP="000379B1">
      <w:pPr>
        <w:rPr>
          <w:lang w:eastAsia="en-AU"/>
        </w:rPr>
      </w:pPr>
    </w:p>
    <w:p w:rsidR="000379B1" w:rsidRPr="002F4F7E" w:rsidRDefault="000379B1" w:rsidP="000379B1">
      <w:pPr>
        <w:rPr>
          <w:lang w:eastAsia="en-AU"/>
        </w:rPr>
      </w:pPr>
      <w:r w:rsidRPr="002F4F7E">
        <w:rPr>
          <w:b/>
          <w:lang w:eastAsia="en-AU"/>
        </w:rPr>
        <w:t>Judgment delivered:</w:t>
      </w:r>
      <w:r>
        <w:rPr>
          <w:lang w:eastAsia="en-AU"/>
        </w:rPr>
        <w:t xml:space="preserve"> 19 March 2021</w:t>
      </w:r>
    </w:p>
    <w:p w:rsidR="000379B1" w:rsidRPr="002F4F7E" w:rsidRDefault="000379B1" w:rsidP="000379B1">
      <w:pPr>
        <w:rPr>
          <w:lang w:eastAsia="en-AU"/>
        </w:rPr>
      </w:pPr>
    </w:p>
    <w:p w:rsidR="000379B1" w:rsidRPr="002F4F7E" w:rsidRDefault="000379B1" w:rsidP="000379B1">
      <w:pPr>
        <w:rPr>
          <w:lang w:eastAsia="en-AU"/>
        </w:rPr>
      </w:pPr>
      <w:r w:rsidRPr="002F4F7E">
        <w:rPr>
          <w:b/>
          <w:lang w:eastAsia="en-AU"/>
        </w:rPr>
        <w:t xml:space="preserve">Coram: </w:t>
      </w:r>
      <w:r w:rsidR="00C34C88">
        <w:rPr>
          <w:lang w:eastAsia="en-AU"/>
        </w:rPr>
        <w:t>Lords Lloyd-Jones, Hamblen, Leggatt, Burrows and Stephens</w:t>
      </w:r>
    </w:p>
    <w:p w:rsidR="000379B1" w:rsidRPr="002F4F7E" w:rsidRDefault="000379B1" w:rsidP="000379B1">
      <w:pPr>
        <w:rPr>
          <w:lang w:eastAsia="en-AU"/>
        </w:rPr>
      </w:pPr>
    </w:p>
    <w:p w:rsidR="000379B1" w:rsidRPr="002F4F7E" w:rsidRDefault="000379B1" w:rsidP="000379B1">
      <w:pPr>
        <w:rPr>
          <w:b/>
          <w:lang w:eastAsia="en-AU"/>
        </w:rPr>
      </w:pPr>
      <w:r>
        <w:rPr>
          <w:b/>
          <w:lang w:eastAsia="en-AU"/>
        </w:rPr>
        <w:t>Catchwords:</w:t>
      </w:r>
    </w:p>
    <w:p w:rsidR="000379B1" w:rsidRPr="00856E9C" w:rsidRDefault="000379B1" w:rsidP="000379B1">
      <w:pPr>
        <w:rPr>
          <w:b/>
          <w:highlight w:val="yellow"/>
          <w:lang w:eastAsia="en-AU"/>
        </w:rPr>
      </w:pPr>
    </w:p>
    <w:p w:rsidR="000F719B" w:rsidRPr="000F719B" w:rsidRDefault="00C34C88" w:rsidP="000379B1">
      <w:pPr>
        <w:ind w:left="720"/>
        <w:rPr>
          <w:lang w:eastAsia="en-AU"/>
        </w:rPr>
      </w:pPr>
      <w:r>
        <w:rPr>
          <w:lang w:eastAsia="en-AU"/>
        </w:rPr>
        <w:t xml:space="preserve">Immigration – </w:t>
      </w:r>
      <w:r w:rsidR="00203CF8">
        <w:rPr>
          <w:lang w:eastAsia="en-AU"/>
        </w:rPr>
        <w:t>Refugees</w:t>
      </w:r>
      <w:r>
        <w:rPr>
          <w:lang w:eastAsia="en-AU"/>
        </w:rPr>
        <w:t xml:space="preserve"> </w:t>
      </w:r>
      <w:r w:rsidR="000F719B">
        <w:rPr>
          <w:lang w:eastAsia="en-AU"/>
        </w:rPr>
        <w:t xml:space="preserve">– Non-refoulement – Interaction with child abduction proceedings – Where </w:t>
      </w:r>
      <w:r w:rsidR="000F719B" w:rsidRPr="000F719B">
        <w:rPr>
          <w:lang w:eastAsia="en-AU"/>
        </w:rPr>
        <w:t>1980 Hague Convention</w:t>
      </w:r>
      <w:r w:rsidR="000F719B">
        <w:rPr>
          <w:lang w:eastAsia="en-AU"/>
        </w:rPr>
        <w:t xml:space="preserve"> provide</w:t>
      </w:r>
      <w:r w:rsidR="00604122">
        <w:rPr>
          <w:lang w:eastAsia="en-AU"/>
        </w:rPr>
        <w:t>d</w:t>
      </w:r>
      <w:r w:rsidR="000F719B">
        <w:rPr>
          <w:lang w:eastAsia="en-AU"/>
        </w:rPr>
        <w:t xml:space="preserve"> for prompt return of wrongfully abducted child to country of habitual residence – Where parties divorced parents of child born and habitually resident in South Africa – Where mother wrongfully removed child to England in breach of father’s right of custody – Where </w:t>
      </w:r>
      <w:r w:rsidR="00604122">
        <w:rPr>
          <w:lang w:eastAsia="en-AU"/>
        </w:rPr>
        <w:t>m</w:t>
      </w:r>
      <w:r w:rsidR="000F719B">
        <w:rPr>
          <w:lang w:eastAsia="en-AU"/>
        </w:rPr>
        <w:t>other applied for asylum on basis she was subjected to death threats and violence because she divorced father and identifi</w:t>
      </w:r>
      <w:r w:rsidR="00604122">
        <w:rPr>
          <w:lang w:eastAsia="en-AU"/>
        </w:rPr>
        <w:t>ed</w:t>
      </w:r>
      <w:r w:rsidR="000F719B">
        <w:rPr>
          <w:lang w:eastAsia="en-AU"/>
        </w:rPr>
        <w:t xml:space="preserve"> as lesbian – Where child listed as dependent on asylum application – Where father applied for child’s return to South Africa under Hague Convention – Where primary judge stayed father’s application pending determination of asylum claim – Where </w:t>
      </w:r>
      <w:r w:rsidR="007D2753">
        <w:rPr>
          <w:lang w:eastAsia="en-AU"/>
        </w:rPr>
        <w:t xml:space="preserve">father appealed and </w:t>
      </w:r>
      <w:r w:rsidR="000F719B">
        <w:rPr>
          <w:lang w:eastAsia="en-AU"/>
        </w:rPr>
        <w:t>Court of Appeal held High Court not barred from determining application for return order nor making such an order – Whether child listed as dependent</w:t>
      </w:r>
      <w:r w:rsidR="00203CF8">
        <w:rPr>
          <w:lang w:eastAsia="en-AU"/>
        </w:rPr>
        <w:t xml:space="preserve"> on asylum application</w:t>
      </w:r>
      <w:r w:rsidR="000F719B">
        <w:rPr>
          <w:lang w:eastAsia="en-AU"/>
        </w:rPr>
        <w:t xml:space="preserve"> </w:t>
      </w:r>
      <w:r w:rsidR="00203CF8">
        <w:rPr>
          <w:lang w:eastAsia="en-AU"/>
        </w:rPr>
        <w:t xml:space="preserve">subject to non-refoulement obligations – </w:t>
      </w:r>
      <w:r w:rsidR="000E2532">
        <w:rPr>
          <w:lang w:eastAsia="en-AU"/>
        </w:rPr>
        <w:t>If so, w</w:t>
      </w:r>
      <w:r w:rsidR="00203CF8">
        <w:rPr>
          <w:lang w:eastAsia="en-AU"/>
        </w:rPr>
        <w:t xml:space="preserve">hether </w:t>
      </w:r>
      <w:r w:rsidR="000E2532">
        <w:rPr>
          <w:lang w:eastAsia="en-AU"/>
        </w:rPr>
        <w:t xml:space="preserve">return order under 1980 Hague Convention can be made where child protected from refoulement – If not, whether return order application should be stayed. </w:t>
      </w:r>
    </w:p>
    <w:p w:rsidR="000379B1" w:rsidRPr="00856E9C" w:rsidRDefault="000379B1" w:rsidP="000379B1">
      <w:pPr>
        <w:ind w:left="720"/>
        <w:rPr>
          <w:highlight w:val="yellow"/>
          <w:lang w:eastAsia="en-AU"/>
        </w:rPr>
      </w:pPr>
    </w:p>
    <w:p w:rsidR="000379B1" w:rsidRPr="000D3E8D" w:rsidRDefault="000379B1" w:rsidP="000379B1">
      <w:pPr>
        <w:rPr>
          <w:lang w:eastAsia="en-AU"/>
        </w:rPr>
      </w:pPr>
      <w:r w:rsidRPr="002F4F7E">
        <w:rPr>
          <w:b/>
          <w:lang w:eastAsia="en-AU"/>
        </w:rPr>
        <w:t>Held (</w:t>
      </w:r>
      <w:r w:rsidR="007D2753">
        <w:rPr>
          <w:b/>
          <w:lang w:eastAsia="en-AU"/>
        </w:rPr>
        <w:t>5</w:t>
      </w:r>
      <w:r>
        <w:rPr>
          <w:b/>
          <w:lang w:eastAsia="en-AU"/>
        </w:rPr>
        <w:t>:0</w:t>
      </w:r>
      <w:r w:rsidRPr="002F4F7E">
        <w:rPr>
          <w:b/>
          <w:lang w:eastAsia="en-AU"/>
        </w:rPr>
        <w:t xml:space="preserve">): </w:t>
      </w:r>
      <w:r>
        <w:rPr>
          <w:lang w:eastAsia="en-AU"/>
        </w:rPr>
        <w:t>Appeal</w:t>
      </w:r>
      <w:r w:rsidR="007D2753">
        <w:rPr>
          <w:lang w:eastAsia="en-AU"/>
        </w:rPr>
        <w:t xml:space="preserve"> allowed. </w:t>
      </w:r>
      <w:r>
        <w:rPr>
          <w:lang w:eastAsia="en-AU"/>
        </w:rPr>
        <w:t xml:space="preserve"> </w:t>
      </w:r>
    </w:p>
    <w:p w:rsidR="00B765CA" w:rsidRPr="00181993" w:rsidRDefault="00B765CA" w:rsidP="00B765CA">
      <w:pPr>
        <w:pStyle w:val="BullDivider1"/>
        <w:pBdr>
          <w:bottom w:val="dotted" w:sz="4" w:space="0" w:color="auto"/>
        </w:pBdr>
      </w:pPr>
    </w:p>
    <w:p w:rsidR="00B765CA" w:rsidRPr="00FD4E73" w:rsidRDefault="00B765CA" w:rsidP="00B765CA">
      <w:pPr>
        <w:rPr>
          <w:lang w:eastAsia="en-AU"/>
        </w:rPr>
      </w:pPr>
    </w:p>
    <w:p w:rsidR="00B765CA" w:rsidRPr="00FD4E73" w:rsidRDefault="00322D67" w:rsidP="00B765CA">
      <w:pPr>
        <w:pStyle w:val="Heading2"/>
        <w:rPr>
          <w:i w:val="0"/>
        </w:rPr>
      </w:pPr>
      <w:r>
        <w:t>Pereida v Wilkinson, Acting Attorney-General</w:t>
      </w:r>
    </w:p>
    <w:p w:rsidR="00B765CA" w:rsidRPr="002F4F7E" w:rsidRDefault="00B765CA" w:rsidP="00B765CA">
      <w:pPr>
        <w:rPr>
          <w:lang w:eastAsia="en-AU"/>
        </w:rPr>
      </w:pPr>
      <w:r>
        <w:rPr>
          <w:b/>
          <w:lang w:eastAsia="en-AU"/>
        </w:rPr>
        <w:t xml:space="preserve">Supreme Court of the United </w:t>
      </w:r>
      <w:r w:rsidR="00322D67">
        <w:rPr>
          <w:b/>
          <w:lang w:eastAsia="en-AU"/>
        </w:rPr>
        <w:t>States:</w:t>
      </w:r>
      <w:r w:rsidRPr="002F4F7E">
        <w:rPr>
          <w:b/>
          <w:lang w:eastAsia="en-AU"/>
        </w:rPr>
        <w:t xml:space="preserve"> </w:t>
      </w:r>
      <w:hyperlink r:id="rId26" w:history="1">
        <w:r w:rsidR="00322D67" w:rsidRPr="00322D67">
          <w:rPr>
            <w:rStyle w:val="Hyperlink"/>
            <w:lang w:eastAsia="en-AU"/>
          </w:rPr>
          <w:t>Docket No 19-438</w:t>
        </w:r>
      </w:hyperlink>
    </w:p>
    <w:p w:rsidR="00B765CA" w:rsidRPr="002F4F7E" w:rsidRDefault="00B765CA" w:rsidP="00B765CA">
      <w:pPr>
        <w:rPr>
          <w:lang w:eastAsia="en-AU"/>
        </w:rPr>
      </w:pPr>
    </w:p>
    <w:p w:rsidR="00B765CA" w:rsidRPr="002F4F7E" w:rsidRDefault="00B765CA" w:rsidP="00B765CA">
      <w:pPr>
        <w:rPr>
          <w:lang w:eastAsia="en-AU"/>
        </w:rPr>
      </w:pPr>
      <w:r w:rsidRPr="002F4F7E">
        <w:rPr>
          <w:b/>
          <w:lang w:eastAsia="en-AU"/>
        </w:rPr>
        <w:t>Judgment delivered:</w:t>
      </w:r>
      <w:r>
        <w:rPr>
          <w:lang w:eastAsia="en-AU"/>
        </w:rPr>
        <w:t xml:space="preserve"> </w:t>
      </w:r>
      <w:r w:rsidR="00322D67">
        <w:rPr>
          <w:lang w:eastAsia="en-AU"/>
        </w:rPr>
        <w:t>4 March 2021</w:t>
      </w:r>
    </w:p>
    <w:p w:rsidR="00B765CA" w:rsidRPr="002F4F7E" w:rsidRDefault="00B765CA" w:rsidP="00B765CA">
      <w:pPr>
        <w:rPr>
          <w:lang w:eastAsia="en-AU"/>
        </w:rPr>
      </w:pPr>
    </w:p>
    <w:p w:rsidR="00B765CA" w:rsidRPr="002F4F7E" w:rsidRDefault="00B765CA" w:rsidP="00B765CA">
      <w:pPr>
        <w:rPr>
          <w:lang w:eastAsia="en-AU"/>
        </w:rPr>
      </w:pPr>
      <w:r w:rsidRPr="002F4F7E">
        <w:rPr>
          <w:b/>
          <w:lang w:eastAsia="en-AU"/>
        </w:rPr>
        <w:t xml:space="preserve">Coram: </w:t>
      </w:r>
      <w:r w:rsidR="00322D67">
        <w:rPr>
          <w:lang w:eastAsia="en-AU"/>
        </w:rPr>
        <w:t>Roberts CJ, Thomas, Breyer, Alito, Sotomayor, Kagan, Gorsuch and Kavanaugh JJ</w:t>
      </w:r>
    </w:p>
    <w:p w:rsidR="00B765CA" w:rsidRPr="002F4F7E" w:rsidRDefault="00B765CA" w:rsidP="00B765CA">
      <w:pPr>
        <w:rPr>
          <w:lang w:eastAsia="en-AU"/>
        </w:rPr>
      </w:pPr>
    </w:p>
    <w:p w:rsidR="00B765CA" w:rsidRPr="002F4F7E" w:rsidRDefault="00B765CA" w:rsidP="00B765CA">
      <w:pPr>
        <w:rPr>
          <w:b/>
          <w:lang w:eastAsia="en-AU"/>
        </w:rPr>
      </w:pPr>
      <w:r>
        <w:rPr>
          <w:b/>
          <w:lang w:eastAsia="en-AU"/>
        </w:rPr>
        <w:t>Catchwords:</w:t>
      </w:r>
    </w:p>
    <w:p w:rsidR="00B765CA" w:rsidRPr="00856E9C" w:rsidRDefault="00B765CA" w:rsidP="00B765CA">
      <w:pPr>
        <w:rPr>
          <w:b/>
          <w:highlight w:val="yellow"/>
          <w:lang w:eastAsia="en-AU"/>
        </w:rPr>
      </w:pPr>
    </w:p>
    <w:p w:rsidR="00DF6881" w:rsidRDefault="00B16A54" w:rsidP="00DF6881">
      <w:pPr>
        <w:ind w:left="720"/>
        <w:rPr>
          <w:lang w:eastAsia="en-AU"/>
        </w:rPr>
      </w:pPr>
      <w:r>
        <w:rPr>
          <w:lang w:eastAsia="en-AU"/>
        </w:rPr>
        <w:t xml:space="preserve">Immigration – Removal – Burden of proof – Where respondent initiated removal proceedings against </w:t>
      </w:r>
      <w:r w:rsidR="0050300B">
        <w:rPr>
          <w:lang w:eastAsia="en-AU"/>
        </w:rPr>
        <w:t>petitioner</w:t>
      </w:r>
      <w:r>
        <w:rPr>
          <w:lang w:eastAsia="en-AU"/>
        </w:rPr>
        <w:t xml:space="preserve"> for entering and remaining in country unlawfully – Where </w:t>
      </w:r>
      <w:r w:rsidR="0050300B">
        <w:rPr>
          <w:lang w:eastAsia="en-AU"/>
        </w:rPr>
        <w:t>petitioner</w:t>
      </w:r>
      <w:r>
        <w:rPr>
          <w:lang w:eastAsia="en-AU"/>
        </w:rPr>
        <w:t xml:space="preserve"> sought to apply for cancellation of removal on discretionary grounds – Where USC </w:t>
      </w:r>
      <w:r w:rsidRPr="00B16A54">
        <w:rPr>
          <w:lang w:eastAsia="en-AU"/>
        </w:rPr>
        <w:t>§1229b(b)(1)(C)</w:t>
      </w:r>
      <w:r>
        <w:rPr>
          <w:lang w:eastAsia="en-AU"/>
        </w:rPr>
        <w:t xml:space="preserve"> provide</w:t>
      </w:r>
      <w:r w:rsidR="00536AA7">
        <w:rPr>
          <w:lang w:eastAsia="en-AU"/>
        </w:rPr>
        <w:t>d</w:t>
      </w:r>
      <w:r>
        <w:rPr>
          <w:lang w:eastAsia="en-AU"/>
        </w:rPr>
        <w:t xml:space="preserve"> eligibility for cancellation require</w:t>
      </w:r>
      <w:r w:rsidR="00536AA7">
        <w:rPr>
          <w:lang w:eastAsia="en-AU"/>
        </w:rPr>
        <w:t>d</w:t>
      </w:r>
      <w:r>
        <w:rPr>
          <w:lang w:eastAsia="en-AU"/>
        </w:rPr>
        <w:t xml:space="preserve"> </w:t>
      </w:r>
      <w:r w:rsidR="0050300B">
        <w:rPr>
          <w:lang w:eastAsia="en-AU"/>
        </w:rPr>
        <w:t>petitioner</w:t>
      </w:r>
      <w:r>
        <w:rPr>
          <w:lang w:eastAsia="en-AU"/>
        </w:rPr>
        <w:t xml:space="preserve"> to prove they have not been convicted of “crime involving moral turpitude” – Where </w:t>
      </w:r>
      <w:r w:rsidR="0050300B">
        <w:rPr>
          <w:lang w:eastAsia="en-AU"/>
        </w:rPr>
        <w:t>petitioner</w:t>
      </w:r>
      <w:r>
        <w:rPr>
          <w:lang w:eastAsia="en-AU"/>
        </w:rPr>
        <w:t xml:space="preserve"> con</w:t>
      </w:r>
      <w:r w:rsidR="00DF6881">
        <w:rPr>
          <w:lang w:eastAsia="en-AU"/>
        </w:rPr>
        <w:t xml:space="preserve">victed of crime under Nebraska law – Where Nebraska law </w:t>
      </w:r>
      <w:r w:rsidR="00AC5094">
        <w:rPr>
          <w:lang w:eastAsia="en-AU"/>
        </w:rPr>
        <w:t xml:space="preserve">lists </w:t>
      </w:r>
      <w:r w:rsidR="00DF6881">
        <w:rPr>
          <w:lang w:eastAsia="en-AU"/>
        </w:rPr>
        <w:t xml:space="preserve">several separate crimes, only one not involving moral turpitude – Where record did not establish exactly which crime </w:t>
      </w:r>
      <w:r w:rsidR="0050300B">
        <w:rPr>
          <w:lang w:eastAsia="en-AU"/>
        </w:rPr>
        <w:t>petitioner</w:t>
      </w:r>
      <w:r w:rsidR="00DF6881">
        <w:rPr>
          <w:lang w:eastAsia="en-AU"/>
        </w:rPr>
        <w:t xml:space="preserve"> convicted of – Where primary judge held </w:t>
      </w:r>
      <w:r w:rsidR="0050300B">
        <w:rPr>
          <w:lang w:eastAsia="en-AU"/>
        </w:rPr>
        <w:t>petitioner</w:t>
      </w:r>
      <w:r w:rsidR="00DF6881">
        <w:rPr>
          <w:lang w:eastAsia="en-AU"/>
        </w:rPr>
        <w:t xml:space="preserve">’s conviction unlikely </w:t>
      </w:r>
      <w:r w:rsidR="00AC5094">
        <w:rPr>
          <w:lang w:eastAsia="en-AU"/>
        </w:rPr>
        <w:t xml:space="preserve">to be for crime not involving moral turpitude – Where </w:t>
      </w:r>
      <w:r w:rsidR="00F110BA">
        <w:rPr>
          <w:lang w:eastAsia="en-AU"/>
        </w:rPr>
        <w:t xml:space="preserve">Eighth Circuit </w:t>
      </w:r>
      <w:r w:rsidR="00AC5094">
        <w:rPr>
          <w:lang w:eastAsia="en-AU"/>
        </w:rPr>
        <w:t xml:space="preserve">held </w:t>
      </w:r>
      <w:r w:rsidR="0050300B">
        <w:rPr>
          <w:lang w:eastAsia="en-AU"/>
        </w:rPr>
        <w:t>petitioner</w:t>
      </w:r>
      <w:r w:rsidR="00AC5094">
        <w:rPr>
          <w:lang w:eastAsia="en-AU"/>
        </w:rPr>
        <w:t xml:space="preserve"> bore burden of proof of showing he had not committed crime involving moral turpitude and he had not discharged burden – Whether </w:t>
      </w:r>
      <w:r w:rsidR="0050300B">
        <w:rPr>
          <w:lang w:eastAsia="en-AU"/>
        </w:rPr>
        <w:t>petitioner</w:t>
      </w:r>
      <w:r w:rsidR="00AC5094">
        <w:rPr>
          <w:lang w:eastAsia="en-AU"/>
        </w:rPr>
        <w:t xml:space="preserve"> b</w:t>
      </w:r>
      <w:r w:rsidR="00536AA7">
        <w:rPr>
          <w:lang w:eastAsia="en-AU"/>
        </w:rPr>
        <w:t xml:space="preserve">ore </w:t>
      </w:r>
      <w:r w:rsidR="00AC5094">
        <w:rPr>
          <w:lang w:eastAsia="en-AU"/>
        </w:rPr>
        <w:t xml:space="preserve">burden of proof – Whether burden discharged. </w:t>
      </w:r>
    </w:p>
    <w:p w:rsidR="00DF6881" w:rsidRPr="00856E9C" w:rsidRDefault="00DF6881" w:rsidP="00B765CA">
      <w:pPr>
        <w:ind w:left="720"/>
        <w:rPr>
          <w:highlight w:val="yellow"/>
          <w:lang w:eastAsia="en-AU"/>
        </w:rPr>
      </w:pPr>
    </w:p>
    <w:p w:rsidR="00B765CA" w:rsidRPr="000D3E8D" w:rsidRDefault="00B765CA" w:rsidP="00B765CA">
      <w:pPr>
        <w:rPr>
          <w:lang w:eastAsia="en-AU"/>
        </w:rPr>
      </w:pPr>
      <w:r w:rsidRPr="002F4F7E">
        <w:rPr>
          <w:b/>
          <w:lang w:eastAsia="en-AU"/>
        </w:rPr>
        <w:t>Held (</w:t>
      </w:r>
      <w:r w:rsidR="00322D67">
        <w:rPr>
          <w:b/>
          <w:lang w:eastAsia="en-AU"/>
        </w:rPr>
        <w:t>5</w:t>
      </w:r>
      <w:r>
        <w:rPr>
          <w:b/>
          <w:lang w:eastAsia="en-AU"/>
        </w:rPr>
        <w:t>:</w:t>
      </w:r>
      <w:r w:rsidR="00322D67">
        <w:rPr>
          <w:b/>
          <w:lang w:eastAsia="en-AU"/>
        </w:rPr>
        <w:t>3</w:t>
      </w:r>
      <w:r w:rsidRPr="002F4F7E">
        <w:rPr>
          <w:b/>
          <w:lang w:eastAsia="en-AU"/>
        </w:rPr>
        <w:t xml:space="preserve">): </w:t>
      </w:r>
      <w:r w:rsidR="006E4A26">
        <w:rPr>
          <w:lang w:eastAsia="en-AU"/>
        </w:rPr>
        <w:t xml:space="preserve">Affirmed. </w:t>
      </w:r>
      <w:r w:rsidR="00322D67">
        <w:rPr>
          <w:lang w:eastAsia="en-AU"/>
        </w:rPr>
        <w:t xml:space="preserve"> </w:t>
      </w:r>
      <w:r>
        <w:rPr>
          <w:lang w:eastAsia="en-AU"/>
        </w:rPr>
        <w:t xml:space="preserve"> </w:t>
      </w:r>
    </w:p>
    <w:p w:rsidR="000379B1" w:rsidRPr="00B546B2" w:rsidRDefault="000379B1" w:rsidP="000379B1">
      <w:pPr>
        <w:pStyle w:val="BullDivider2"/>
        <w:rPr>
          <w:rFonts w:cs="Arial"/>
          <w:highlight w:val="yellow"/>
        </w:rPr>
      </w:pPr>
    </w:p>
    <w:p w:rsidR="00511DAD" w:rsidRDefault="00511DAD" w:rsidP="00511DAD"/>
    <w:p w:rsidR="00511DAD" w:rsidRDefault="00511DAD" w:rsidP="00511DAD">
      <w:pPr>
        <w:pStyle w:val="Heading1"/>
      </w:pPr>
      <w:r>
        <w:t>Industrial Law</w:t>
      </w:r>
    </w:p>
    <w:p w:rsidR="00511DAD" w:rsidRDefault="00511DAD" w:rsidP="00511DAD">
      <w:pPr>
        <w:rPr>
          <w:lang w:eastAsia="en-AU"/>
        </w:rPr>
      </w:pPr>
    </w:p>
    <w:p w:rsidR="00C44F2E" w:rsidRPr="00FD4E73" w:rsidRDefault="00C44F2E" w:rsidP="00C44F2E">
      <w:pPr>
        <w:pStyle w:val="Heading2"/>
        <w:rPr>
          <w:i w:val="0"/>
        </w:rPr>
      </w:pPr>
      <w:r>
        <w:t xml:space="preserve">Asda Stores Ltd v Brierly and Ors </w:t>
      </w:r>
    </w:p>
    <w:p w:rsidR="00C44F2E" w:rsidRPr="002F4F7E" w:rsidRDefault="00C44F2E" w:rsidP="00C44F2E">
      <w:pPr>
        <w:rPr>
          <w:lang w:eastAsia="en-AU"/>
        </w:rPr>
      </w:pPr>
      <w:r>
        <w:rPr>
          <w:b/>
          <w:lang w:eastAsia="en-AU"/>
        </w:rPr>
        <w:t>Supreme Court of the United Kingdom</w:t>
      </w:r>
      <w:r w:rsidRPr="002F4F7E">
        <w:rPr>
          <w:b/>
          <w:lang w:eastAsia="en-AU"/>
        </w:rPr>
        <w:t xml:space="preserve">: </w:t>
      </w:r>
      <w:hyperlink r:id="rId27" w:history="1">
        <w:r w:rsidRPr="00511DAD">
          <w:rPr>
            <w:rStyle w:val="Hyperlink"/>
            <w:lang w:eastAsia="en-AU"/>
          </w:rPr>
          <w:t>[2021] UKSC</w:t>
        </w:r>
        <w:r>
          <w:rPr>
            <w:rStyle w:val="Hyperlink"/>
            <w:lang w:eastAsia="en-AU"/>
          </w:rPr>
          <w:t xml:space="preserve"> 10</w:t>
        </w:r>
      </w:hyperlink>
    </w:p>
    <w:p w:rsidR="00C44F2E" w:rsidRPr="002F4F7E" w:rsidRDefault="00C44F2E" w:rsidP="00C44F2E">
      <w:pPr>
        <w:rPr>
          <w:lang w:eastAsia="en-AU"/>
        </w:rPr>
      </w:pPr>
    </w:p>
    <w:p w:rsidR="00C44F2E" w:rsidRPr="002F4F7E" w:rsidRDefault="00C44F2E" w:rsidP="00C44F2E">
      <w:pPr>
        <w:rPr>
          <w:lang w:eastAsia="en-AU"/>
        </w:rPr>
      </w:pPr>
      <w:r w:rsidRPr="002F4F7E">
        <w:rPr>
          <w:b/>
          <w:lang w:eastAsia="en-AU"/>
        </w:rPr>
        <w:t>Judgment delivered:</w:t>
      </w:r>
      <w:r>
        <w:rPr>
          <w:lang w:eastAsia="en-AU"/>
        </w:rPr>
        <w:t xml:space="preserve"> 26 March 2021</w:t>
      </w:r>
    </w:p>
    <w:p w:rsidR="00C44F2E" w:rsidRPr="002F4F7E" w:rsidRDefault="00C44F2E" w:rsidP="00C44F2E">
      <w:pPr>
        <w:rPr>
          <w:lang w:eastAsia="en-AU"/>
        </w:rPr>
      </w:pPr>
    </w:p>
    <w:p w:rsidR="00C44F2E" w:rsidRPr="002F4F7E" w:rsidRDefault="00C44F2E" w:rsidP="00C44F2E">
      <w:pPr>
        <w:rPr>
          <w:lang w:eastAsia="en-AU"/>
        </w:rPr>
      </w:pPr>
      <w:r w:rsidRPr="002F4F7E">
        <w:rPr>
          <w:b/>
          <w:lang w:eastAsia="en-AU"/>
        </w:rPr>
        <w:t xml:space="preserve">Coram: </w:t>
      </w:r>
      <w:r>
        <w:rPr>
          <w:lang w:eastAsia="en-AU"/>
        </w:rPr>
        <w:t>Lords Reed, Hodge and Lloyd-Jones, Lady Arden and Lord Leggatt</w:t>
      </w:r>
    </w:p>
    <w:p w:rsidR="00C44F2E" w:rsidRPr="002F4F7E" w:rsidRDefault="00C44F2E" w:rsidP="00C44F2E">
      <w:pPr>
        <w:rPr>
          <w:lang w:eastAsia="en-AU"/>
        </w:rPr>
      </w:pPr>
    </w:p>
    <w:p w:rsidR="00C44F2E" w:rsidRPr="002F4F7E" w:rsidRDefault="00C44F2E" w:rsidP="00C44F2E">
      <w:pPr>
        <w:rPr>
          <w:b/>
          <w:lang w:eastAsia="en-AU"/>
        </w:rPr>
      </w:pPr>
      <w:r>
        <w:rPr>
          <w:b/>
          <w:lang w:eastAsia="en-AU"/>
        </w:rPr>
        <w:t>Catchwords:</w:t>
      </w:r>
    </w:p>
    <w:p w:rsidR="00C44F2E" w:rsidRPr="00856E9C" w:rsidRDefault="00C44F2E" w:rsidP="00C44F2E">
      <w:pPr>
        <w:rPr>
          <w:b/>
          <w:highlight w:val="yellow"/>
          <w:lang w:eastAsia="en-AU"/>
        </w:rPr>
      </w:pPr>
    </w:p>
    <w:p w:rsidR="00C44F2E" w:rsidRPr="008D53E9" w:rsidRDefault="008D53E9" w:rsidP="00C44F2E">
      <w:pPr>
        <w:ind w:left="720"/>
        <w:rPr>
          <w:lang w:eastAsia="en-AU"/>
        </w:rPr>
      </w:pPr>
      <w:r>
        <w:rPr>
          <w:lang w:eastAsia="en-AU"/>
        </w:rPr>
        <w:t xml:space="preserve">Industrial law – Equal pay – Valid comparator – Where </w:t>
      </w:r>
      <w:r>
        <w:rPr>
          <w:i/>
          <w:lang w:eastAsia="en-AU"/>
        </w:rPr>
        <w:t xml:space="preserve">Equality Act 2010 </w:t>
      </w:r>
      <w:r>
        <w:rPr>
          <w:lang w:eastAsia="en-AU"/>
        </w:rPr>
        <w:t>allow</w:t>
      </w:r>
      <w:r w:rsidR="00536AA7">
        <w:rPr>
          <w:lang w:eastAsia="en-AU"/>
        </w:rPr>
        <w:t>ed</w:t>
      </w:r>
      <w:r>
        <w:rPr>
          <w:lang w:eastAsia="en-AU"/>
        </w:rPr>
        <w:t xml:space="preserve"> </w:t>
      </w:r>
      <w:r w:rsidR="004F5199">
        <w:rPr>
          <w:lang w:eastAsia="en-AU"/>
        </w:rPr>
        <w:t xml:space="preserve">female </w:t>
      </w:r>
      <w:r>
        <w:rPr>
          <w:lang w:eastAsia="en-AU"/>
        </w:rPr>
        <w:t xml:space="preserve">claimants to </w:t>
      </w:r>
      <w:r w:rsidR="004F5199">
        <w:rPr>
          <w:lang w:eastAsia="en-AU"/>
        </w:rPr>
        <w:t xml:space="preserve">seek compensation for being paid less than males in same employment – </w:t>
      </w:r>
      <w:r>
        <w:rPr>
          <w:lang w:eastAsia="en-AU"/>
        </w:rPr>
        <w:t xml:space="preserve">Where s 79(4)(c) of </w:t>
      </w:r>
      <w:r>
        <w:rPr>
          <w:i/>
          <w:lang w:eastAsia="en-AU"/>
        </w:rPr>
        <w:t xml:space="preserve">Equality Act </w:t>
      </w:r>
      <w:r>
        <w:rPr>
          <w:lang w:eastAsia="en-AU"/>
        </w:rPr>
        <w:t>provide</w:t>
      </w:r>
      <w:r w:rsidR="00536AA7">
        <w:rPr>
          <w:lang w:eastAsia="en-AU"/>
        </w:rPr>
        <w:t>d</w:t>
      </w:r>
      <w:r>
        <w:rPr>
          <w:lang w:eastAsia="en-AU"/>
        </w:rPr>
        <w:t xml:space="preserve"> for “common terms requirement” for equal pay claim, requiring that claimants be able to compare themselves to valid comparator </w:t>
      </w:r>
      <w:r w:rsidR="004F5199">
        <w:rPr>
          <w:lang w:eastAsia="en-AU"/>
        </w:rPr>
        <w:t xml:space="preserve">employed on “common terms” – Where respondents workers employed in appellant’s retail business and claimed compensation for being paid less </w:t>
      </w:r>
      <w:r w:rsidR="004F5199">
        <w:rPr>
          <w:lang w:eastAsia="en-AU"/>
        </w:rPr>
        <w:lastRenderedPageBreak/>
        <w:t xml:space="preserve">than male workers employed in respondents’ distribution depots – Where retail and distribution locations separate – Where appellant applied for dismissal of claim on basis no valid comparator – Where Employment Tribunal held distribution workers valid comparison, and appellant’s appeals to Employment Appeal Tribunal and Court of Appeal unsuccessful – Whether employees in appellant’s retail business entitled to compare themselves to employees in appellant’s distribution depots. </w:t>
      </w:r>
    </w:p>
    <w:p w:rsidR="00C44F2E" w:rsidRPr="00856E9C" w:rsidRDefault="00C44F2E" w:rsidP="00C44F2E">
      <w:pPr>
        <w:ind w:left="720"/>
        <w:rPr>
          <w:highlight w:val="yellow"/>
          <w:lang w:eastAsia="en-AU"/>
        </w:rPr>
      </w:pPr>
    </w:p>
    <w:p w:rsidR="00C44F2E" w:rsidRPr="000D3E8D" w:rsidRDefault="00C44F2E" w:rsidP="00C44F2E">
      <w:pPr>
        <w:rPr>
          <w:lang w:eastAsia="en-AU"/>
        </w:rPr>
      </w:pPr>
      <w:r w:rsidRPr="002F4F7E">
        <w:rPr>
          <w:b/>
          <w:lang w:eastAsia="en-AU"/>
        </w:rPr>
        <w:t>Held (</w:t>
      </w:r>
      <w:r w:rsidR="008D53E9">
        <w:rPr>
          <w:b/>
          <w:lang w:eastAsia="en-AU"/>
        </w:rPr>
        <w:t>5</w:t>
      </w:r>
      <w:r>
        <w:rPr>
          <w:b/>
          <w:lang w:eastAsia="en-AU"/>
        </w:rPr>
        <w:t>:0</w:t>
      </w:r>
      <w:r w:rsidRPr="002F4F7E">
        <w:rPr>
          <w:b/>
          <w:lang w:eastAsia="en-AU"/>
        </w:rPr>
        <w:t xml:space="preserve">): </w:t>
      </w:r>
      <w:r>
        <w:rPr>
          <w:lang w:eastAsia="en-AU"/>
        </w:rPr>
        <w:t xml:space="preserve">Appeal dismissed. </w:t>
      </w:r>
    </w:p>
    <w:p w:rsidR="00C44F2E" w:rsidRPr="00181993" w:rsidRDefault="00C44F2E" w:rsidP="00C44F2E">
      <w:pPr>
        <w:pStyle w:val="BullDivider1"/>
        <w:pBdr>
          <w:bottom w:val="dotted" w:sz="4" w:space="0" w:color="auto"/>
        </w:pBdr>
      </w:pPr>
    </w:p>
    <w:p w:rsidR="00C44F2E" w:rsidRPr="00FD4E73" w:rsidRDefault="00C44F2E" w:rsidP="00511DAD">
      <w:pPr>
        <w:rPr>
          <w:lang w:eastAsia="en-AU"/>
        </w:rPr>
      </w:pPr>
    </w:p>
    <w:p w:rsidR="00511DAD" w:rsidRPr="00FD4E73" w:rsidRDefault="00511DAD" w:rsidP="00511DAD">
      <w:pPr>
        <w:pStyle w:val="Heading2"/>
        <w:rPr>
          <w:i w:val="0"/>
        </w:rPr>
      </w:pPr>
      <w:r>
        <w:t xml:space="preserve">Royal Mencap Society v Tomlinson-Blake; Shannon v Rampersad and Anor (T/A Clifton House Residential Home) </w:t>
      </w:r>
    </w:p>
    <w:p w:rsidR="00511DAD" w:rsidRPr="002F4F7E" w:rsidRDefault="00511DAD" w:rsidP="00511DAD">
      <w:pPr>
        <w:rPr>
          <w:lang w:eastAsia="en-AU"/>
        </w:rPr>
      </w:pPr>
      <w:r>
        <w:rPr>
          <w:b/>
          <w:lang w:eastAsia="en-AU"/>
        </w:rPr>
        <w:t>Supreme Court of the United Kingdom</w:t>
      </w:r>
      <w:r w:rsidRPr="002F4F7E">
        <w:rPr>
          <w:b/>
          <w:lang w:eastAsia="en-AU"/>
        </w:rPr>
        <w:t xml:space="preserve">: </w:t>
      </w:r>
      <w:hyperlink r:id="rId28" w:history="1">
        <w:r w:rsidRPr="00511DAD">
          <w:rPr>
            <w:rStyle w:val="Hyperlink"/>
            <w:lang w:eastAsia="en-AU"/>
          </w:rPr>
          <w:t>[2021] UKSC 8</w:t>
        </w:r>
      </w:hyperlink>
    </w:p>
    <w:p w:rsidR="00511DAD" w:rsidRPr="002F4F7E" w:rsidRDefault="00511DAD" w:rsidP="00511DAD">
      <w:pPr>
        <w:rPr>
          <w:lang w:eastAsia="en-AU"/>
        </w:rPr>
      </w:pPr>
    </w:p>
    <w:p w:rsidR="00511DAD" w:rsidRPr="002F4F7E" w:rsidRDefault="00511DAD" w:rsidP="00511DAD">
      <w:pPr>
        <w:rPr>
          <w:lang w:eastAsia="en-AU"/>
        </w:rPr>
      </w:pPr>
      <w:r w:rsidRPr="002F4F7E">
        <w:rPr>
          <w:b/>
          <w:lang w:eastAsia="en-AU"/>
        </w:rPr>
        <w:t>Judgment delivered:</w:t>
      </w:r>
      <w:r>
        <w:rPr>
          <w:lang w:eastAsia="en-AU"/>
        </w:rPr>
        <w:t xml:space="preserve"> 19 March 2021</w:t>
      </w:r>
    </w:p>
    <w:p w:rsidR="00511DAD" w:rsidRPr="002F4F7E" w:rsidRDefault="00511DAD" w:rsidP="00511DAD">
      <w:pPr>
        <w:rPr>
          <w:lang w:eastAsia="en-AU"/>
        </w:rPr>
      </w:pPr>
    </w:p>
    <w:p w:rsidR="00511DAD" w:rsidRPr="002F4F7E" w:rsidRDefault="00511DAD" w:rsidP="00511DAD">
      <w:pPr>
        <w:rPr>
          <w:lang w:eastAsia="en-AU"/>
        </w:rPr>
      </w:pPr>
      <w:r w:rsidRPr="002F4F7E">
        <w:rPr>
          <w:b/>
          <w:lang w:eastAsia="en-AU"/>
        </w:rPr>
        <w:t xml:space="preserve">Coram: </w:t>
      </w:r>
      <w:r>
        <w:rPr>
          <w:lang w:eastAsia="en-AU"/>
        </w:rPr>
        <w:t>Lords Wilson and Carnwath, Lady Arden and Lord Kitchin</w:t>
      </w:r>
    </w:p>
    <w:p w:rsidR="00511DAD" w:rsidRPr="002F4F7E" w:rsidRDefault="00511DAD" w:rsidP="00511DAD">
      <w:pPr>
        <w:rPr>
          <w:lang w:eastAsia="en-AU"/>
        </w:rPr>
      </w:pPr>
    </w:p>
    <w:p w:rsidR="00511DAD" w:rsidRPr="002F4F7E" w:rsidRDefault="00511DAD" w:rsidP="00511DAD">
      <w:pPr>
        <w:rPr>
          <w:b/>
          <w:lang w:eastAsia="en-AU"/>
        </w:rPr>
      </w:pPr>
      <w:r>
        <w:rPr>
          <w:b/>
          <w:lang w:eastAsia="en-AU"/>
        </w:rPr>
        <w:t>Catchwords:</w:t>
      </w:r>
    </w:p>
    <w:p w:rsidR="00511DAD" w:rsidRPr="00856E9C" w:rsidRDefault="00511DAD" w:rsidP="00511DAD">
      <w:pPr>
        <w:rPr>
          <w:b/>
          <w:highlight w:val="yellow"/>
          <w:lang w:eastAsia="en-AU"/>
        </w:rPr>
      </w:pPr>
    </w:p>
    <w:p w:rsidR="00511DAD" w:rsidRDefault="00511DAD" w:rsidP="00511DAD">
      <w:pPr>
        <w:ind w:left="720"/>
        <w:rPr>
          <w:lang w:eastAsia="en-AU"/>
        </w:rPr>
      </w:pPr>
      <w:r>
        <w:rPr>
          <w:lang w:eastAsia="en-AU"/>
        </w:rPr>
        <w:t xml:space="preserve">Industrial law – Sleep-in workers </w:t>
      </w:r>
      <w:r w:rsidR="00EF1117">
        <w:rPr>
          <w:lang w:eastAsia="en-AU"/>
        </w:rPr>
        <w:t xml:space="preserve">– Where </w:t>
      </w:r>
      <w:r w:rsidR="00EF1117">
        <w:rPr>
          <w:i/>
          <w:lang w:eastAsia="en-AU"/>
        </w:rPr>
        <w:t xml:space="preserve">National Minimum Wage Act 1998 </w:t>
      </w:r>
      <w:r w:rsidR="00EF1117">
        <w:rPr>
          <w:lang w:eastAsia="en-AU"/>
        </w:rPr>
        <w:t xml:space="preserve">(UK) and </w:t>
      </w:r>
      <w:r w:rsidR="00EF1117">
        <w:rPr>
          <w:i/>
          <w:lang w:eastAsia="en-AU"/>
        </w:rPr>
        <w:t xml:space="preserve">National Minimum Wage Regulations 2015 </w:t>
      </w:r>
      <w:r w:rsidR="00EF1117">
        <w:rPr>
          <w:lang w:eastAsia="en-AU"/>
        </w:rPr>
        <w:t>(UK) provide</w:t>
      </w:r>
      <w:r w:rsidR="00536AA7">
        <w:rPr>
          <w:lang w:eastAsia="en-AU"/>
        </w:rPr>
        <w:t>d</w:t>
      </w:r>
      <w:r w:rsidR="00EF1117">
        <w:rPr>
          <w:lang w:eastAsia="en-AU"/>
        </w:rPr>
        <w:t xml:space="preserve"> for fixed minimum hourly wage (NMW rate) for “time work” and “salaried hour work” except where worker permitted to sleep – Where time during which worker permitted to sleep included in “time work” or “salaried time work” only when worker “awake for purpose of working” - </w:t>
      </w:r>
      <w:r>
        <w:rPr>
          <w:lang w:eastAsia="en-AU"/>
        </w:rPr>
        <w:t xml:space="preserve">Where appellants carers for vulnerable adults and employed by respondents – Where appellants required to sleep at </w:t>
      </w:r>
      <w:r w:rsidR="00EF1117">
        <w:rPr>
          <w:lang w:eastAsia="en-AU"/>
        </w:rPr>
        <w:t xml:space="preserve">place of work in order to attend emergencies or assist caring for vulnerable people – Where, in first appeal, appellant “time worker” and paid nightly allowance plus one hour at NMW rate – Where, in second appeal, appellant “salaried time worker” and paid fixed amount per week – Where appellants claimed in Employment Tribunal entitlement to NMW rate for each hour of sleep-in shifts, even when asleep – Where Court of Appeal held neither appellants entitled to be paid NMW rate for all hours of sleep-in shift – Whether appellants entitled to NMW rate for all hours of sleep-in shift. </w:t>
      </w:r>
    </w:p>
    <w:p w:rsidR="00511DAD" w:rsidRPr="00856E9C" w:rsidRDefault="00511DAD" w:rsidP="00511DAD">
      <w:pPr>
        <w:ind w:left="720"/>
        <w:rPr>
          <w:highlight w:val="yellow"/>
          <w:lang w:eastAsia="en-AU"/>
        </w:rPr>
      </w:pPr>
    </w:p>
    <w:p w:rsidR="00511DAD" w:rsidRPr="000D3E8D" w:rsidRDefault="00511DAD" w:rsidP="00511DAD">
      <w:pPr>
        <w:rPr>
          <w:lang w:eastAsia="en-AU"/>
        </w:rPr>
      </w:pPr>
      <w:r w:rsidRPr="002F4F7E">
        <w:rPr>
          <w:b/>
          <w:lang w:eastAsia="en-AU"/>
        </w:rPr>
        <w:t>Held (</w:t>
      </w:r>
      <w:r>
        <w:rPr>
          <w:b/>
          <w:lang w:eastAsia="en-AU"/>
        </w:rPr>
        <w:t>4:0</w:t>
      </w:r>
      <w:r w:rsidRPr="002F4F7E">
        <w:rPr>
          <w:b/>
          <w:lang w:eastAsia="en-AU"/>
        </w:rPr>
        <w:t xml:space="preserve">): </w:t>
      </w:r>
      <w:r>
        <w:rPr>
          <w:lang w:eastAsia="en-AU"/>
        </w:rPr>
        <w:t xml:space="preserve">Appeals dismissed. </w:t>
      </w:r>
    </w:p>
    <w:p w:rsidR="00890A59" w:rsidRPr="00B546B2" w:rsidRDefault="00890A59" w:rsidP="00890A59">
      <w:pPr>
        <w:pStyle w:val="BullDivider2"/>
        <w:rPr>
          <w:rFonts w:cs="Arial"/>
          <w:highlight w:val="yellow"/>
        </w:rPr>
      </w:pPr>
    </w:p>
    <w:p w:rsidR="00890A59" w:rsidRPr="00B546B2" w:rsidRDefault="00890A59" w:rsidP="00890A59">
      <w:pPr>
        <w:rPr>
          <w:highlight w:val="yellow"/>
          <w:lang w:eastAsia="en-AU"/>
        </w:rPr>
      </w:pPr>
    </w:p>
    <w:p w:rsidR="00890A59" w:rsidRDefault="00890A59" w:rsidP="00890A59">
      <w:pPr>
        <w:pStyle w:val="Heading1"/>
      </w:pPr>
      <w:r>
        <w:t>Insurance Law</w:t>
      </w:r>
    </w:p>
    <w:p w:rsidR="00890A59" w:rsidRPr="00FD4E73" w:rsidRDefault="00890A59" w:rsidP="00890A59">
      <w:pPr>
        <w:rPr>
          <w:lang w:eastAsia="en-AU"/>
        </w:rPr>
      </w:pPr>
    </w:p>
    <w:p w:rsidR="00890A59" w:rsidRDefault="00890A59" w:rsidP="00890A59">
      <w:pPr>
        <w:rPr>
          <w:rFonts w:ascii="Arial" w:hAnsi="Arial" w:cs="Arial"/>
          <w:bCs/>
          <w:i/>
          <w:iCs/>
          <w:sz w:val="28"/>
          <w:szCs w:val="28"/>
          <w:lang w:eastAsia="en-AU"/>
        </w:rPr>
      </w:pPr>
      <w:r w:rsidRPr="00890A59">
        <w:rPr>
          <w:rFonts w:ascii="Arial" w:hAnsi="Arial" w:cs="Arial"/>
          <w:bCs/>
          <w:i/>
          <w:iCs/>
          <w:sz w:val="28"/>
          <w:szCs w:val="28"/>
          <w:lang w:eastAsia="en-AU"/>
        </w:rPr>
        <w:t>Burnett or Grant v International Insurance Company of Hanover Ltd</w:t>
      </w:r>
    </w:p>
    <w:p w:rsidR="00890A59" w:rsidRPr="002F4F7E" w:rsidRDefault="00890A59" w:rsidP="00890A59">
      <w:pPr>
        <w:rPr>
          <w:lang w:eastAsia="en-AU"/>
        </w:rPr>
      </w:pPr>
      <w:r>
        <w:rPr>
          <w:b/>
          <w:lang w:eastAsia="en-AU"/>
        </w:rPr>
        <w:t>Supreme Court of the United Kingdom</w:t>
      </w:r>
      <w:r w:rsidRPr="002F4F7E">
        <w:rPr>
          <w:b/>
          <w:lang w:eastAsia="en-AU"/>
        </w:rPr>
        <w:t xml:space="preserve">: </w:t>
      </w:r>
      <w:hyperlink r:id="rId29" w:history="1">
        <w:r w:rsidR="00181F68" w:rsidRPr="00181F68">
          <w:rPr>
            <w:rStyle w:val="Hyperlink"/>
            <w:lang w:eastAsia="en-AU"/>
          </w:rPr>
          <w:t>[2021] UKSC 12</w:t>
        </w:r>
      </w:hyperlink>
    </w:p>
    <w:p w:rsidR="00890A59" w:rsidRPr="002F4F7E" w:rsidRDefault="00890A59" w:rsidP="00890A59">
      <w:pPr>
        <w:rPr>
          <w:lang w:eastAsia="en-AU"/>
        </w:rPr>
      </w:pPr>
    </w:p>
    <w:p w:rsidR="00890A59" w:rsidRPr="002F4F7E" w:rsidRDefault="00890A59" w:rsidP="00890A59">
      <w:pPr>
        <w:rPr>
          <w:lang w:eastAsia="en-AU"/>
        </w:rPr>
      </w:pPr>
      <w:r w:rsidRPr="002F4F7E">
        <w:rPr>
          <w:b/>
          <w:lang w:eastAsia="en-AU"/>
        </w:rPr>
        <w:t>Judgment delivered:</w:t>
      </w:r>
      <w:r>
        <w:rPr>
          <w:lang w:eastAsia="en-AU"/>
        </w:rPr>
        <w:t xml:space="preserve"> 5 April 2021</w:t>
      </w:r>
    </w:p>
    <w:p w:rsidR="00890A59" w:rsidRPr="002F4F7E" w:rsidRDefault="00890A59" w:rsidP="00890A59">
      <w:pPr>
        <w:rPr>
          <w:lang w:eastAsia="en-AU"/>
        </w:rPr>
      </w:pPr>
    </w:p>
    <w:p w:rsidR="00890A59" w:rsidRPr="002F4F7E" w:rsidRDefault="00890A59" w:rsidP="00890A59">
      <w:pPr>
        <w:rPr>
          <w:lang w:eastAsia="en-AU"/>
        </w:rPr>
      </w:pPr>
      <w:r w:rsidRPr="002F4F7E">
        <w:rPr>
          <w:b/>
          <w:lang w:eastAsia="en-AU"/>
        </w:rPr>
        <w:t xml:space="preserve">Coram: </w:t>
      </w:r>
      <w:r w:rsidR="00181F68">
        <w:rPr>
          <w:lang w:eastAsia="en-AU"/>
        </w:rPr>
        <w:t xml:space="preserve">Lords Reed, Briggs, Hamblen, Leggatt and Burrows </w:t>
      </w:r>
    </w:p>
    <w:p w:rsidR="00890A59" w:rsidRPr="002F4F7E" w:rsidRDefault="00890A59" w:rsidP="00890A59">
      <w:pPr>
        <w:rPr>
          <w:lang w:eastAsia="en-AU"/>
        </w:rPr>
      </w:pPr>
    </w:p>
    <w:p w:rsidR="00890A59" w:rsidRPr="002F4F7E" w:rsidRDefault="00890A59" w:rsidP="00890A59">
      <w:pPr>
        <w:rPr>
          <w:b/>
          <w:lang w:eastAsia="en-AU"/>
        </w:rPr>
      </w:pPr>
      <w:r>
        <w:rPr>
          <w:b/>
          <w:lang w:eastAsia="en-AU"/>
        </w:rPr>
        <w:lastRenderedPageBreak/>
        <w:t>Catchwords:</w:t>
      </w:r>
    </w:p>
    <w:p w:rsidR="00890A59" w:rsidRPr="00856E9C" w:rsidRDefault="00890A59" w:rsidP="00890A59">
      <w:pPr>
        <w:rPr>
          <w:b/>
          <w:highlight w:val="yellow"/>
          <w:lang w:eastAsia="en-AU"/>
        </w:rPr>
      </w:pPr>
    </w:p>
    <w:p w:rsidR="00890A59" w:rsidRDefault="00B84714" w:rsidP="00890A59">
      <w:pPr>
        <w:ind w:left="720"/>
        <w:rPr>
          <w:lang w:eastAsia="en-AU"/>
        </w:rPr>
      </w:pPr>
      <w:r>
        <w:rPr>
          <w:lang w:eastAsia="en-AU"/>
        </w:rPr>
        <w:t xml:space="preserve">Insurance law – </w:t>
      </w:r>
      <w:r w:rsidR="00992D69">
        <w:rPr>
          <w:lang w:eastAsia="en-AU"/>
        </w:rPr>
        <w:t>Policy</w:t>
      </w:r>
      <w:r>
        <w:rPr>
          <w:lang w:eastAsia="en-AU"/>
        </w:rPr>
        <w:t xml:space="preserve"> construction </w:t>
      </w:r>
      <w:r w:rsidR="00992D69">
        <w:rPr>
          <w:lang w:eastAsia="en-AU"/>
        </w:rPr>
        <w:t>–</w:t>
      </w:r>
      <w:r>
        <w:rPr>
          <w:lang w:eastAsia="en-AU"/>
        </w:rPr>
        <w:t xml:space="preserve"> </w:t>
      </w:r>
      <w:r w:rsidR="00992D69">
        <w:rPr>
          <w:lang w:eastAsia="en-AU"/>
        </w:rPr>
        <w:t xml:space="preserve">Where respondent widow of </w:t>
      </w:r>
      <w:r w:rsidR="00522730">
        <w:rPr>
          <w:lang w:eastAsia="en-AU"/>
        </w:rPr>
        <w:t>person</w:t>
      </w:r>
      <w:r w:rsidR="00992D69">
        <w:rPr>
          <w:lang w:eastAsia="en-AU"/>
        </w:rPr>
        <w:t xml:space="preserve"> who died following </w:t>
      </w:r>
      <w:r w:rsidR="00522730">
        <w:rPr>
          <w:lang w:eastAsia="en-AU"/>
        </w:rPr>
        <w:t xml:space="preserve">unlawful </w:t>
      </w:r>
      <w:r w:rsidR="00992D69">
        <w:rPr>
          <w:lang w:eastAsia="en-AU"/>
        </w:rPr>
        <w:t>assault by door steward at bar – Where employer of door steward obtained public liability insurance from appellant – Where policy exclude</w:t>
      </w:r>
      <w:r w:rsidR="00536AA7">
        <w:rPr>
          <w:lang w:eastAsia="en-AU"/>
        </w:rPr>
        <w:t>d</w:t>
      </w:r>
      <w:r w:rsidR="00992D69">
        <w:rPr>
          <w:lang w:eastAsia="en-AU"/>
        </w:rPr>
        <w:t xml:space="preserve"> liability for “deliberate acts” and “wrongful arrest” </w:t>
      </w:r>
      <w:r w:rsidR="00522730">
        <w:rPr>
          <w:lang w:eastAsia="en-AU"/>
        </w:rPr>
        <w:t xml:space="preserve">– Where respondent claim </w:t>
      </w:r>
      <w:r w:rsidR="001D14E4">
        <w:rPr>
          <w:lang w:eastAsia="en-AU"/>
        </w:rPr>
        <w:t xml:space="preserve">against insurer succeeded before Lord Ordinary – Where appellant’s appeal dismissed by Court of Session – Whether death caused by “deliberate act” or “wrongful arrest” – Whether exclusion applies. </w:t>
      </w:r>
    </w:p>
    <w:p w:rsidR="00890A59" w:rsidRPr="00856E9C" w:rsidRDefault="00890A59" w:rsidP="00890A59">
      <w:pPr>
        <w:ind w:left="720"/>
        <w:rPr>
          <w:highlight w:val="yellow"/>
          <w:lang w:eastAsia="en-AU"/>
        </w:rPr>
      </w:pPr>
    </w:p>
    <w:p w:rsidR="00890A59" w:rsidRPr="000D3E8D" w:rsidRDefault="00890A59" w:rsidP="00890A59">
      <w:pPr>
        <w:rPr>
          <w:lang w:eastAsia="en-AU"/>
        </w:rPr>
      </w:pPr>
      <w:r w:rsidRPr="002F4F7E">
        <w:rPr>
          <w:b/>
          <w:lang w:eastAsia="en-AU"/>
        </w:rPr>
        <w:t>Held (</w:t>
      </w:r>
      <w:r w:rsidR="001D14E4">
        <w:rPr>
          <w:b/>
          <w:lang w:eastAsia="en-AU"/>
        </w:rPr>
        <w:t>5</w:t>
      </w:r>
      <w:r>
        <w:rPr>
          <w:b/>
          <w:lang w:eastAsia="en-AU"/>
        </w:rPr>
        <w:t>:</w:t>
      </w:r>
      <w:r w:rsidR="001D14E4">
        <w:rPr>
          <w:b/>
          <w:lang w:eastAsia="en-AU"/>
        </w:rPr>
        <w:t>0</w:t>
      </w:r>
      <w:r w:rsidRPr="002F4F7E">
        <w:rPr>
          <w:b/>
          <w:lang w:eastAsia="en-AU"/>
        </w:rPr>
        <w:t xml:space="preserve">): </w:t>
      </w:r>
      <w:r w:rsidR="001D14E4">
        <w:rPr>
          <w:lang w:eastAsia="en-AU"/>
        </w:rPr>
        <w:t xml:space="preserve">Appeal dismissed. </w:t>
      </w:r>
      <w:r>
        <w:rPr>
          <w:lang w:eastAsia="en-AU"/>
        </w:rPr>
        <w:t xml:space="preserve"> </w:t>
      </w:r>
    </w:p>
    <w:p w:rsidR="00EB4F31" w:rsidRPr="00B546B2" w:rsidRDefault="00EB4F31" w:rsidP="00EB4F31">
      <w:pPr>
        <w:pStyle w:val="BullDivider2"/>
        <w:rPr>
          <w:rFonts w:cs="Arial"/>
          <w:highlight w:val="yellow"/>
        </w:rPr>
      </w:pPr>
    </w:p>
    <w:p w:rsidR="00EB4F31" w:rsidRPr="00B546B2" w:rsidRDefault="00EB4F31" w:rsidP="00EB4F31">
      <w:pPr>
        <w:rPr>
          <w:highlight w:val="yellow"/>
          <w:lang w:eastAsia="en-AU"/>
        </w:rPr>
      </w:pPr>
    </w:p>
    <w:p w:rsidR="00EB4F31" w:rsidRDefault="00EB4F31" w:rsidP="00EB4F31">
      <w:pPr>
        <w:pStyle w:val="Heading1"/>
      </w:pPr>
      <w:r>
        <w:t>Intellectual Property</w:t>
      </w:r>
    </w:p>
    <w:p w:rsidR="00EB4F31" w:rsidRPr="00FD4E73" w:rsidRDefault="00EB4F31" w:rsidP="00EB4F31">
      <w:pPr>
        <w:rPr>
          <w:lang w:eastAsia="en-AU"/>
        </w:rPr>
      </w:pPr>
    </w:p>
    <w:p w:rsidR="00EB4F31" w:rsidRPr="00FD4E73" w:rsidRDefault="00EB4F31" w:rsidP="00EB4F31">
      <w:pPr>
        <w:pStyle w:val="Heading2"/>
        <w:rPr>
          <w:i w:val="0"/>
        </w:rPr>
      </w:pPr>
      <w:r>
        <w:t xml:space="preserve">Google LLC v Oracle America, Inc </w:t>
      </w:r>
    </w:p>
    <w:p w:rsidR="00EB4F31" w:rsidRPr="002F4F7E" w:rsidRDefault="00EB4F31" w:rsidP="00EB4F31">
      <w:pPr>
        <w:rPr>
          <w:lang w:eastAsia="en-AU"/>
        </w:rPr>
      </w:pPr>
      <w:r>
        <w:rPr>
          <w:b/>
          <w:lang w:eastAsia="en-AU"/>
        </w:rPr>
        <w:t>Supreme Court of the United States</w:t>
      </w:r>
      <w:r w:rsidRPr="002F4F7E">
        <w:rPr>
          <w:b/>
          <w:lang w:eastAsia="en-AU"/>
        </w:rPr>
        <w:t xml:space="preserve">: </w:t>
      </w:r>
      <w:hyperlink r:id="rId30" w:history="1">
        <w:r w:rsidRPr="00F110BA">
          <w:rPr>
            <w:rStyle w:val="Hyperlink"/>
            <w:lang w:eastAsia="en-AU"/>
          </w:rPr>
          <w:t>Docket No 1</w:t>
        </w:r>
        <w:r>
          <w:rPr>
            <w:rStyle w:val="Hyperlink"/>
            <w:lang w:eastAsia="en-AU"/>
          </w:rPr>
          <w:t>8</w:t>
        </w:r>
        <w:r w:rsidRPr="00F110BA">
          <w:rPr>
            <w:rStyle w:val="Hyperlink"/>
            <w:lang w:eastAsia="en-AU"/>
          </w:rPr>
          <w:t>-</w:t>
        </w:r>
        <w:r>
          <w:rPr>
            <w:rStyle w:val="Hyperlink"/>
            <w:lang w:eastAsia="en-AU"/>
          </w:rPr>
          <w:t>956</w:t>
        </w:r>
      </w:hyperlink>
    </w:p>
    <w:p w:rsidR="00EB4F31" w:rsidRPr="002F4F7E" w:rsidRDefault="00EB4F31" w:rsidP="00EB4F31">
      <w:pPr>
        <w:rPr>
          <w:lang w:eastAsia="en-AU"/>
        </w:rPr>
      </w:pPr>
    </w:p>
    <w:p w:rsidR="00EB4F31" w:rsidRPr="002F4F7E" w:rsidRDefault="00EB4F31" w:rsidP="00EB4F31">
      <w:pPr>
        <w:rPr>
          <w:lang w:eastAsia="en-AU"/>
        </w:rPr>
      </w:pPr>
      <w:r w:rsidRPr="002F4F7E">
        <w:rPr>
          <w:b/>
          <w:lang w:eastAsia="en-AU"/>
        </w:rPr>
        <w:t>Judgment delivered:</w:t>
      </w:r>
      <w:r>
        <w:rPr>
          <w:lang w:eastAsia="en-AU"/>
        </w:rPr>
        <w:t xml:space="preserve"> 5 April 2021</w:t>
      </w:r>
    </w:p>
    <w:p w:rsidR="00EB4F31" w:rsidRPr="002F4F7E" w:rsidRDefault="00EB4F31" w:rsidP="00EB4F31">
      <w:pPr>
        <w:rPr>
          <w:lang w:eastAsia="en-AU"/>
        </w:rPr>
      </w:pPr>
    </w:p>
    <w:p w:rsidR="00EB4F31" w:rsidRPr="002F4F7E" w:rsidRDefault="00EB4F31" w:rsidP="00EB4F31">
      <w:pPr>
        <w:rPr>
          <w:lang w:eastAsia="en-AU"/>
        </w:rPr>
      </w:pPr>
      <w:r w:rsidRPr="002F4F7E">
        <w:rPr>
          <w:b/>
          <w:lang w:eastAsia="en-AU"/>
        </w:rPr>
        <w:t xml:space="preserve">Coram: </w:t>
      </w:r>
      <w:r>
        <w:rPr>
          <w:lang w:eastAsia="en-AU"/>
        </w:rPr>
        <w:t>Roberts CJ, Thomas, Breyer, Alito, Sotomayor, Kagan, Gorsuch and Kavanaugh JJ</w:t>
      </w:r>
    </w:p>
    <w:p w:rsidR="00EB4F31" w:rsidRPr="002F4F7E" w:rsidRDefault="00EB4F31" w:rsidP="00EB4F31">
      <w:pPr>
        <w:rPr>
          <w:lang w:eastAsia="en-AU"/>
        </w:rPr>
      </w:pPr>
    </w:p>
    <w:p w:rsidR="00EB4F31" w:rsidRPr="002F4F7E" w:rsidRDefault="00EB4F31" w:rsidP="00EB4F31">
      <w:pPr>
        <w:rPr>
          <w:b/>
          <w:lang w:eastAsia="en-AU"/>
        </w:rPr>
      </w:pPr>
      <w:r>
        <w:rPr>
          <w:b/>
          <w:lang w:eastAsia="en-AU"/>
        </w:rPr>
        <w:t>Catchwords:</w:t>
      </w:r>
    </w:p>
    <w:p w:rsidR="00EB4F31" w:rsidRPr="00856E9C" w:rsidRDefault="00EB4F31" w:rsidP="00EB4F31">
      <w:pPr>
        <w:rPr>
          <w:b/>
          <w:highlight w:val="yellow"/>
          <w:lang w:eastAsia="en-AU"/>
        </w:rPr>
      </w:pPr>
    </w:p>
    <w:p w:rsidR="00EB4F31" w:rsidRDefault="00EB4F31" w:rsidP="00EB4F31">
      <w:pPr>
        <w:ind w:left="720"/>
        <w:rPr>
          <w:lang w:eastAsia="en-AU"/>
        </w:rPr>
      </w:pPr>
      <w:r>
        <w:rPr>
          <w:lang w:eastAsia="en-AU"/>
        </w:rPr>
        <w:t xml:space="preserve">Intellectual property – Copyright – Fair use </w:t>
      </w:r>
      <w:r w:rsidR="00B155E1">
        <w:rPr>
          <w:lang w:eastAsia="en-AU"/>
        </w:rPr>
        <w:t>– Where respondent own</w:t>
      </w:r>
      <w:r w:rsidR="00E56F4F">
        <w:rPr>
          <w:lang w:eastAsia="en-AU"/>
        </w:rPr>
        <w:t>ed</w:t>
      </w:r>
      <w:r w:rsidR="00B155E1">
        <w:rPr>
          <w:lang w:eastAsia="en-AU"/>
        </w:rPr>
        <w:t xml:space="preserve"> copyright in Java SE computer platform – Where, in 2005, petitioner built new software platform Android – Where petitioner copied 11,500 lines of code from Java SE Program to build new platform to make it more attractive to programmers familiar with Java programming language</w:t>
      </w:r>
      <w:r w:rsidR="00ED64E9">
        <w:rPr>
          <w:lang w:eastAsia="en-AU"/>
        </w:rPr>
        <w:t xml:space="preserve"> and to enhance interoperability</w:t>
      </w:r>
      <w:r w:rsidR="00B155E1">
        <w:rPr>
          <w:lang w:eastAsia="en-AU"/>
        </w:rPr>
        <w:t xml:space="preserve"> – Where lines of code part of Application Programming Interface (API), which allows programmers to use prewritten computing tasks for use in own programs</w:t>
      </w:r>
      <w:r w:rsidR="004224FD">
        <w:rPr>
          <w:lang w:eastAsia="en-AU"/>
        </w:rPr>
        <w:t xml:space="preserve"> so applications written in other languages can still operate – Where Federal Circuit held APIs copyrightable and petitioner’s use did not constitute fair use – Whether APIs copyrightable – Whether using lines from APIs to create transformative program fair use. </w:t>
      </w:r>
    </w:p>
    <w:p w:rsidR="00EB4F31" w:rsidRPr="00856E9C" w:rsidRDefault="00EB4F31" w:rsidP="00EB4F31">
      <w:pPr>
        <w:ind w:left="720"/>
        <w:rPr>
          <w:highlight w:val="yellow"/>
          <w:lang w:eastAsia="en-AU"/>
        </w:rPr>
      </w:pPr>
    </w:p>
    <w:p w:rsidR="00EB4F31" w:rsidRPr="000D3E8D" w:rsidRDefault="00EB4F31" w:rsidP="00EB4F31">
      <w:pPr>
        <w:rPr>
          <w:lang w:eastAsia="en-AU"/>
        </w:rPr>
      </w:pPr>
      <w:r w:rsidRPr="002F4F7E">
        <w:rPr>
          <w:b/>
          <w:lang w:eastAsia="en-AU"/>
        </w:rPr>
        <w:t>Held (</w:t>
      </w:r>
      <w:r>
        <w:rPr>
          <w:b/>
          <w:lang w:eastAsia="en-AU"/>
        </w:rPr>
        <w:t>6:2</w:t>
      </w:r>
      <w:r w:rsidRPr="002F4F7E">
        <w:rPr>
          <w:b/>
          <w:lang w:eastAsia="en-AU"/>
        </w:rPr>
        <w:t xml:space="preserve">): </w:t>
      </w:r>
      <w:r>
        <w:rPr>
          <w:lang w:eastAsia="en-AU"/>
        </w:rPr>
        <w:t xml:space="preserve">Reversed and remanded. </w:t>
      </w:r>
    </w:p>
    <w:p w:rsidR="000B42A3" w:rsidRPr="00B546B2" w:rsidRDefault="000B42A3" w:rsidP="000B42A3">
      <w:pPr>
        <w:pStyle w:val="BullDivider2"/>
        <w:rPr>
          <w:rFonts w:cs="Arial"/>
          <w:highlight w:val="yellow"/>
        </w:rPr>
      </w:pPr>
    </w:p>
    <w:p w:rsidR="000B42A3" w:rsidRPr="00B546B2" w:rsidRDefault="000B42A3" w:rsidP="000B42A3">
      <w:pPr>
        <w:rPr>
          <w:highlight w:val="yellow"/>
          <w:lang w:eastAsia="en-AU"/>
        </w:rPr>
      </w:pPr>
    </w:p>
    <w:p w:rsidR="000B42A3" w:rsidRDefault="000B42A3" w:rsidP="000B42A3">
      <w:pPr>
        <w:pStyle w:val="Heading1"/>
      </w:pPr>
      <w:r>
        <w:t xml:space="preserve">Practice and Procedure </w:t>
      </w:r>
    </w:p>
    <w:p w:rsidR="000F381F" w:rsidRDefault="000F381F" w:rsidP="000F381F"/>
    <w:p w:rsidR="005653A2" w:rsidRDefault="005653A2" w:rsidP="000F381F">
      <w:pPr>
        <w:rPr>
          <w:rFonts w:ascii="Arial" w:hAnsi="Arial" w:cs="Arial"/>
          <w:bCs/>
          <w:i/>
          <w:iCs/>
          <w:sz w:val="28"/>
          <w:szCs w:val="28"/>
          <w:lang w:eastAsia="en-AU"/>
        </w:rPr>
      </w:pPr>
      <w:r w:rsidRPr="005653A2">
        <w:rPr>
          <w:rFonts w:ascii="Arial" w:hAnsi="Arial" w:cs="Arial"/>
          <w:bCs/>
          <w:i/>
          <w:iCs/>
          <w:sz w:val="28"/>
          <w:szCs w:val="28"/>
          <w:lang w:eastAsia="en-AU"/>
        </w:rPr>
        <w:t>Member of the Executive Council for Health, Gauteng Provincial Government v PN</w:t>
      </w:r>
    </w:p>
    <w:p w:rsidR="000F381F" w:rsidRPr="002F4F7E" w:rsidRDefault="005653A2" w:rsidP="000F381F">
      <w:pPr>
        <w:rPr>
          <w:lang w:eastAsia="en-AU"/>
        </w:rPr>
      </w:pPr>
      <w:r>
        <w:rPr>
          <w:b/>
          <w:lang w:eastAsia="en-AU"/>
        </w:rPr>
        <w:t>Constitutional Court of South Africa</w:t>
      </w:r>
      <w:r w:rsidR="000F381F" w:rsidRPr="002F4F7E">
        <w:rPr>
          <w:b/>
          <w:lang w:eastAsia="en-AU"/>
        </w:rPr>
        <w:t xml:space="preserve">: </w:t>
      </w:r>
      <w:hyperlink r:id="rId31" w:history="1">
        <w:r w:rsidRPr="005653A2">
          <w:rPr>
            <w:rStyle w:val="Hyperlink"/>
            <w:lang w:eastAsia="en-AU"/>
          </w:rPr>
          <w:t>[2021] ZACC 6</w:t>
        </w:r>
      </w:hyperlink>
    </w:p>
    <w:p w:rsidR="000F381F" w:rsidRPr="002F4F7E" w:rsidRDefault="000F381F" w:rsidP="000F381F">
      <w:pPr>
        <w:rPr>
          <w:lang w:eastAsia="en-AU"/>
        </w:rPr>
      </w:pPr>
    </w:p>
    <w:p w:rsidR="000F381F" w:rsidRPr="002F4F7E" w:rsidRDefault="000F381F" w:rsidP="000F381F">
      <w:pPr>
        <w:rPr>
          <w:lang w:eastAsia="en-AU"/>
        </w:rPr>
      </w:pPr>
      <w:r w:rsidRPr="002F4F7E">
        <w:rPr>
          <w:b/>
          <w:lang w:eastAsia="en-AU"/>
        </w:rPr>
        <w:t>Judgment delivered:</w:t>
      </w:r>
      <w:r w:rsidRPr="002F4F7E">
        <w:rPr>
          <w:lang w:eastAsia="en-AU"/>
        </w:rPr>
        <w:t xml:space="preserve"> </w:t>
      </w:r>
      <w:r>
        <w:rPr>
          <w:lang w:eastAsia="en-AU"/>
        </w:rPr>
        <w:t>1</w:t>
      </w:r>
      <w:r w:rsidR="005653A2">
        <w:rPr>
          <w:lang w:eastAsia="en-AU"/>
        </w:rPr>
        <w:t xml:space="preserve"> April</w:t>
      </w:r>
      <w:r>
        <w:rPr>
          <w:lang w:eastAsia="en-AU"/>
        </w:rPr>
        <w:t xml:space="preserve"> 2021</w:t>
      </w:r>
    </w:p>
    <w:p w:rsidR="000F381F" w:rsidRPr="002F4F7E" w:rsidRDefault="000F381F" w:rsidP="000F381F">
      <w:pPr>
        <w:rPr>
          <w:lang w:eastAsia="en-AU"/>
        </w:rPr>
      </w:pPr>
    </w:p>
    <w:p w:rsidR="000F381F" w:rsidRPr="002F4F7E" w:rsidRDefault="000F381F" w:rsidP="000F381F">
      <w:pPr>
        <w:rPr>
          <w:lang w:eastAsia="en-AU"/>
        </w:rPr>
      </w:pPr>
      <w:r w:rsidRPr="002F4F7E">
        <w:rPr>
          <w:b/>
          <w:lang w:eastAsia="en-AU"/>
        </w:rPr>
        <w:t xml:space="preserve">Coram: </w:t>
      </w:r>
      <w:r w:rsidR="005653A2">
        <w:rPr>
          <w:lang w:eastAsia="en-AU"/>
        </w:rPr>
        <w:t>Moegong CJ, Jafta, Khampepe, Madlanga, Majiedt JJ, Mathopo AJ, Mhlantla, Theron, Tshiqi JJ and Victor AJ</w:t>
      </w:r>
    </w:p>
    <w:p w:rsidR="000F381F" w:rsidRPr="002F4F7E" w:rsidRDefault="000F381F" w:rsidP="000F381F">
      <w:pPr>
        <w:rPr>
          <w:lang w:eastAsia="en-AU"/>
        </w:rPr>
      </w:pPr>
    </w:p>
    <w:p w:rsidR="000F381F" w:rsidRPr="002F4F7E" w:rsidRDefault="000F381F" w:rsidP="000F381F">
      <w:pPr>
        <w:rPr>
          <w:b/>
          <w:lang w:eastAsia="en-AU"/>
        </w:rPr>
      </w:pPr>
      <w:r>
        <w:rPr>
          <w:b/>
          <w:lang w:eastAsia="en-AU"/>
        </w:rPr>
        <w:t>Catchwords:</w:t>
      </w:r>
    </w:p>
    <w:p w:rsidR="000F381F" w:rsidRPr="00856E9C" w:rsidRDefault="000F381F" w:rsidP="000F381F">
      <w:pPr>
        <w:rPr>
          <w:b/>
          <w:highlight w:val="yellow"/>
          <w:lang w:eastAsia="en-AU"/>
        </w:rPr>
      </w:pPr>
    </w:p>
    <w:p w:rsidR="000F381F" w:rsidRPr="00FD448A" w:rsidRDefault="005653A2" w:rsidP="000F381F">
      <w:pPr>
        <w:ind w:left="720"/>
        <w:rPr>
          <w:lang w:eastAsia="en-AU"/>
        </w:rPr>
      </w:pPr>
      <w:r>
        <w:rPr>
          <w:lang w:eastAsia="en-AU"/>
        </w:rPr>
        <w:t xml:space="preserve">Practice and procedure – </w:t>
      </w:r>
      <w:r w:rsidRPr="005653A2">
        <w:rPr>
          <w:i/>
          <w:lang w:eastAsia="en-AU"/>
        </w:rPr>
        <w:t>Res judicata</w:t>
      </w:r>
      <w:r w:rsidRPr="005653A2">
        <w:rPr>
          <w:lang w:eastAsia="en-AU"/>
        </w:rPr>
        <w:t xml:space="preserve"> </w:t>
      </w:r>
      <w:r>
        <w:rPr>
          <w:lang w:eastAsia="en-AU"/>
        </w:rPr>
        <w:t xml:space="preserve">– Damages – Where respondent mother of child afflicted with cerebral palsy caused by injuries sustained at birth at state healthcare facility – Where respondent claimed for damages against applicant – Where High Court gave order </w:t>
      </w:r>
      <w:r w:rsidR="006B2940">
        <w:rPr>
          <w:lang w:eastAsia="en-AU"/>
        </w:rPr>
        <w:t xml:space="preserve">as to </w:t>
      </w:r>
      <w:r>
        <w:rPr>
          <w:lang w:eastAsia="en-AU"/>
        </w:rPr>
        <w:t>liability</w:t>
      </w:r>
      <w:r w:rsidR="006B2940">
        <w:rPr>
          <w:lang w:eastAsia="en-AU"/>
        </w:rPr>
        <w:t xml:space="preserve">, </w:t>
      </w:r>
      <w:r>
        <w:rPr>
          <w:lang w:eastAsia="en-AU"/>
        </w:rPr>
        <w:t xml:space="preserve">with quantum to be decided at later stage, </w:t>
      </w:r>
      <w:r w:rsidR="006B2940">
        <w:rPr>
          <w:lang w:eastAsia="en-AU"/>
        </w:rPr>
        <w:t xml:space="preserve">and </w:t>
      </w:r>
      <w:r>
        <w:rPr>
          <w:lang w:eastAsia="en-AU"/>
        </w:rPr>
        <w:t>order</w:t>
      </w:r>
      <w:r w:rsidR="006B2940">
        <w:rPr>
          <w:lang w:eastAsia="en-AU"/>
        </w:rPr>
        <w:t>ed</w:t>
      </w:r>
      <w:r>
        <w:rPr>
          <w:lang w:eastAsia="en-AU"/>
        </w:rPr>
        <w:t xml:space="preserve"> applicant obliged to “pay to” respondent “100% … of her agreed or proven damages” – Where, after order granted, Constitutional Court handed down judgment in </w:t>
      </w:r>
      <w:r w:rsidRPr="005653A2">
        <w:rPr>
          <w:i/>
          <w:lang w:eastAsia="en-AU"/>
        </w:rPr>
        <w:t>MEC for Health and Social Development, Gauteng v DZ obo WZ</w:t>
      </w:r>
      <w:r>
        <w:rPr>
          <w:i/>
          <w:lang w:eastAsia="en-AU"/>
        </w:rPr>
        <w:t xml:space="preserve"> </w:t>
      </w:r>
      <w:r>
        <w:rPr>
          <w:lang w:eastAsia="en-AU"/>
        </w:rPr>
        <w:t xml:space="preserve">[2017] ZACC 37, in which Court adverted to </w:t>
      </w:r>
      <w:r w:rsidR="00E02069">
        <w:rPr>
          <w:lang w:eastAsia="en-AU"/>
        </w:rPr>
        <w:t>potential</w:t>
      </w:r>
      <w:r w:rsidR="006B2940">
        <w:rPr>
          <w:lang w:eastAsia="en-AU"/>
        </w:rPr>
        <w:t xml:space="preserve"> </w:t>
      </w:r>
      <w:r>
        <w:rPr>
          <w:lang w:eastAsia="en-AU"/>
        </w:rPr>
        <w:t xml:space="preserve">development of common law such that damages for medical negligence could be satisfied by provision of public healthcare services and undertaking to pay costs of services unable to be provided in public healthcare, instead of monetary compensation – Where, at hearing for quantum, applicant </w:t>
      </w:r>
      <w:r w:rsidR="006B2940">
        <w:rPr>
          <w:lang w:eastAsia="en-AU"/>
        </w:rPr>
        <w:t>sought to argue</w:t>
      </w:r>
      <w:r>
        <w:rPr>
          <w:lang w:eastAsia="en-AU"/>
        </w:rPr>
        <w:t xml:space="preserve"> development of common law – Where High Court held manner of compensation </w:t>
      </w:r>
      <w:r w:rsidRPr="005653A2">
        <w:rPr>
          <w:i/>
          <w:lang w:eastAsia="en-AU"/>
        </w:rPr>
        <w:t>res judicata</w:t>
      </w:r>
      <w:r>
        <w:rPr>
          <w:lang w:eastAsia="en-AU"/>
        </w:rPr>
        <w:t xml:space="preserve"> </w:t>
      </w:r>
      <w:r w:rsidR="00FD448A">
        <w:rPr>
          <w:lang w:eastAsia="en-AU"/>
        </w:rPr>
        <w:t xml:space="preserve">and not open to applicant to seek development of common law – Whether manner of compensation </w:t>
      </w:r>
      <w:r w:rsidR="00FD448A">
        <w:rPr>
          <w:i/>
          <w:lang w:eastAsia="en-AU"/>
        </w:rPr>
        <w:t xml:space="preserve">res judicata </w:t>
      </w:r>
      <w:r w:rsidR="00FD448A">
        <w:rPr>
          <w:lang w:eastAsia="en-AU"/>
        </w:rPr>
        <w:t xml:space="preserve">– Whether applicant entitled to raise development of common law argument at quantum hearing. </w:t>
      </w:r>
    </w:p>
    <w:p w:rsidR="005653A2" w:rsidRPr="00856E9C" w:rsidRDefault="005653A2" w:rsidP="000F381F">
      <w:pPr>
        <w:ind w:left="720"/>
        <w:rPr>
          <w:highlight w:val="yellow"/>
          <w:lang w:eastAsia="en-AU"/>
        </w:rPr>
      </w:pPr>
    </w:p>
    <w:p w:rsidR="000F381F" w:rsidRPr="000D3E8D" w:rsidRDefault="000F381F" w:rsidP="000F381F">
      <w:pPr>
        <w:rPr>
          <w:lang w:eastAsia="en-AU"/>
        </w:rPr>
      </w:pPr>
      <w:r w:rsidRPr="002F4F7E">
        <w:rPr>
          <w:b/>
          <w:lang w:eastAsia="en-AU"/>
        </w:rPr>
        <w:t>Held (</w:t>
      </w:r>
      <w:r w:rsidR="005653A2">
        <w:rPr>
          <w:b/>
          <w:lang w:eastAsia="en-AU"/>
        </w:rPr>
        <w:t>10</w:t>
      </w:r>
      <w:r>
        <w:rPr>
          <w:b/>
          <w:lang w:eastAsia="en-AU"/>
        </w:rPr>
        <w:t>:</w:t>
      </w:r>
      <w:r w:rsidR="005653A2">
        <w:rPr>
          <w:b/>
          <w:lang w:eastAsia="en-AU"/>
        </w:rPr>
        <w:t>0</w:t>
      </w:r>
      <w:r w:rsidRPr="002F4F7E">
        <w:rPr>
          <w:b/>
          <w:lang w:eastAsia="en-AU"/>
        </w:rPr>
        <w:t xml:space="preserve">): </w:t>
      </w:r>
      <w:r w:rsidR="005653A2">
        <w:rPr>
          <w:lang w:eastAsia="en-AU"/>
        </w:rPr>
        <w:t>Leave to appeal granted; a</w:t>
      </w:r>
      <w:r>
        <w:rPr>
          <w:lang w:eastAsia="en-AU"/>
        </w:rPr>
        <w:t xml:space="preserve">ppeal allowed. </w:t>
      </w:r>
    </w:p>
    <w:p w:rsidR="000F381F" w:rsidRPr="00181993" w:rsidRDefault="000F381F" w:rsidP="000F381F">
      <w:pPr>
        <w:pStyle w:val="BullDivider1"/>
        <w:pBdr>
          <w:bottom w:val="dotted" w:sz="4" w:space="0" w:color="auto"/>
        </w:pBdr>
      </w:pPr>
    </w:p>
    <w:p w:rsidR="000B42A3" w:rsidRPr="00FD4E73" w:rsidRDefault="000B42A3" w:rsidP="000B42A3">
      <w:pPr>
        <w:rPr>
          <w:lang w:eastAsia="en-AU"/>
        </w:rPr>
      </w:pPr>
    </w:p>
    <w:p w:rsidR="000B42A3" w:rsidRPr="00FD4E73" w:rsidRDefault="000B42A3" w:rsidP="000B42A3">
      <w:pPr>
        <w:pStyle w:val="Heading2"/>
        <w:rPr>
          <w:i w:val="0"/>
        </w:rPr>
      </w:pPr>
      <w:r>
        <w:t xml:space="preserve">Uzuegbunam and Anor v Preczewski and Ors </w:t>
      </w:r>
    </w:p>
    <w:p w:rsidR="000B42A3" w:rsidRPr="002F4F7E" w:rsidRDefault="000B42A3" w:rsidP="000B42A3">
      <w:pPr>
        <w:rPr>
          <w:lang w:eastAsia="en-AU"/>
        </w:rPr>
      </w:pPr>
      <w:r>
        <w:rPr>
          <w:b/>
          <w:lang w:eastAsia="en-AU"/>
        </w:rPr>
        <w:t>Supreme Court of the United States</w:t>
      </w:r>
      <w:r w:rsidRPr="002F4F7E">
        <w:rPr>
          <w:b/>
          <w:lang w:eastAsia="en-AU"/>
        </w:rPr>
        <w:t xml:space="preserve">: </w:t>
      </w:r>
      <w:hyperlink r:id="rId32" w:history="1">
        <w:r w:rsidRPr="000B42A3">
          <w:rPr>
            <w:rStyle w:val="Hyperlink"/>
            <w:lang w:eastAsia="en-AU"/>
          </w:rPr>
          <w:t>Docket No 19-968</w:t>
        </w:r>
      </w:hyperlink>
    </w:p>
    <w:p w:rsidR="000B42A3" w:rsidRPr="002F4F7E" w:rsidRDefault="000B42A3" w:rsidP="000B42A3">
      <w:pPr>
        <w:rPr>
          <w:lang w:eastAsia="en-AU"/>
        </w:rPr>
      </w:pPr>
    </w:p>
    <w:p w:rsidR="000B42A3" w:rsidRPr="002F4F7E" w:rsidRDefault="000B42A3" w:rsidP="000B42A3">
      <w:pPr>
        <w:rPr>
          <w:lang w:eastAsia="en-AU"/>
        </w:rPr>
      </w:pPr>
      <w:r w:rsidRPr="002F4F7E">
        <w:rPr>
          <w:b/>
          <w:lang w:eastAsia="en-AU"/>
        </w:rPr>
        <w:t>Judgment delivered:</w:t>
      </w:r>
      <w:r>
        <w:rPr>
          <w:lang w:eastAsia="en-AU"/>
        </w:rPr>
        <w:t xml:space="preserve"> 8 March 2021</w:t>
      </w:r>
    </w:p>
    <w:p w:rsidR="000B42A3" w:rsidRPr="002F4F7E" w:rsidRDefault="000B42A3" w:rsidP="000B42A3">
      <w:pPr>
        <w:rPr>
          <w:lang w:eastAsia="en-AU"/>
        </w:rPr>
      </w:pPr>
    </w:p>
    <w:p w:rsidR="000B42A3" w:rsidRPr="002F4F7E" w:rsidRDefault="000B42A3" w:rsidP="000B42A3">
      <w:pPr>
        <w:rPr>
          <w:lang w:eastAsia="en-AU"/>
        </w:rPr>
      </w:pPr>
      <w:r w:rsidRPr="002F4F7E">
        <w:rPr>
          <w:b/>
          <w:lang w:eastAsia="en-AU"/>
        </w:rPr>
        <w:t xml:space="preserve">Coram: </w:t>
      </w:r>
      <w:r>
        <w:rPr>
          <w:lang w:eastAsia="en-AU"/>
        </w:rPr>
        <w:t>Roberts CJ, Thomas, Breyer, Alito, Sotomayor, Kagan, Gorsuch, Kavanaugh and Barrett JJ</w:t>
      </w:r>
    </w:p>
    <w:p w:rsidR="000B42A3" w:rsidRPr="002F4F7E" w:rsidRDefault="000B42A3" w:rsidP="000B42A3">
      <w:pPr>
        <w:rPr>
          <w:lang w:eastAsia="en-AU"/>
        </w:rPr>
      </w:pPr>
    </w:p>
    <w:p w:rsidR="000B42A3" w:rsidRPr="002F4F7E" w:rsidRDefault="000B42A3" w:rsidP="000B42A3">
      <w:pPr>
        <w:rPr>
          <w:b/>
          <w:lang w:eastAsia="en-AU"/>
        </w:rPr>
      </w:pPr>
      <w:r>
        <w:rPr>
          <w:b/>
          <w:lang w:eastAsia="en-AU"/>
        </w:rPr>
        <w:t>Catchwords:</w:t>
      </w:r>
    </w:p>
    <w:p w:rsidR="000B42A3" w:rsidRPr="00856E9C" w:rsidRDefault="000B42A3" w:rsidP="000B42A3">
      <w:pPr>
        <w:rPr>
          <w:b/>
          <w:highlight w:val="yellow"/>
          <w:lang w:eastAsia="en-AU"/>
        </w:rPr>
      </w:pPr>
    </w:p>
    <w:p w:rsidR="000B42A3" w:rsidRDefault="000B42A3" w:rsidP="000B42A3">
      <w:pPr>
        <w:ind w:left="720"/>
        <w:rPr>
          <w:lang w:eastAsia="en-AU"/>
        </w:rPr>
      </w:pPr>
      <w:r>
        <w:rPr>
          <w:lang w:eastAsia="en-AU"/>
        </w:rPr>
        <w:t xml:space="preserve">Practice and procedure – Standing – </w:t>
      </w:r>
      <w:r w:rsidR="009359C2">
        <w:rPr>
          <w:lang w:eastAsia="en-AU"/>
        </w:rPr>
        <w:t xml:space="preserve">Mootness – </w:t>
      </w:r>
      <w:r>
        <w:rPr>
          <w:lang w:eastAsia="en-AU"/>
        </w:rPr>
        <w:t xml:space="preserve">Nominal damages </w:t>
      </w:r>
      <w:r w:rsidR="009359C2">
        <w:rPr>
          <w:lang w:eastAsia="en-AU"/>
        </w:rPr>
        <w:t>–</w:t>
      </w:r>
      <w:r>
        <w:rPr>
          <w:lang w:eastAsia="en-AU"/>
        </w:rPr>
        <w:t xml:space="preserve"> </w:t>
      </w:r>
      <w:r w:rsidR="009359C2">
        <w:rPr>
          <w:lang w:eastAsia="en-AU"/>
        </w:rPr>
        <w:t xml:space="preserve">Where appellants former students of college who were prevented from speaking about their religion or distributing written religious materials by college policies – Where appellant challenged policies based on right to freedom of speech and sought injunctive relief and nominal damages against respondent college officials – Where respondents chose to discontinue and change challenged policies and sought dismissal of appellant’s actions – Where parties agreed policy change rendered injunctive relief claim moot – Where Eleventh Circuit held, while nominal damages can save case from mootness where person pleads compensatory damages but fails to prove amount, plea for nominal damages alone does not establish standing – Whether claim nominal damages sufficient to save claim from mootness. </w:t>
      </w:r>
    </w:p>
    <w:p w:rsidR="000B42A3" w:rsidRPr="00856E9C" w:rsidRDefault="000B42A3" w:rsidP="000B42A3">
      <w:pPr>
        <w:ind w:left="720"/>
        <w:rPr>
          <w:highlight w:val="yellow"/>
          <w:lang w:eastAsia="en-AU"/>
        </w:rPr>
      </w:pPr>
    </w:p>
    <w:p w:rsidR="000B42A3" w:rsidRPr="000D3E8D" w:rsidRDefault="000B42A3" w:rsidP="000B42A3">
      <w:pPr>
        <w:rPr>
          <w:lang w:eastAsia="en-AU"/>
        </w:rPr>
      </w:pPr>
      <w:r w:rsidRPr="002F4F7E">
        <w:rPr>
          <w:b/>
          <w:lang w:eastAsia="en-AU"/>
        </w:rPr>
        <w:t>Held (</w:t>
      </w:r>
      <w:r w:rsidR="009359C2">
        <w:rPr>
          <w:b/>
          <w:lang w:eastAsia="en-AU"/>
        </w:rPr>
        <w:t>8</w:t>
      </w:r>
      <w:r>
        <w:rPr>
          <w:b/>
          <w:lang w:eastAsia="en-AU"/>
        </w:rPr>
        <w:t>:</w:t>
      </w:r>
      <w:r w:rsidR="009359C2">
        <w:rPr>
          <w:b/>
          <w:lang w:eastAsia="en-AU"/>
        </w:rPr>
        <w:t>1</w:t>
      </w:r>
      <w:r w:rsidRPr="002F4F7E">
        <w:rPr>
          <w:b/>
          <w:lang w:eastAsia="en-AU"/>
        </w:rPr>
        <w:t xml:space="preserve">): </w:t>
      </w:r>
      <w:r w:rsidR="006E4A26">
        <w:rPr>
          <w:lang w:eastAsia="en-AU"/>
        </w:rPr>
        <w:t xml:space="preserve">Reversed and remanded. </w:t>
      </w:r>
      <w:r>
        <w:rPr>
          <w:lang w:eastAsia="en-AU"/>
        </w:rPr>
        <w:t xml:space="preserve"> </w:t>
      </w:r>
    </w:p>
    <w:p w:rsidR="000B5D79" w:rsidRPr="00B546B2" w:rsidRDefault="000B5D79" w:rsidP="000B5D79">
      <w:pPr>
        <w:pStyle w:val="BullDivider2"/>
        <w:rPr>
          <w:rFonts w:cs="Arial"/>
          <w:highlight w:val="yellow"/>
        </w:rPr>
      </w:pPr>
    </w:p>
    <w:p w:rsidR="00AA4462" w:rsidRDefault="00AA4462" w:rsidP="00AA4462"/>
    <w:p w:rsidR="00AA4462" w:rsidRDefault="00AA4462" w:rsidP="00AA4462">
      <w:pPr>
        <w:pStyle w:val="Heading1"/>
      </w:pPr>
      <w:r>
        <w:t xml:space="preserve">Property Law </w:t>
      </w:r>
    </w:p>
    <w:p w:rsidR="00AA4462" w:rsidRPr="00FD4E73" w:rsidRDefault="00AA4462" w:rsidP="00AA4462">
      <w:pPr>
        <w:rPr>
          <w:lang w:eastAsia="en-AU"/>
        </w:rPr>
      </w:pPr>
    </w:p>
    <w:p w:rsidR="00AA4462" w:rsidRPr="00FD4E73" w:rsidRDefault="00AA4462" w:rsidP="00AA4462">
      <w:pPr>
        <w:pStyle w:val="Heading2"/>
        <w:rPr>
          <w:i w:val="0"/>
        </w:rPr>
      </w:pPr>
      <w:r>
        <w:t>Rittson-Thomas and Ors v Oxfordshire County Council</w:t>
      </w:r>
    </w:p>
    <w:p w:rsidR="00AA4462" w:rsidRPr="002F4F7E" w:rsidRDefault="00AA4462" w:rsidP="00AA4462">
      <w:pPr>
        <w:rPr>
          <w:lang w:eastAsia="en-AU"/>
        </w:rPr>
      </w:pPr>
      <w:r>
        <w:rPr>
          <w:b/>
          <w:lang w:eastAsia="en-AU"/>
        </w:rPr>
        <w:t>Supreme Court of the United Kingdom</w:t>
      </w:r>
      <w:r w:rsidRPr="002F4F7E">
        <w:rPr>
          <w:b/>
          <w:lang w:eastAsia="en-AU"/>
        </w:rPr>
        <w:t xml:space="preserve">: </w:t>
      </w:r>
      <w:hyperlink r:id="rId33" w:history="1">
        <w:r w:rsidRPr="00AA4462">
          <w:rPr>
            <w:rStyle w:val="Hyperlink"/>
            <w:lang w:eastAsia="en-AU"/>
          </w:rPr>
          <w:t>[2019] UKSC 13</w:t>
        </w:r>
      </w:hyperlink>
    </w:p>
    <w:p w:rsidR="00AA4462" w:rsidRPr="002F4F7E" w:rsidRDefault="00AA4462" w:rsidP="00AA4462">
      <w:pPr>
        <w:rPr>
          <w:lang w:eastAsia="en-AU"/>
        </w:rPr>
      </w:pPr>
    </w:p>
    <w:p w:rsidR="00AA4462" w:rsidRPr="002F4F7E" w:rsidRDefault="00AA4462" w:rsidP="00AA4462">
      <w:pPr>
        <w:rPr>
          <w:lang w:eastAsia="en-AU"/>
        </w:rPr>
      </w:pPr>
      <w:r w:rsidRPr="002F4F7E">
        <w:rPr>
          <w:b/>
          <w:lang w:eastAsia="en-AU"/>
        </w:rPr>
        <w:t>Judgment delivered:</w:t>
      </w:r>
      <w:r>
        <w:rPr>
          <w:lang w:eastAsia="en-AU"/>
        </w:rPr>
        <w:t xml:space="preserve"> </w:t>
      </w:r>
      <w:r w:rsidR="001878F4">
        <w:rPr>
          <w:lang w:eastAsia="en-AU"/>
        </w:rPr>
        <w:t>23 April</w:t>
      </w:r>
      <w:r>
        <w:rPr>
          <w:lang w:eastAsia="en-AU"/>
        </w:rPr>
        <w:t xml:space="preserve"> 2021</w:t>
      </w:r>
    </w:p>
    <w:p w:rsidR="00AA4462" w:rsidRPr="002F4F7E" w:rsidRDefault="00AA4462" w:rsidP="00AA4462">
      <w:pPr>
        <w:rPr>
          <w:lang w:eastAsia="en-AU"/>
        </w:rPr>
      </w:pPr>
    </w:p>
    <w:p w:rsidR="00AA4462" w:rsidRPr="002F4F7E" w:rsidRDefault="00AA4462" w:rsidP="00AA4462">
      <w:pPr>
        <w:rPr>
          <w:lang w:eastAsia="en-AU"/>
        </w:rPr>
      </w:pPr>
      <w:r w:rsidRPr="002F4F7E">
        <w:rPr>
          <w:b/>
          <w:lang w:eastAsia="en-AU"/>
        </w:rPr>
        <w:t xml:space="preserve">Coram: </w:t>
      </w:r>
      <w:r w:rsidR="001878F4">
        <w:rPr>
          <w:lang w:eastAsia="en-AU"/>
        </w:rPr>
        <w:t>Lord Lloyd-Jones, Lady Arden, Lords Sales, Burrows and Stephens</w:t>
      </w:r>
    </w:p>
    <w:p w:rsidR="00AA4462" w:rsidRPr="002F4F7E" w:rsidRDefault="00AA4462" w:rsidP="00AA4462">
      <w:pPr>
        <w:rPr>
          <w:lang w:eastAsia="en-AU"/>
        </w:rPr>
      </w:pPr>
    </w:p>
    <w:p w:rsidR="00AA4462" w:rsidRPr="002F4F7E" w:rsidRDefault="00AA4462" w:rsidP="00AA4462">
      <w:pPr>
        <w:rPr>
          <w:b/>
          <w:lang w:eastAsia="en-AU"/>
        </w:rPr>
      </w:pPr>
      <w:r>
        <w:rPr>
          <w:b/>
          <w:lang w:eastAsia="en-AU"/>
        </w:rPr>
        <w:t>Catchwords:</w:t>
      </w:r>
    </w:p>
    <w:p w:rsidR="00AA4462" w:rsidRPr="00856E9C" w:rsidRDefault="00AA4462" w:rsidP="00AA4462">
      <w:pPr>
        <w:rPr>
          <w:b/>
          <w:highlight w:val="yellow"/>
          <w:lang w:eastAsia="en-AU"/>
        </w:rPr>
      </w:pPr>
    </w:p>
    <w:p w:rsidR="00AA4462" w:rsidRPr="00286308" w:rsidRDefault="00AA4462" w:rsidP="00AA4462">
      <w:pPr>
        <w:ind w:left="720"/>
        <w:rPr>
          <w:lang w:eastAsia="en-AU"/>
        </w:rPr>
      </w:pPr>
      <w:r>
        <w:rPr>
          <w:lang w:eastAsia="en-AU"/>
        </w:rPr>
        <w:t>Pr</w:t>
      </w:r>
      <w:r w:rsidR="00286308">
        <w:rPr>
          <w:lang w:eastAsia="en-AU"/>
        </w:rPr>
        <w:t xml:space="preserve">operty law – </w:t>
      </w:r>
      <w:r w:rsidR="00286308">
        <w:rPr>
          <w:i/>
          <w:lang w:eastAsia="en-AU"/>
        </w:rPr>
        <w:t xml:space="preserve">School Sites Act 1841 </w:t>
      </w:r>
      <w:r w:rsidR="00286308">
        <w:rPr>
          <w:lang w:eastAsia="en-AU"/>
        </w:rPr>
        <w:t xml:space="preserve">– Reversion – Where s 2 of </w:t>
      </w:r>
      <w:r w:rsidR="00286308" w:rsidRPr="00286308">
        <w:rPr>
          <w:i/>
          <w:lang w:eastAsia="en-AU"/>
        </w:rPr>
        <w:t xml:space="preserve">School Sites Act </w:t>
      </w:r>
      <w:r w:rsidR="00286308">
        <w:rPr>
          <w:lang w:eastAsia="en-AU"/>
        </w:rPr>
        <w:t>provide</w:t>
      </w:r>
      <w:r w:rsidR="00E56F4F">
        <w:rPr>
          <w:lang w:eastAsia="en-AU"/>
        </w:rPr>
        <w:t>d</w:t>
      </w:r>
      <w:r w:rsidR="00286308">
        <w:rPr>
          <w:lang w:eastAsia="en-AU"/>
        </w:rPr>
        <w:t xml:space="preserve"> landowner may donate land for educational purposes by means of statutory charitable trust and if land cease</w:t>
      </w:r>
      <w:r w:rsidR="00E56F4F">
        <w:rPr>
          <w:lang w:eastAsia="en-AU"/>
        </w:rPr>
        <w:t>d</w:t>
      </w:r>
      <w:r w:rsidR="00286308">
        <w:rPr>
          <w:lang w:eastAsia="en-AU"/>
        </w:rPr>
        <w:t xml:space="preserve"> to be used for those purposes, it revert</w:t>
      </w:r>
      <w:r w:rsidR="00EC6EFC">
        <w:rPr>
          <w:lang w:eastAsia="en-AU"/>
        </w:rPr>
        <w:t>s</w:t>
      </w:r>
      <w:r w:rsidR="00286308">
        <w:rPr>
          <w:lang w:eastAsia="en-AU"/>
        </w:rPr>
        <w:t xml:space="preserve"> to landowner – Where, in 1914 and 1928, landowner conveyed land to appellant for school – Where, in 2006, pupils moved to new school premises and, in 2017, original site sold to pay for costs of new premises – Where respondent heirs of landowner claimed original site reverted to landowner’s estate – Where claim rejected by High Court and decision reversed by Court of Appeal – Whether land gifted under </w:t>
      </w:r>
      <w:r w:rsidR="00286308">
        <w:rPr>
          <w:i/>
          <w:lang w:eastAsia="en-AU"/>
        </w:rPr>
        <w:t xml:space="preserve">School Sites Act </w:t>
      </w:r>
      <w:r w:rsidR="00286308">
        <w:rPr>
          <w:lang w:eastAsia="en-AU"/>
        </w:rPr>
        <w:t xml:space="preserve">for use of school reverts when school ceases to operate from gifted land – Whether school entitled to sell land to pay for new school premises. </w:t>
      </w:r>
    </w:p>
    <w:p w:rsidR="00AA4462" w:rsidRPr="00856E9C" w:rsidRDefault="00AA4462" w:rsidP="00AA4462">
      <w:pPr>
        <w:ind w:left="720"/>
        <w:rPr>
          <w:highlight w:val="yellow"/>
          <w:lang w:eastAsia="en-AU"/>
        </w:rPr>
      </w:pPr>
    </w:p>
    <w:p w:rsidR="00AA4462" w:rsidRPr="000D3E8D" w:rsidRDefault="00AA4462" w:rsidP="00AA4462">
      <w:pPr>
        <w:rPr>
          <w:lang w:eastAsia="en-AU"/>
        </w:rPr>
      </w:pPr>
      <w:r w:rsidRPr="002F4F7E">
        <w:rPr>
          <w:b/>
          <w:lang w:eastAsia="en-AU"/>
        </w:rPr>
        <w:t>Held (</w:t>
      </w:r>
      <w:r w:rsidR="00286308">
        <w:rPr>
          <w:b/>
          <w:lang w:eastAsia="en-AU"/>
        </w:rPr>
        <w:t>5:0</w:t>
      </w:r>
      <w:r w:rsidRPr="002F4F7E">
        <w:rPr>
          <w:b/>
          <w:lang w:eastAsia="en-AU"/>
        </w:rPr>
        <w:t xml:space="preserve">): </w:t>
      </w:r>
      <w:r w:rsidR="00286308">
        <w:rPr>
          <w:lang w:eastAsia="en-AU"/>
        </w:rPr>
        <w:t xml:space="preserve">Appeal allowed. </w:t>
      </w:r>
      <w:r>
        <w:rPr>
          <w:lang w:eastAsia="en-AU"/>
        </w:rPr>
        <w:t xml:space="preserve">  </w:t>
      </w:r>
    </w:p>
    <w:p w:rsidR="00AA4462" w:rsidRPr="00B546B2" w:rsidRDefault="00AA4462" w:rsidP="00AA4462">
      <w:pPr>
        <w:pStyle w:val="BullDivider2"/>
        <w:rPr>
          <w:rFonts w:cs="Arial"/>
          <w:highlight w:val="yellow"/>
        </w:rPr>
      </w:pPr>
    </w:p>
    <w:p w:rsidR="000B5D79" w:rsidRDefault="000B5D79" w:rsidP="000B5D79"/>
    <w:p w:rsidR="000B5D79" w:rsidRDefault="000B5D79" w:rsidP="000B5D79">
      <w:pPr>
        <w:pStyle w:val="Heading1"/>
      </w:pPr>
      <w:r>
        <w:t>Taxation</w:t>
      </w:r>
    </w:p>
    <w:p w:rsidR="000B5D79" w:rsidRDefault="000B5D79" w:rsidP="000B5D79">
      <w:pPr>
        <w:rPr>
          <w:lang w:eastAsia="en-AU"/>
        </w:rPr>
      </w:pPr>
    </w:p>
    <w:p w:rsidR="000B5D79" w:rsidRPr="00E82F25" w:rsidRDefault="00E82F25" w:rsidP="000B5D79">
      <w:pPr>
        <w:pStyle w:val="Heading2"/>
      </w:pPr>
      <w:r w:rsidRPr="00E82F25">
        <w:t>Balhousie Holdings Ltd v Commissioners for Her Majesty’s Revenue and Customs (Scotland)</w:t>
      </w:r>
    </w:p>
    <w:p w:rsidR="000B5D79" w:rsidRPr="002F4F7E" w:rsidRDefault="000B5D79" w:rsidP="000B5D79">
      <w:pPr>
        <w:rPr>
          <w:lang w:eastAsia="en-AU"/>
        </w:rPr>
      </w:pPr>
      <w:r>
        <w:rPr>
          <w:b/>
          <w:lang w:eastAsia="en-AU"/>
        </w:rPr>
        <w:t>Supreme Court of the United Kingdom</w:t>
      </w:r>
      <w:r w:rsidRPr="002F4F7E">
        <w:rPr>
          <w:b/>
          <w:lang w:eastAsia="en-AU"/>
        </w:rPr>
        <w:t xml:space="preserve">: </w:t>
      </w:r>
      <w:hyperlink r:id="rId34" w:history="1">
        <w:r w:rsidRPr="00511DAD">
          <w:rPr>
            <w:rStyle w:val="Hyperlink"/>
            <w:lang w:eastAsia="en-AU"/>
          </w:rPr>
          <w:t>[2021] UKSC</w:t>
        </w:r>
        <w:r>
          <w:rPr>
            <w:rStyle w:val="Hyperlink"/>
            <w:lang w:eastAsia="en-AU"/>
          </w:rPr>
          <w:t xml:space="preserve"> 1</w:t>
        </w:r>
        <w:r w:rsidR="00E82F25">
          <w:rPr>
            <w:rStyle w:val="Hyperlink"/>
            <w:lang w:eastAsia="en-AU"/>
          </w:rPr>
          <w:t>1</w:t>
        </w:r>
      </w:hyperlink>
    </w:p>
    <w:p w:rsidR="000B5D79" w:rsidRPr="002F4F7E" w:rsidRDefault="000B5D79" w:rsidP="000B5D79">
      <w:pPr>
        <w:rPr>
          <w:lang w:eastAsia="en-AU"/>
        </w:rPr>
      </w:pPr>
    </w:p>
    <w:p w:rsidR="000B5D79" w:rsidRPr="002F4F7E" w:rsidRDefault="000B5D79" w:rsidP="000B5D79">
      <w:pPr>
        <w:rPr>
          <w:lang w:eastAsia="en-AU"/>
        </w:rPr>
      </w:pPr>
      <w:r w:rsidRPr="002F4F7E">
        <w:rPr>
          <w:b/>
          <w:lang w:eastAsia="en-AU"/>
        </w:rPr>
        <w:t>Judgment delivered:</w:t>
      </w:r>
      <w:r>
        <w:rPr>
          <w:lang w:eastAsia="en-AU"/>
        </w:rPr>
        <w:t xml:space="preserve"> </w:t>
      </w:r>
      <w:r w:rsidR="00E82F25">
        <w:rPr>
          <w:lang w:eastAsia="en-AU"/>
        </w:rPr>
        <w:t>31</w:t>
      </w:r>
      <w:r>
        <w:rPr>
          <w:lang w:eastAsia="en-AU"/>
        </w:rPr>
        <w:t xml:space="preserve"> March 2021</w:t>
      </w:r>
    </w:p>
    <w:p w:rsidR="000B5D79" w:rsidRPr="002F4F7E" w:rsidRDefault="000B5D79" w:rsidP="000B5D79">
      <w:pPr>
        <w:rPr>
          <w:lang w:eastAsia="en-AU"/>
        </w:rPr>
      </w:pPr>
    </w:p>
    <w:p w:rsidR="000B5D79" w:rsidRPr="002F4F7E" w:rsidRDefault="000B5D79" w:rsidP="000B5D79">
      <w:pPr>
        <w:rPr>
          <w:lang w:eastAsia="en-AU"/>
        </w:rPr>
      </w:pPr>
      <w:r w:rsidRPr="002F4F7E">
        <w:rPr>
          <w:b/>
          <w:lang w:eastAsia="en-AU"/>
        </w:rPr>
        <w:t xml:space="preserve">Coram: </w:t>
      </w:r>
      <w:r>
        <w:rPr>
          <w:lang w:eastAsia="en-AU"/>
        </w:rPr>
        <w:t>Lords Hodge</w:t>
      </w:r>
      <w:r w:rsidR="00E82F25">
        <w:rPr>
          <w:lang w:eastAsia="en-AU"/>
        </w:rPr>
        <w:t xml:space="preserve"> and Briggs,</w:t>
      </w:r>
      <w:r>
        <w:rPr>
          <w:lang w:eastAsia="en-AU"/>
        </w:rPr>
        <w:t xml:space="preserve"> Lady Arden</w:t>
      </w:r>
      <w:r w:rsidR="00E82F25">
        <w:rPr>
          <w:lang w:eastAsia="en-AU"/>
        </w:rPr>
        <w:t>,</w:t>
      </w:r>
      <w:r>
        <w:rPr>
          <w:lang w:eastAsia="en-AU"/>
        </w:rPr>
        <w:t xml:space="preserve"> Lord</w:t>
      </w:r>
      <w:r w:rsidR="00E82F25">
        <w:rPr>
          <w:lang w:eastAsia="en-AU"/>
        </w:rPr>
        <w:t>s</w:t>
      </w:r>
      <w:r>
        <w:rPr>
          <w:lang w:eastAsia="en-AU"/>
        </w:rPr>
        <w:t xml:space="preserve"> </w:t>
      </w:r>
      <w:r w:rsidR="00E82F25">
        <w:rPr>
          <w:lang w:eastAsia="en-AU"/>
        </w:rPr>
        <w:t>Sales and Carloway</w:t>
      </w:r>
    </w:p>
    <w:p w:rsidR="000B5D79" w:rsidRPr="002F4F7E" w:rsidRDefault="000B5D79" w:rsidP="000B5D79">
      <w:pPr>
        <w:rPr>
          <w:lang w:eastAsia="en-AU"/>
        </w:rPr>
      </w:pPr>
    </w:p>
    <w:p w:rsidR="000B5D79" w:rsidRPr="002F4F7E" w:rsidRDefault="000B5D79" w:rsidP="000B5D79">
      <w:pPr>
        <w:rPr>
          <w:b/>
          <w:lang w:eastAsia="en-AU"/>
        </w:rPr>
      </w:pPr>
      <w:r>
        <w:rPr>
          <w:b/>
          <w:lang w:eastAsia="en-AU"/>
        </w:rPr>
        <w:t>Catchwords:</w:t>
      </w:r>
    </w:p>
    <w:p w:rsidR="000B5D79" w:rsidRPr="00856E9C" w:rsidRDefault="000B5D79" w:rsidP="000B5D79">
      <w:pPr>
        <w:rPr>
          <w:b/>
          <w:highlight w:val="yellow"/>
          <w:lang w:eastAsia="en-AU"/>
        </w:rPr>
      </w:pPr>
    </w:p>
    <w:p w:rsidR="000B5D79" w:rsidRPr="00E82F25" w:rsidRDefault="00E82F25" w:rsidP="000B5D79">
      <w:pPr>
        <w:ind w:left="720"/>
        <w:rPr>
          <w:lang w:eastAsia="en-AU"/>
        </w:rPr>
      </w:pPr>
      <w:r>
        <w:rPr>
          <w:lang w:eastAsia="en-AU"/>
        </w:rPr>
        <w:t xml:space="preserve">Taxation – Value Added Tax – Zero-rated supplies – Where Sch 8 of </w:t>
      </w:r>
      <w:r>
        <w:rPr>
          <w:i/>
          <w:lang w:eastAsia="en-AU"/>
        </w:rPr>
        <w:t xml:space="preserve">Value Added Tax Act 1994 </w:t>
      </w:r>
      <w:r>
        <w:rPr>
          <w:lang w:eastAsia="en-AU"/>
        </w:rPr>
        <w:t>provide</w:t>
      </w:r>
      <w:r w:rsidR="00EC6EFC">
        <w:rPr>
          <w:lang w:eastAsia="en-AU"/>
        </w:rPr>
        <w:t>d</w:t>
      </w:r>
      <w:r>
        <w:rPr>
          <w:lang w:eastAsia="en-AU"/>
        </w:rPr>
        <w:t xml:space="preserve"> certain supplies as being “zero-rated”, including residential care homes – Where company in appellant’s VAT group, Balhousie Care Ltd (BCL), acquired residential care home from developer and received zero-rated supply over care home – Where BCL financed purchase through sale and leaseback arrangement with third </w:t>
      </w:r>
      <w:r>
        <w:rPr>
          <w:lang w:eastAsia="en-AU"/>
        </w:rPr>
        <w:lastRenderedPageBreak/>
        <w:t>party – Where BCL sold care home to third party and simultaneously third party leased care home back to BCL – Where respondent imposed “self-supply charge” pursuant to para 36(2) of Sch 10 Pt 2 of Act, allowing respondent to recover benefit of zero-rated supply if appellant disposed of “entire interest” in care home – Where Inner House of Court of Session held BCL dispose</w:t>
      </w:r>
      <w:r w:rsidR="00725FB6">
        <w:rPr>
          <w:lang w:eastAsia="en-AU"/>
        </w:rPr>
        <w:t>d</w:t>
      </w:r>
      <w:r>
        <w:rPr>
          <w:lang w:eastAsia="en-AU"/>
        </w:rPr>
        <w:t xml:space="preserve"> of its entire interest – Whether sale and leaseback involve disposal of BCL’s “entire interest” in care home – Whether sale and leaseback transactions </w:t>
      </w:r>
      <w:r w:rsidR="001D72FC">
        <w:rPr>
          <w:lang w:eastAsia="en-AU"/>
        </w:rPr>
        <w:t xml:space="preserve">should be considered as one transaction or as separate transactions. </w:t>
      </w:r>
    </w:p>
    <w:p w:rsidR="000B5D79" w:rsidRPr="00856E9C" w:rsidRDefault="000B5D79" w:rsidP="000B5D79">
      <w:pPr>
        <w:ind w:left="720"/>
        <w:rPr>
          <w:highlight w:val="yellow"/>
          <w:lang w:eastAsia="en-AU"/>
        </w:rPr>
      </w:pPr>
    </w:p>
    <w:p w:rsidR="000B5D79" w:rsidRPr="000D3E8D" w:rsidRDefault="000B5D79" w:rsidP="000B5D79">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w:t>
      </w:r>
      <w:r w:rsidR="001D72FC">
        <w:rPr>
          <w:lang w:eastAsia="en-AU"/>
        </w:rPr>
        <w:t xml:space="preserve">allowed. </w:t>
      </w:r>
      <w:r>
        <w:rPr>
          <w:lang w:eastAsia="en-AU"/>
        </w:rPr>
        <w:t xml:space="preserve"> </w:t>
      </w:r>
    </w:p>
    <w:p w:rsidR="00511DAD" w:rsidRPr="00B546B2" w:rsidRDefault="00511DAD" w:rsidP="00511DAD">
      <w:pPr>
        <w:pStyle w:val="BullDivider2"/>
        <w:rPr>
          <w:rFonts w:cs="Arial"/>
          <w:highlight w:val="yellow"/>
        </w:rPr>
      </w:pPr>
    </w:p>
    <w:p w:rsidR="00A45D8E" w:rsidRDefault="00A45D8E" w:rsidP="00A45D8E"/>
    <w:p w:rsidR="00A45D8E" w:rsidRDefault="00A45D8E" w:rsidP="00A45D8E">
      <w:pPr>
        <w:pStyle w:val="Heading1"/>
      </w:pPr>
      <w:r>
        <w:t>Torts</w:t>
      </w:r>
    </w:p>
    <w:p w:rsidR="00CB03BC" w:rsidRPr="00CB03BC" w:rsidRDefault="00CB03BC" w:rsidP="00CB03BC">
      <w:pPr>
        <w:rPr>
          <w:lang w:eastAsia="en-AU"/>
        </w:rPr>
      </w:pPr>
    </w:p>
    <w:p w:rsidR="00CB03BC" w:rsidRPr="00FD4E73" w:rsidRDefault="00CB03BC" w:rsidP="00CB03BC">
      <w:pPr>
        <w:pStyle w:val="Heading2"/>
        <w:rPr>
          <w:i w:val="0"/>
        </w:rPr>
      </w:pPr>
      <w:r>
        <w:t>Ontario (Attorney General) v Clark</w:t>
      </w:r>
    </w:p>
    <w:p w:rsidR="00CB03BC" w:rsidRPr="002F4F7E" w:rsidRDefault="00CB03BC" w:rsidP="00CB03BC">
      <w:pPr>
        <w:rPr>
          <w:lang w:eastAsia="en-AU"/>
        </w:rPr>
      </w:pPr>
      <w:r>
        <w:rPr>
          <w:b/>
          <w:lang w:eastAsia="en-AU"/>
        </w:rPr>
        <w:t>Supreme Court of Canda</w:t>
      </w:r>
      <w:r w:rsidRPr="002F4F7E">
        <w:rPr>
          <w:b/>
          <w:lang w:eastAsia="en-AU"/>
        </w:rPr>
        <w:t xml:space="preserve"> </w:t>
      </w:r>
      <w:hyperlink r:id="rId35" w:history="1">
        <w:r w:rsidRPr="00CB03BC">
          <w:rPr>
            <w:rStyle w:val="Hyperlink"/>
            <w:lang w:eastAsia="en-AU"/>
          </w:rPr>
          <w:t>[2021] SCC 18</w:t>
        </w:r>
      </w:hyperlink>
    </w:p>
    <w:p w:rsidR="00CB03BC" w:rsidRPr="002F4F7E" w:rsidRDefault="00CB03BC" w:rsidP="00CB03BC">
      <w:pPr>
        <w:rPr>
          <w:lang w:eastAsia="en-AU"/>
        </w:rPr>
      </w:pPr>
    </w:p>
    <w:p w:rsidR="00CB03BC" w:rsidRPr="002F4F7E" w:rsidRDefault="00CB03BC" w:rsidP="00CB03BC">
      <w:pPr>
        <w:rPr>
          <w:lang w:eastAsia="en-AU"/>
        </w:rPr>
      </w:pPr>
      <w:r w:rsidRPr="002F4F7E">
        <w:rPr>
          <w:b/>
          <w:lang w:eastAsia="en-AU"/>
        </w:rPr>
        <w:t>Judgment delivered:</w:t>
      </w:r>
      <w:r>
        <w:rPr>
          <w:lang w:eastAsia="en-AU"/>
        </w:rPr>
        <w:t xml:space="preserve"> 30 April 2021</w:t>
      </w:r>
    </w:p>
    <w:p w:rsidR="00CB03BC" w:rsidRPr="002F4F7E" w:rsidRDefault="00CB03BC" w:rsidP="00CB03BC">
      <w:pPr>
        <w:rPr>
          <w:lang w:eastAsia="en-AU"/>
        </w:rPr>
      </w:pPr>
    </w:p>
    <w:p w:rsidR="00CB03BC" w:rsidRPr="00CB03BC" w:rsidRDefault="00CB03BC" w:rsidP="00CB03BC">
      <w:pPr>
        <w:rPr>
          <w:lang w:eastAsia="en-AU"/>
        </w:rPr>
      </w:pPr>
      <w:r w:rsidRPr="002F4F7E">
        <w:rPr>
          <w:b/>
          <w:lang w:eastAsia="en-AU"/>
        </w:rPr>
        <w:t xml:space="preserve">Coram: </w:t>
      </w:r>
      <w:r w:rsidRPr="00CB03BC">
        <w:rPr>
          <w:lang w:eastAsia="en-AU"/>
        </w:rPr>
        <w:t>Wagner</w:t>
      </w:r>
      <w:r>
        <w:rPr>
          <w:lang w:eastAsia="en-AU"/>
        </w:rPr>
        <w:t xml:space="preserve"> </w:t>
      </w:r>
      <w:r w:rsidRPr="00CB03BC">
        <w:rPr>
          <w:lang w:eastAsia="en-AU"/>
        </w:rPr>
        <w:t>CJ, Abella, Moldaver, Karakatsanis, Côté, Brown, Rowe, Martin and Kasirer JJ</w:t>
      </w:r>
    </w:p>
    <w:p w:rsidR="00CB03BC" w:rsidRPr="002F4F7E" w:rsidRDefault="00CB03BC" w:rsidP="00CB03BC">
      <w:pPr>
        <w:rPr>
          <w:lang w:eastAsia="en-AU"/>
        </w:rPr>
      </w:pPr>
    </w:p>
    <w:p w:rsidR="00CB03BC" w:rsidRPr="002F4F7E" w:rsidRDefault="00CB03BC" w:rsidP="00CB03BC">
      <w:pPr>
        <w:rPr>
          <w:b/>
          <w:lang w:eastAsia="en-AU"/>
        </w:rPr>
      </w:pPr>
      <w:r>
        <w:rPr>
          <w:b/>
          <w:lang w:eastAsia="en-AU"/>
        </w:rPr>
        <w:t>Catchwords:</w:t>
      </w:r>
    </w:p>
    <w:p w:rsidR="00CB03BC" w:rsidRPr="00856E9C" w:rsidRDefault="00CB03BC" w:rsidP="00CB03BC">
      <w:pPr>
        <w:rPr>
          <w:b/>
          <w:highlight w:val="yellow"/>
          <w:lang w:eastAsia="en-AU"/>
        </w:rPr>
      </w:pPr>
    </w:p>
    <w:p w:rsidR="00CB03BC" w:rsidRPr="008D53E9" w:rsidRDefault="00CB03BC" w:rsidP="00CB03BC">
      <w:pPr>
        <w:ind w:left="720"/>
        <w:rPr>
          <w:lang w:eastAsia="en-AU"/>
        </w:rPr>
      </w:pPr>
      <w:r>
        <w:rPr>
          <w:lang w:eastAsia="en-AU"/>
        </w:rPr>
        <w:t xml:space="preserve">Torts </w:t>
      </w:r>
      <w:r w:rsidR="007876C7" w:rsidRPr="00CB03BC">
        <w:rPr>
          <w:lang w:eastAsia="en-AU"/>
        </w:rPr>
        <w:t>—</w:t>
      </w:r>
      <w:r>
        <w:rPr>
          <w:lang w:eastAsia="en-AU"/>
        </w:rPr>
        <w:t xml:space="preserve"> </w:t>
      </w:r>
      <w:r w:rsidRPr="00CB03BC">
        <w:rPr>
          <w:lang w:eastAsia="en-AU"/>
        </w:rPr>
        <w:t xml:space="preserve">Crown law — Prosecutorial immunity — Misfeasance in public office — </w:t>
      </w:r>
      <w:r>
        <w:rPr>
          <w:lang w:eastAsia="en-AU"/>
        </w:rPr>
        <w:t>Where p</w:t>
      </w:r>
      <w:r w:rsidRPr="00CB03BC">
        <w:rPr>
          <w:lang w:eastAsia="en-AU"/>
        </w:rPr>
        <w:t>olice officers commenc</w:t>
      </w:r>
      <w:r>
        <w:rPr>
          <w:lang w:eastAsia="en-AU"/>
        </w:rPr>
        <w:t>ed</w:t>
      </w:r>
      <w:r w:rsidRPr="00CB03BC">
        <w:rPr>
          <w:lang w:eastAsia="en-AU"/>
        </w:rPr>
        <w:t xml:space="preserve"> misfeasance claim against Attorney General on basis of Crown prosecutors’ failure in conduct of criminal trials to challenge accused’s claims of assault by police officers during arrest — </w:t>
      </w:r>
      <w:r>
        <w:rPr>
          <w:lang w:eastAsia="en-AU"/>
        </w:rPr>
        <w:t>Where o</w:t>
      </w:r>
      <w:r w:rsidRPr="00CB03BC">
        <w:rPr>
          <w:lang w:eastAsia="en-AU"/>
        </w:rPr>
        <w:t>fficers alleg</w:t>
      </w:r>
      <w:r>
        <w:rPr>
          <w:lang w:eastAsia="en-AU"/>
        </w:rPr>
        <w:t>ed</w:t>
      </w:r>
      <w:r w:rsidRPr="00CB03BC">
        <w:rPr>
          <w:lang w:eastAsia="en-AU"/>
        </w:rPr>
        <w:t xml:space="preserve"> that they suffered reputational harm and seeking damages — Whether prosecutorial immunity precludes misfeasance claims by police officers against Crown prosecutors for decisions made in exercise of public duties — Whether claim should be struck.</w:t>
      </w:r>
    </w:p>
    <w:p w:rsidR="00CB03BC" w:rsidRPr="00856E9C" w:rsidRDefault="00CB03BC" w:rsidP="00CB03BC">
      <w:pPr>
        <w:ind w:left="720"/>
        <w:rPr>
          <w:highlight w:val="yellow"/>
          <w:lang w:eastAsia="en-AU"/>
        </w:rPr>
      </w:pPr>
    </w:p>
    <w:p w:rsidR="00CB03BC" w:rsidRPr="000D3E8D" w:rsidRDefault="00CB03BC" w:rsidP="00CB03BC">
      <w:pPr>
        <w:rPr>
          <w:lang w:eastAsia="en-AU"/>
        </w:rPr>
      </w:pPr>
      <w:r w:rsidRPr="002F4F7E">
        <w:rPr>
          <w:b/>
          <w:lang w:eastAsia="en-AU"/>
        </w:rPr>
        <w:t>Held (</w:t>
      </w:r>
      <w:r>
        <w:rPr>
          <w:b/>
          <w:lang w:eastAsia="en-AU"/>
        </w:rPr>
        <w:t>8:1</w:t>
      </w:r>
      <w:r w:rsidRPr="002F4F7E">
        <w:rPr>
          <w:b/>
          <w:lang w:eastAsia="en-AU"/>
        </w:rPr>
        <w:t xml:space="preserve">): </w:t>
      </w:r>
      <w:r>
        <w:rPr>
          <w:lang w:eastAsia="en-AU"/>
        </w:rPr>
        <w:t xml:space="preserve">Appeal allowed. </w:t>
      </w:r>
    </w:p>
    <w:p w:rsidR="00CB03BC" w:rsidRPr="00181993" w:rsidRDefault="00CB03BC" w:rsidP="00CB03BC">
      <w:pPr>
        <w:pStyle w:val="BullDivider1"/>
        <w:pBdr>
          <w:bottom w:val="dotted" w:sz="4" w:space="0" w:color="auto"/>
        </w:pBdr>
      </w:pPr>
    </w:p>
    <w:p w:rsidR="00A45D8E" w:rsidRDefault="00A45D8E" w:rsidP="00A45D8E">
      <w:pPr>
        <w:rPr>
          <w:lang w:eastAsia="en-AU"/>
        </w:rPr>
      </w:pPr>
    </w:p>
    <w:p w:rsidR="00A45D8E" w:rsidRPr="00E82F25" w:rsidRDefault="00E8214B" w:rsidP="00A45D8E">
      <w:pPr>
        <w:pStyle w:val="Heading2"/>
      </w:pPr>
      <w:r>
        <w:t>Austin v Roche Products (New Zealand) Ltd</w:t>
      </w:r>
    </w:p>
    <w:p w:rsidR="00A45D8E" w:rsidRPr="002F4F7E" w:rsidRDefault="00A45D8E" w:rsidP="00A45D8E">
      <w:pPr>
        <w:rPr>
          <w:lang w:eastAsia="en-AU"/>
        </w:rPr>
      </w:pPr>
      <w:r>
        <w:rPr>
          <w:b/>
          <w:lang w:eastAsia="en-AU"/>
        </w:rPr>
        <w:t xml:space="preserve">Supreme Court of </w:t>
      </w:r>
      <w:r w:rsidR="00E8214B">
        <w:rPr>
          <w:b/>
          <w:lang w:eastAsia="en-AU"/>
        </w:rPr>
        <w:t>New Zealand</w:t>
      </w:r>
      <w:r w:rsidRPr="002F4F7E">
        <w:rPr>
          <w:b/>
          <w:lang w:eastAsia="en-AU"/>
        </w:rPr>
        <w:t xml:space="preserve">: </w:t>
      </w:r>
      <w:hyperlink r:id="rId36" w:history="1">
        <w:r w:rsidR="00E8214B" w:rsidRPr="00E8214B">
          <w:rPr>
            <w:rStyle w:val="Hyperlink"/>
            <w:lang w:eastAsia="en-AU"/>
          </w:rPr>
          <w:t>[2021] NZSC 30</w:t>
        </w:r>
      </w:hyperlink>
    </w:p>
    <w:p w:rsidR="00A45D8E" w:rsidRPr="002F4F7E" w:rsidRDefault="00A45D8E" w:rsidP="00A45D8E">
      <w:pPr>
        <w:rPr>
          <w:lang w:eastAsia="en-AU"/>
        </w:rPr>
      </w:pPr>
    </w:p>
    <w:p w:rsidR="00A45D8E" w:rsidRPr="002F4F7E" w:rsidRDefault="00A45D8E" w:rsidP="00A45D8E">
      <w:pPr>
        <w:rPr>
          <w:lang w:eastAsia="en-AU"/>
        </w:rPr>
      </w:pPr>
      <w:r w:rsidRPr="002F4F7E">
        <w:rPr>
          <w:b/>
          <w:lang w:eastAsia="en-AU"/>
        </w:rPr>
        <w:t>Judgment delivered:</w:t>
      </w:r>
      <w:r>
        <w:rPr>
          <w:lang w:eastAsia="en-AU"/>
        </w:rPr>
        <w:t xml:space="preserve"> 31 March 2021</w:t>
      </w:r>
    </w:p>
    <w:p w:rsidR="00A45D8E" w:rsidRPr="002F4F7E" w:rsidRDefault="00A45D8E" w:rsidP="00A45D8E">
      <w:pPr>
        <w:rPr>
          <w:lang w:eastAsia="en-AU"/>
        </w:rPr>
      </w:pPr>
    </w:p>
    <w:p w:rsidR="00A45D8E" w:rsidRPr="002F4F7E" w:rsidRDefault="00A45D8E" w:rsidP="00A45D8E">
      <w:pPr>
        <w:rPr>
          <w:lang w:eastAsia="en-AU"/>
        </w:rPr>
      </w:pPr>
      <w:r w:rsidRPr="002F4F7E">
        <w:rPr>
          <w:b/>
          <w:lang w:eastAsia="en-AU"/>
        </w:rPr>
        <w:t xml:space="preserve">Coram: </w:t>
      </w:r>
      <w:r w:rsidR="00E8214B">
        <w:rPr>
          <w:lang w:eastAsia="en-AU"/>
        </w:rPr>
        <w:t>Glazebrook, O’Regan, Ellen France, Williams and Arnold JJ</w:t>
      </w:r>
    </w:p>
    <w:p w:rsidR="00A45D8E" w:rsidRPr="002F4F7E" w:rsidRDefault="00A45D8E" w:rsidP="00A45D8E">
      <w:pPr>
        <w:rPr>
          <w:lang w:eastAsia="en-AU"/>
        </w:rPr>
      </w:pPr>
    </w:p>
    <w:p w:rsidR="00A45D8E" w:rsidRPr="002F4F7E" w:rsidRDefault="00A45D8E" w:rsidP="00A45D8E">
      <w:pPr>
        <w:rPr>
          <w:b/>
          <w:lang w:eastAsia="en-AU"/>
        </w:rPr>
      </w:pPr>
      <w:r>
        <w:rPr>
          <w:b/>
          <w:lang w:eastAsia="en-AU"/>
        </w:rPr>
        <w:t>Catchwords:</w:t>
      </w:r>
    </w:p>
    <w:p w:rsidR="00A45D8E" w:rsidRPr="00856E9C" w:rsidRDefault="00A45D8E" w:rsidP="00A45D8E">
      <w:pPr>
        <w:rPr>
          <w:b/>
          <w:highlight w:val="yellow"/>
          <w:lang w:eastAsia="en-AU"/>
        </w:rPr>
      </w:pPr>
    </w:p>
    <w:p w:rsidR="00A45D8E" w:rsidRPr="00E8214B" w:rsidRDefault="00E8214B" w:rsidP="00E8214B">
      <w:pPr>
        <w:ind w:left="720"/>
        <w:rPr>
          <w:lang w:eastAsia="en-AU"/>
        </w:rPr>
      </w:pPr>
      <w:r>
        <w:rPr>
          <w:lang w:eastAsia="en-AU"/>
        </w:rPr>
        <w:t xml:space="preserve">Torts – Negligence – Accident Compensation scheme (ACC) – Where </w:t>
      </w:r>
      <w:r>
        <w:rPr>
          <w:i/>
          <w:lang w:eastAsia="en-AU"/>
        </w:rPr>
        <w:t>Accident Compensation Act 2001</w:t>
      </w:r>
      <w:r>
        <w:rPr>
          <w:lang w:eastAsia="en-AU"/>
        </w:rPr>
        <w:t xml:space="preserve"> provide</w:t>
      </w:r>
      <w:r w:rsidR="00EC6EFC">
        <w:rPr>
          <w:lang w:eastAsia="en-AU"/>
        </w:rPr>
        <w:t>d</w:t>
      </w:r>
      <w:r>
        <w:rPr>
          <w:lang w:eastAsia="en-AU"/>
        </w:rPr>
        <w:t xml:space="preserve"> claimants cannot sue for compensatory damages in respect of personal injury covered by ACC </w:t>
      </w:r>
      <w:r>
        <w:rPr>
          <w:lang w:eastAsia="en-AU"/>
        </w:rPr>
        <w:lastRenderedPageBreak/>
        <w:t xml:space="preserve">scheme – Where appellant took prescription drug for many years, distributed by respondent – Where appellant claimed drug caused excessive and painful bone growth in spine – Where appellant claimed and received compensation under ACC scheme – Where appellant also sought to sue respondent in negligence – Where respondent applied to strike out proceeding – Where High Court refused to strike out – Where Court of Appeal struck out claim as barred by ACC – Whether appellant entitled to ACC scheme because injuries ordinary consequence of consuming prescription drug – Whether claim should be struck out. </w:t>
      </w:r>
    </w:p>
    <w:p w:rsidR="00E8214B" w:rsidRPr="00856E9C" w:rsidRDefault="00E8214B" w:rsidP="00A45D8E">
      <w:pPr>
        <w:ind w:left="720"/>
        <w:rPr>
          <w:highlight w:val="yellow"/>
          <w:lang w:eastAsia="en-AU"/>
        </w:rPr>
      </w:pPr>
    </w:p>
    <w:p w:rsidR="00A45D8E" w:rsidRPr="000D3E8D" w:rsidRDefault="00A45D8E" w:rsidP="00A45D8E">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w:t>
      </w:r>
      <w:r w:rsidR="00E8214B">
        <w:rPr>
          <w:lang w:eastAsia="en-AU"/>
        </w:rPr>
        <w:t xml:space="preserve">dismissed. </w:t>
      </w:r>
      <w:r>
        <w:rPr>
          <w:lang w:eastAsia="en-AU"/>
        </w:rPr>
        <w:t xml:space="preserve">  </w:t>
      </w:r>
    </w:p>
    <w:p w:rsidR="00AA0BED" w:rsidRPr="00B546B2" w:rsidRDefault="00AA0BED" w:rsidP="00AA0BED">
      <w:pPr>
        <w:pStyle w:val="BullDivider2"/>
        <w:rPr>
          <w:rFonts w:cs="Arial"/>
          <w:highlight w:val="yellow"/>
        </w:rPr>
      </w:pPr>
    </w:p>
    <w:p w:rsidR="00AA0BED" w:rsidRPr="00B546B2" w:rsidRDefault="00AA0BED" w:rsidP="00AA0BED">
      <w:pPr>
        <w:rPr>
          <w:highlight w:val="yellow"/>
          <w:lang w:eastAsia="en-AU"/>
        </w:rPr>
      </w:pPr>
    </w:p>
    <w:p w:rsidR="00AA0BED" w:rsidRDefault="00AA0BED" w:rsidP="00AA0BED">
      <w:pPr>
        <w:pStyle w:val="Heading1"/>
      </w:pPr>
      <w:r>
        <w:t>Trusts</w:t>
      </w:r>
    </w:p>
    <w:p w:rsidR="00AA0BED" w:rsidRDefault="00AA0BED" w:rsidP="00AA0BED"/>
    <w:p w:rsidR="00AA0BED" w:rsidRDefault="00AA0BED" w:rsidP="00AA0BED">
      <w:pPr>
        <w:rPr>
          <w:rFonts w:ascii="Arial" w:hAnsi="Arial" w:cs="Arial"/>
          <w:bCs/>
          <w:i/>
          <w:iCs/>
          <w:sz w:val="28"/>
          <w:szCs w:val="28"/>
          <w:lang w:eastAsia="en-AU"/>
        </w:rPr>
      </w:pPr>
      <w:r>
        <w:rPr>
          <w:rFonts w:ascii="Arial" w:hAnsi="Arial" w:cs="Arial"/>
          <w:bCs/>
          <w:i/>
          <w:iCs/>
          <w:sz w:val="28"/>
          <w:szCs w:val="28"/>
          <w:lang w:eastAsia="en-AU"/>
        </w:rPr>
        <w:t xml:space="preserve">Wilkinson and Anor v Crawford NO and Ors </w:t>
      </w:r>
    </w:p>
    <w:p w:rsidR="00AA0BED" w:rsidRPr="002F4F7E" w:rsidRDefault="00AA0BED" w:rsidP="00AA0BED">
      <w:pPr>
        <w:rPr>
          <w:lang w:eastAsia="en-AU"/>
        </w:rPr>
      </w:pPr>
      <w:r>
        <w:rPr>
          <w:b/>
          <w:lang w:eastAsia="en-AU"/>
        </w:rPr>
        <w:t>Constitutional Court of South Africa</w:t>
      </w:r>
      <w:r w:rsidRPr="002F4F7E">
        <w:rPr>
          <w:b/>
          <w:lang w:eastAsia="en-AU"/>
        </w:rPr>
        <w:t xml:space="preserve">: </w:t>
      </w:r>
      <w:hyperlink r:id="rId37" w:history="1">
        <w:r w:rsidRPr="005653A2">
          <w:rPr>
            <w:rStyle w:val="Hyperlink"/>
            <w:lang w:eastAsia="en-AU"/>
          </w:rPr>
          <w:t>[2021] ZACC</w:t>
        </w:r>
        <w:r>
          <w:rPr>
            <w:rStyle w:val="Hyperlink"/>
            <w:lang w:eastAsia="en-AU"/>
          </w:rPr>
          <w:t xml:space="preserve"> 8</w:t>
        </w:r>
      </w:hyperlink>
    </w:p>
    <w:p w:rsidR="00AA0BED" w:rsidRPr="002F4F7E" w:rsidRDefault="00AA0BED" w:rsidP="00AA0BED">
      <w:pPr>
        <w:rPr>
          <w:lang w:eastAsia="en-AU"/>
        </w:rPr>
      </w:pPr>
    </w:p>
    <w:p w:rsidR="00AA0BED" w:rsidRPr="002F4F7E" w:rsidRDefault="00AA0BED" w:rsidP="00AA0BED">
      <w:pPr>
        <w:rPr>
          <w:lang w:eastAsia="en-AU"/>
        </w:rPr>
      </w:pPr>
      <w:r w:rsidRPr="002F4F7E">
        <w:rPr>
          <w:b/>
          <w:lang w:eastAsia="en-AU"/>
        </w:rPr>
        <w:t>Judgment delivered:</w:t>
      </w:r>
      <w:r w:rsidRPr="002F4F7E">
        <w:rPr>
          <w:lang w:eastAsia="en-AU"/>
        </w:rPr>
        <w:t xml:space="preserve"> </w:t>
      </w:r>
      <w:r>
        <w:rPr>
          <w:lang w:eastAsia="en-AU"/>
        </w:rPr>
        <w:t>1 April 2021</w:t>
      </w:r>
    </w:p>
    <w:p w:rsidR="00AA0BED" w:rsidRPr="002F4F7E" w:rsidRDefault="00AA0BED" w:rsidP="00AA0BED">
      <w:pPr>
        <w:rPr>
          <w:lang w:eastAsia="en-AU"/>
        </w:rPr>
      </w:pPr>
    </w:p>
    <w:p w:rsidR="00AA0BED" w:rsidRPr="002F4F7E" w:rsidRDefault="00AA0BED" w:rsidP="00AA0BED">
      <w:pPr>
        <w:rPr>
          <w:lang w:eastAsia="en-AU"/>
        </w:rPr>
      </w:pPr>
      <w:r w:rsidRPr="002F4F7E">
        <w:rPr>
          <w:b/>
          <w:lang w:eastAsia="en-AU"/>
        </w:rPr>
        <w:t xml:space="preserve">Coram: </w:t>
      </w:r>
      <w:r>
        <w:rPr>
          <w:lang w:eastAsia="en-AU"/>
        </w:rPr>
        <w:t>Moegong CJ, Jafta, Khampepe, Madlanga, Majiedt JJ, Mathopo AJ, Mhlantla, Theron, Tshiqi JJ and Victor AJ</w:t>
      </w:r>
    </w:p>
    <w:p w:rsidR="00AA0BED" w:rsidRPr="002F4F7E" w:rsidRDefault="00AA0BED" w:rsidP="00AA0BED">
      <w:pPr>
        <w:rPr>
          <w:lang w:eastAsia="en-AU"/>
        </w:rPr>
      </w:pPr>
    </w:p>
    <w:p w:rsidR="00AA0BED" w:rsidRPr="002F4F7E" w:rsidRDefault="00AA0BED" w:rsidP="00AA0BED">
      <w:pPr>
        <w:rPr>
          <w:b/>
          <w:lang w:eastAsia="en-AU"/>
        </w:rPr>
      </w:pPr>
      <w:r>
        <w:rPr>
          <w:b/>
          <w:lang w:eastAsia="en-AU"/>
        </w:rPr>
        <w:t>Catchwords:</w:t>
      </w:r>
    </w:p>
    <w:p w:rsidR="00AA0BED" w:rsidRPr="00856E9C" w:rsidRDefault="00AA0BED" w:rsidP="00AA0BED">
      <w:pPr>
        <w:rPr>
          <w:b/>
          <w:highlight w:val="yellow"/>
          <w:lang w:eastAsia="en-AU"/>
        </w:rPr>
      </w:pPr>
    </w:p>
    <w:p w:rsidR="00AA0BED" w:rsidRDefault="00AA0BED" w:rsidP="00AA0BED">
      <w:pPr>
        <w:ind w:left="720"/>
        <w:rPr>
          <w:lang w:eastAsia="en-AU"/>
        </w:rPr>
      </w:pPr>
      <w:r>
        <w:rPr>
          <w:lang w:eastAsia="en-AU"/>
        </w:rPr>
        <w:t xml:space="preserve">Trusts </w:t>
      </w:r>
      <w:r w:rsidR="00C04EFE">
        <w:rPr>
          <w:lang w:eastAsia="en-AU"/>
        </w:rPr>
        <w:t>–</w:t>
      </w:r>
      <w:r>
        <w:rPr>
          <w:lang w:eastAsia="en-AU"/>
        </w:rPr>
        <w:t xml:space="preserve"> </w:t>
      </w:r>
      <w:r w:rsidR="00C04EFE">
        <w:rPr>
          <w:lang w:eastAsia="en-AU"/>
        </w:rPr>
        <w:t>Construction of trust deed – Public policy – Discrimination – Where applicants adopted grandchildren of Mr Druiff – Where Druiff executed trust deed identifying children as income beneficiaries, and upon their death, shares devolve upon their “children”– Where trust deed provided on termination</w:t>
      </w:r>
      <w:r w:rsidR="006C7BDC">
        <w:rPr>
          <w:lang w:eastAsia="en-AU"/>
        </w:rPr>
        <w:t xml:space="preserve"> of trust</w:t>
      </w:r>
      <w:r w:rsidR="00C04EFE">
        <w:rPr>
          <w:lang w:eastAsia="en-AU"/>
        </w:rPr>
        <w:t>, capital to be divided among children, or if they died, on</w:t>
      </w:r>
      <w:r w:rsidR="006C7BDC">
        <w:rPr>
          <w:lang w:eastAsia="en-AU"/>
        </w:rPr>
        <w:t xml:space="preserve"> their</w:t>
      </w:r>
      <w:r w:rsidR="00C04EFE">
        <w:rPr>
          <w:lang w:eastAsia="en-AU"/>
        </w:rPr>
        <w:t xml:space="preserve"> “legal descendants”– Where Druiff executed amendment providing if children died prior to termination, share would devolve on </w:t>
      </w:r>
      <w:r w:rsidR="006C7BDC">
        <w:rPr>
          <w:lang w:eastAsia="en-AU"/>
        </w:rPr>
        <w:t xml:space="preserve">their </w:t>
      </w:r>
      <w:r w:rsidR="00C04EFE">
        <w:rPr>
          <w:lang w:eastAsia="en-AU"/>
        </w:rPr>
        <w:t>“descendants” – Where applicants sought declarator in High Court that trust deed applied to adopted grandchildren</w:t>
      </w:r>
      <w:r w:rsidR="005E2CC3">
        <w:rPr>
          <w:lang w:eastAsia="en-AU"/>
        </w:rPr>
        <w:t xml:space="preserve">, but was denied as Druiff had not explicitly included adopted grandchildren – Where applicants unsuccessfully appealed on basis exclusion of adopted grandchildren contrary to public policy </w:t>
      </w:r>
      <w:r w:rsidR="00A925EF">
        <w:rPr>
          <w:lang w:eastAsia="en-AU"/>
        </w:rPr>
        <w:t>because</w:t>
      </w:r>
      <w:r w:rsidR="005E2CC3">
        <w:rPr>
          <w:lang w:eastAsia="en-AU"/>
        </w:rPr>
        <w:t xml:space="preserve"> constitutes discrimination on basis of birth contrary to s 9 of </w:t>
      </w:r>
      <w:r w:rsidR="005E2CC3">
        <w:rPr>
          <w:i/>
          <w:lang w:eastAsia="en-AU"/>
        </w:rPr>
        <w:t xml:space="preserve">Constitution </w:t>
      </w:r>
      <w:r w:rsidR="005E2CC3">
        <w:rPr>
          <w:lang w:eastAsia="en-AU"/>
        </w:rPr>
        <w:t xml:space="preserve">– </w:t>
      </w:r>
      <w:r w:rsidR="00C04EFE">
        <w:rPr>
          <w:lang w:eastAsia="en-AU"/>
        </w:rPr>
        <w:t xml:space="preserve">Whether </w:t>
      </w:r>
      <w:r w:rsidR="005E2CC3">
        <w:rPr>
          <w:lang w:eastAsia="en-AU"/>
        </w:rPr>
        <w:t>trust deed exclud</w:t>
      </w:r>
      <w:r w:rsidR="00B05E54">
        <w:rPr>
          <w:lang w:eastAsia="en-AU"/>
        </w:rPr>
        <w:t>es</w:t>
      </w:r>
      <w:r w:rsidR="005E2CC3">
        <w:rPr>
          <w:lang w:eastAsia="en-AU"/>
        </w:rPr>
        <w:t xml:space="preserve"> adopted grandchildren – If so, whether public policy may render private trust deed unenforceable – If so, w</w:t>
      </w:r>
      <w:r w:rsidR="00C04EFE">
        <w:rPr>
          <w:lang w:eastAsia="en-AU"/>
        </w:rPr>
        <w:t xml:space="preserve">hether </w:t>
      </w:r>
      <w:r w:rsidR="005E2CC3">
        <w:rPr>
          <w:lang w:eastAsia="en-AU"/>
        </w:rPr>
        <w:t xml:space="preserve">exclusion constitutes unfair discrimination </w:t>
      </w:r>
      <w:r w:rsidR="00C04EFE">
        <w:rPr>
          <w:lang w:eastAsia="en-AU"/>
        </w:rPr>
        <w:t xml:space="preserve"> </w:t>
      </w:r>
      <w:r w:rsidR="005E2CC3">
        <w:rPr>
          <w:lang w:eastAsia="en-AU"/>
        </w:rPr>
        <w:t xml:space="preserve">and contrary to public policy. </w:t>
      </w:r>
    </w:p>
    <w:p w:rsidR="00C04EFE" w:rsidRPr="00856E9C" w:rsidRDefault="00C04EFE" w:rsidP="00AA0BED">
      <w:pPr>
        <w:ind w:left="720"/>
        <w:rPr>
          <w:highlight w:val="yellow"/>
          <w:lang w:eastAsia="en-AU"/>
        </w:rPr>
      </w:pPr>
    </w:p>
    <w:p w:rsidR="00AA0BED" w:rsidRPr="000D3E8D" w:rsidRDefault="00AA0BED" w:rsidP="00AA0BED">
      <w:pPr>
        <w:rPr>
          <w:lang w:eastAsia="en-AU"/>
        </w:rPr>
      </w:pPr>
      <w:r w:rsidRPr="002F4F7E">
        <w:rPr>
          <w:b/>
          <w:lang w:eastAsia="en-AU"/>
        </w:rPr>
        <w:t>Held (</w:t>
      </w:r>
      <w:r>
        <w:rPr>
          <w:b/>
          <w:lang w:eastAsia="en-AU"/>
        </w:rPr>
        <w:t>8:2</w:t>
      </w:r>
      <w:r w:rsidRPr="002F4F7E">
        <w:rPr>
          <w:b/>
          <w:lang w:eastAsia="en-AU"/>
        </w:rPr>
        <w:t xml:space="preserve">): </w:t>
      </w:r>
      <w:r>
        <w:rPr>
          <w:lang w:eastAsia="en-AU"/>
        </w:rPr>
        <w:t xml:space="preserve">Leave to appeal granted; appeal allowed. </w:t>
      </w:r>
    </w:p>
    <w:p w:rsidR="00A45D8E" w:rsidRPr="00B546B2" w:rsidRDefault="00A45D8E" w:rsidP="00A45D8E">
      <w:pPr>
        <w:pStyle w:val="BullDivider2"/>
        <w:rPr>
          <w:rFonts w:cs="Arial"/>
          <w:highlight w:val="yellow"/>
        </w:rPr>
      </w:pPr>
    </w:p>
    <w:p w:rsidR="00A45D8E" w:rsidRPr="00B546B2" w:rsidRDefault="00A45D8E" w:rsidP="00A45D8E">
      <w:pPr>
        <w:rPr>
          <w:highlight w:val="yellow"/>
        </w:rPr>
      </w:pPr>
    </w:p>
    <w:p w:rsidR="00511DAD" w:rsidRPr="00B546B2" w:rsidRDefault="00511DAD" w:rsidP="00511DAD">
      <w:pPr>
        <w:rPr>
          <w:highlight w:val="yellow"/>
        </w:rPr>
      </w:pPr>
    </w:p>
    <w:p w:rsidR="00C920EA" w:rsidRPr="00B546B2" w:rsidRDefault="00C920EA" w:rsidP="00C920EA">
      <w:pPr>
        <w:rPr>
          <w:highlight w:val="yellow"/>
        </w:rPr>
      </w:pPr>
    </w:p>
    <w:sectPr w:rsidR="00C920EA" w:rsidRPr="00B546B2" w:rsidSect="00F4611C">
      <w:footerReference w:type="default" r:id="rId3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9EE" w:rsidRDefault="00A719EE" w:rsidP="00803531">
      <w:r>
        <w:separator/>
      </w:r>
    </w:p>
  </w:endnote>
  <w:endnote w:type="continuationSeparator" w:id="0">
    <w:p w:rsidR="00A719EE" w:rsidRDefault="00A719EE" w:rsidP="008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D1" w:rsidRDefault="00A72ED1" w:rsidP="00FF7AAF">
    <w:pPr>
      <w:pStyle w:val="Footer"/>
    </w:pPr>
    <w:r w:rsidRPr="003A4DA5">
      <w:t>ODB (2021) 18:2</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9EE" w:rsidRDefault="00A719EE" w:rsidP="00803531">
      <w:r>
        <w:separator/>
      </w:r>
    </w:p>
  </w:footnote>
  <w:footnote w:type="continuationSeparator" w:id="0">
    <w:p w:rsidR="00A719EE" w:rsidRDefault="00A719EE" w:rsidP="0080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2FC1ABC9-96F7-48C6-8917-90547F4220EA}"/>
    <w:docVar w:name="dgnword-eventsink" w:val="90600792"/>
  </w:docVars>
  <w:rsids>
    <w:rsidRoot w:val="00D533AE"/>
    <w:rsid w:val="00001BAB"/>
    <w:rsid w:val="00003A8C"/>
    <w:rsid w:val="0000611F"/>
    <w:rsid w:val="000061F8"/>
    <w:rsid w:val="00007833"/>
    <w:rsid w:val="0001028C"/>
    <w:rsid w:val="00012586"/>
    <w:rsid w:val="00014F57"/>
    <w:rsid w:val="00016876"/>
    <w:rsid w:val="00020080"/>
    <w:rsid w:val="000206E8"/>
    <w:rsid w:val="00025A72"/>
    <w:rsid w:val="000300A3"/>
    <w:rsid w:val="00034778"/>
    <w:rsid w:val="00035ADE"/>
    <w:rsid w:val="00036B97"/>
    <w:rsid w:val="000379B1"/>
    <w:rsid w:val="00040616"/>
    <w:rsid w:val="00041979"/>
    <w:rsid w:val="00044344"/>
    <w:rsid w:val="00054234"/>
    <w:rsid w:val="00055030"/>
    <w:rsid w:val="00056565"/>
    <w:rsid w:val="00056AFF"/>
    <w:rsid w:val="000602A7"/>
    <w:rsid w:val="000608CF"/>
    <w:rsid w:val="0006158D"/>
    <w:rsid w:val="00061DE2"/>
    <w:rsid w:val="00063EAE"/>
    <w:rsid w:val="000674A3"/>
    <w:rsid w:val="00071C1F"/>
    <w:rsid w:val="00071E8B"/>
    <w:rsid w:val="0007274E"/>
    <w:rsid w:val="00075100"/>
    <w:rsid w:val="0007563A"/>
    <w:rsid w:val="00076788"/>
    <w:rsid w:val="00083B55"/>
    <w:rsid w:val="0008559E"/>
    <w:rsid w:val="00087B51"/>
    <w:rsid w:val="00092FB3"/>
    <w:rsid w:val="00097C28"/>
    <w:rsid w:val="000A0C44"/>
    <w:rsid w:val="000A0D8C"/>
    <w:rsid w:val="000A1252"/>
    <w:rsid w:val="000A148B"/>
    <w:rsid w:val="000A27C5"/>
    <w:rsid w:val="000A28E4"/>
    <w:rsid w:val="000A32A4"/>
    <w:rsid w:val="000A3B5A"/>
    <w:rsid w:val="000A52DA"/>
    <w:rsid w:val="000B2704"/>
    <w:rsid w:val="000B2CC5"/>
    <w:rsid w:val="000B3DD4"/>
    <w:rsid w:val="000B404F"/>
    <w:rsid w:val="000B4066"/>
    <w:rsid w:val="000B42A3"/>
    <w:rsid w:val="000B5D79"/>
    <w:rsid w:val="000B64D7"/>
    <w:rsid w:val="000C0320"/>
    <w:rsid w:val="000C0D72"/>
    <w:rsid w:val="000C0DD6"/>
    <w:rsid w:val="000C13EC"/>
    <w:rsid w:val="000C26C1"/>
    <w:rsid w:val="000C70A6"/>
    <w:rsid w:val="000D1D3A"/>
    <w:rsid w:val="000D28D6"/>
    <w:rsid w:val="000D2EE4"/>
    <w:rsid w:val="000D3E8D"/>
    <w:rsid w:val="000D5142"/>
    <w:rsid w:val="000E1CE7"/>
    <w:rsid w:val="000E2532"/>
    <w:rsid w:val="000E2BAA"/>
    <w:rsid w:val="000E58D2"/>
    <w:rsid w:val="000E5BD7"/>
    <w:rsid w:val="000E5F48"/>
    <w:rsid w:val="000E7F45"/>
    <w:rsid w:val="000F0DBE"/>
    <w:rsid w:val="000F381F"/>
    <w:rsid w:val="000F389D"/>
    <w:rsid w:val="000F4DC5"/>
    <w:rsid w:val="000F719B"/>
    <w:rsid w:val="000F7D3C"/>
    <w:rsid w:val="00100B3E"/>
    <w:rsid w:val="001018FD"/>
    <w:rsid w:val="001036AC"/>
    <w:rsid w:val="00103F4B"/>
    <w:rsid w:val="00106FCA"/>
    <w:rsid w:val="00112D8A"/>
    <w:rsid w:val="001139AF"/>
    <w:rsid w:val="00113C18"/>
    <w:rsid w:val="00115250"/>
    <w:rsid w:val="001158DF"/>
    <w:rsid w:val="00117699"/>
    <w:rsid w:val="00121E50"/>
    <w:rsid w:val="001224D8"/>
    <w:rsid w:val="00122779"/>
    <w:rsid w:val="00125B7B"/>
    <w:rsid w:val="0012760C"/>
    <w:rsid w:val="0013001F"/>
    <w:rsid w:val="00130C04"/>
    <w:rsid w:val="001328C3"/>
    <w:rsid w:val="00133E53"/>
    <w:rsid w:val="001348BB"/>
    <w:rsid w:val="00136EE9"/>
    <w:rsid w:val="00137559"/>
    <w:rsid w:val="0013755F"/>
    <w:rsid w:val="00140FCC"/>
    <w:rsid w:val="00142680"/>
    <w:rsid w:val="00143ADC"/>
    <w:rsid w:val="001451E5"/>
    <w:rsid w:val="001468A0"/>
    <w:rsid w:val="0014793D"/>
    <w:rsid w:val="00150915"/>
    <w:rsid w:val="00150962"/>
    <w:rsid w:val="00152A41"/>
    <w:rsid w:val="00154743"/>
    <w:rsid w:val="00155A72"/>
    <w:rsid w:val="00161796"/>
    <w:rsid w:val="001638E7"/>
    <w:rsid w:val="001639F4"/>
    <w:rsid w:val="00164073"/>
    <w:rsid w:val="00164A02"/>
    <w:rsid w:val="0016544D"/>
    <w:rsid w:val="00166D65"/>
    <w:rsid w:val="001671EE"/>
    <w:rsid w:val="001730B2"/>
    <w:rsid w:val="001761EF"/>
    <w:rsid w:val="001762D9"/>
    <w:rsid w:val="001765A2"/>
    <w:rsid w:val="00180393"/>
    <w:rsid w:val="0018118A"/>
    <w:rsid w:val="001812FD"/>
    <w:rsid w:val="00181993"/>
    <w:rsid w:val="00181C26"/>
    <w:rsid w:val="00181C2D"/>
    <w:rsid w:val="00181F68"/>
    <w:rsid w:val="00182267"/>
    <w:rsid w:val="00182F80"/>
    <w:rsid w:val="00183809"/>
    <w:rsid w:val="001845F8"/>
    <w:rsid w:val="00184BF6"/>
    <w:rsid w:val="00185B04"/>
    <w:rsid w:val="001861E1"/>
    <w:rsid w:val="0018777A"/>
    <w:rsid w:val="001878F4"/>
    <w:rsid w:val="0019053F"/>
    <w:rsid w:val="0019057F"/>
    <w:rsid w:val="00190714"/>
    <w:rsid w:val="001924CE"/>
    <w:rsid w:val="00193C5B"/>
    <w:rsid w:val="00193D7D"/>
    <w:rsid w:val="00197443"/>
    <w:rsid w:val="001A1741"/>
    <w:rsid w:val="001A1BEC"/>
    <w:rsid w:val="001A3C19"/>
    <w:rsid w:val="001A3D22"/>
    <w:rsid w:val="001A5535"/>
    <w:rsid w:val="001A674A"/>
    <w:rsid w:val="001B0F99"/>
    <w:rsid w:val="001B34E9"/>
    <w:rsid w:val="001B62EE"/>
    <w:rsid w:val="001B6F90"/>
    <w:rsid w:val="001C02C1"/>
    <w:rsid w:val="001D1234"/>
    <w:rsid w:val="001D14E4"/>
    <w:rsid w:val="001D1F45"/>
    <w:rsid w:val="001D36B4"/>
    <w:rsid w:val="001D376F"/>
    <w:rsid w:val="001D4B11"/>
    <w:rsid w:val="001D72FC"/>
    <w:rsid w:val="001E333A"/>
    <w:rsid w:val="001E3CAD"/>
    <w:rsid w:val="001E5A46"/>
    <w:rsid w:val="001E6171"/>
    <w:rsid w:val="001F09C4"/>
    <w:rsid w:val="001F33E7"/>
    <w:rsid w:val="001F3418"/>
    <w:rsid w:val="00201B76"/>
    <w:rsid w:val="00201D90"/>
    <w:rsid w:val="00203CF8"/>
    <w:rsid w:val="00205443"/>
    <w:rsid w:val="00205B04"/>
    <w:rsid w:val="00207229"/>
    <w:rsid w:val="002110A3"/>
    <w:rsid w:val="00211DFA"/>
    <w:rsid w:val="00212027"/>
    <w:rsid w:val="00212845"/>
    <w:rsid w:val="0021397A"/>
    <w:rsid w:val="00213C1A"/>
    <w:rsid w:val="00213D2B"/>
    <w:rsid w:val="002209A5"/>
    <w:rsid w:val="0022191E"/>
    <w:rsid w:val="00221F4D"/>
    <w:rsid w:val="002225AA"/>
    <w:rsid w:val="002233EB"/>
    <w:rsid w:val="0022481A"/>
    <w:rsid w:val="00227473"/>
    <w:rsid w:val="00227577"/>
    <w:rsid w:val="00230A69"/>
    <w:rsid w:val="002347CA"/>
    <w:rsid w:val="00236AC3"/>
    <w:rsid w:val="00240E8A"/>
    <w:rsid w:val="002410CC"/>
    <w:rsid w:val="002433A8"/>
    <w:rsid w:val="00243A33"/>
    <w:rsid w:val="002459E4"/>
    <w:rsid w:val="00246EF5"/>
    <w:rsid w:val="00247287"/>
    <w:rsid w:val="0024742C"/>
    <w:rsid w:val="002477DC"/>
    <w:rsid w:val="00250F94"/>
    <w:rsid w:val="00251D0F"/>
    <w:rsid w:val="0025252A"/>
    <w:rsid w:val="002526F0"/>
    <w:rsid w:val="00252F31"/>
    <w:rsid w:val="00254090"/>
    <w:rsid w:val="002540B8"/>
    <w:rsid w:val="00263761"/>
    <w:rsid w:val="00270FCA"/>
    <w:rsid w:val="0027369F"/>
    <w:rsid w:val="00276923"/>
    <w:rsid w:val="00280499"/>
    <w:rsid w:val="00281809"/>
    <w:rsid w:val="0028505C"/>
    <w:rsid w:val="00285C50"/>
    <w:rsid w:val="00286308"/>
    <w:rsid w:val="00286BC6"/>
    <w:rsid w:val="002904E1"/>
    <w:rsid w:val="00296137"/>
    <w:rsid w:val="00297845"/>
    <w:rsid w:val="002A3C55"/>
    <w:rsid w:val="002A527B"/>
    <w:rsid w:val="002A69DC"/>
    <w:rsid w:val="002A6DD4"/>
    <w:rsid w:val="002B1336"/>
    <w:rsid w:val="002B1A95"/>
    <w:rsid w:val="002B4119"/>
    <w:rsid w:val="002B47B1"/>
    <w:rsid w:val="002B58BD"/>
    <w:rsid w:val="002B6F77"/>
    <w:rsid w:val="002B7B5E"/>
    <w:rsid w:val="002C0A90"/>
    <w:rsid w:val="002C2C37"/>
    <w:rsid w:val="002C3E68"/>
    <w:rsid w:val="002C5401"/>
    <w:rsid w:val="002C5856"/>
    <w:rsid w:val="002C5D3D"/>
    <w:rsid w:val="002D2DAE"/>
    <w:rsid w:val="002E0A88"/>
    <w:rsid w:val="002E3D12"/>
    <w:rsid w:val="002E5D09"/>
    <w:rsid w:val="002E7C04"/>
    <w:rsid w:val="002F18CF"/>
    <w:rsid w:val="002F220E"/>
    <w:rsid w:val="002F40F5"/>
    <w:rsid w:val="002F41DC"/>
    <w:rsid w:val="002F4B3A"/>
    <w:rsid w:val="002F4F7E"/>
    <w:rsid w:val="002F5F93"/>
    <w:rsid w:val="002F73D6"/>
    <w:rsid w:val="002F7A17"/>
    <w:rsid w:val="002F7D66"/>
    <w:rsid w:val="00301AC5"/>
    <w:rsid w:val="00301B43"/>
    <w:rsid w:val="00304307"/>
    <w:rsid w:val="00307804"/>
    <w:rsid w:val="0031010D"/>
    <w:rsid w:val="00310522"/>
    <w:rsid w:val="00310A4E"/>
    <w:rsid w:val="0031754B"/>
    <w:rsid w:val="0032013E"/>
    <w:rsid w:val="0032098B"/>
    <w:rsid w:val="0032244A"/>
    <w:rsid w:val="00322D67"/>
    <w:rsid w:val="00326031"/>
    <w:rsid w:val="003261E1"/>
    <w:rsid w:val="0033020E"/>
    <w:rsid w:val="003470D1"/>
    <w:rsid w:val="00351E4C"/>
    <w:rsid w:val="003553B8"/>
    <w:rsid w:val="003579AA"/>
    <w:rsid w:val="003604E8"/>
    <w:rsid w:val="00360F0A"/>
    <w:rsid w:val="0036233C"/>
    <w:rsid w:val="00363764"/>
    <w:rsid w:val="0036633D"/>
    <w:rsid w:val="0037207F"/>
    <w:rsid w:val="0037306C"/>
    <w:rsid w:val="0037370F"/>
    <w:rsid w:val="00373D30"/>
    <w:rsid w:val="00375515"/>
    <w:rsid w:val="0037654C"/>
    <w:rsid w:val="00380978"/>
    <w:rsid w:val="00381899"/>
    <w:rsid w:val="0038382C"/>
    <w:rsid w:val="00385DA8"/>
    <w:rsid w:val="003868AD"/>
    <w:rsid w:val="00387C34"/>
    <w:rsid w:val="003908CA"/>
    <w:rsid w:val="003A011E"/>
    <w:rsid w:val="003A1231"/>
    <w:rsid w:val="003A156B"/>
    <w:rsid w:val="003A1962"/>
    <w:rsid w:val="003A290B"/>
    <w:rsid w:val="003A3A72"/>
    <w:rsid w:val="003A4DA5"/>
    <w:rsid w:val="003A7D12"/>
    <w:rsid w:val="003B13F6"/>
    <w:rsid w:val="003B18B6"/>
    <w:rsid w:val="003B405E"/>
    <w:rsid w:val="003B5377"/>
    <w:rsid w:val="003C0017"/>
    <w:rsid w:val="003C18F0"/>
    <w:rsid w:val="003C25CB"/>
    <w:rsid w:val="003C28A6"/>
    <w:rsid w:val="003C4007"/>
    <w:rsid w:val="003C606F"/>
    <w:rsid w:val="003C6712"/>
    <w:rsid w:val="003C7439"/>
    <w:rsid w:val="003D72BF"/>
    <w:rsid w:val="003D7578"/>
    <w:rsid w:val="003E0190"/>
    <w:rsid w:val="003E27C2"/>
    <w:rsid w:val="003E31C1"/>
    <w:rsid w:val="003E6C38"/>
    <w:rsid w:val="003F165A"/>
    <w:rsid w:val="003F1AD9"/>
    <w:rsid w:val="003F26EE"/>
    <w:rsid w:val="003F270F"/>
    <w:rsid w:val="003F3508"/>
    <w:rsid w:val="003F4132"/>
    <w:rsid w:val="003F418A"/>
    <w:rsid w:val="003F5341"/>
    <w:rsid w:val="003F6485"/>
    <w:rsid w:val="004007CD"/>
    <w:rsid w:val="00401A7C"/>
    <w:rsid w:val="00403C92"/>
    <w:rsid w:val="004061FF"/>
    <w:rsid w:val="00412E8D"/>
    <w:rsid w:val="004138B3"/>
    <w:rsid w:val="00414F67"/>
    <w:rsid w:val="00415D91"/>
    <w:rsid w:val="004211CE"/>
    <w:rsid w:val="004224FD"/>
    <w:rsid w:val="00423F69"/>
    <w:rsid w:val="00424660"/>
    <w:rsid w:val="00427221"/>
    <w:rsid w:val="004273FD"/>
    <w:rsid w:val="00430424"/>
    <w:rsid w:val="0043209B"/>
    <w:rsid w:val="0043549F"/>
    <w:rsid w:val="00436081"/>
    <w:rsid w:val="004402BC"/>
    <w:rsid w:val="00444A54"/>
    <w:rsid w:val="00445279"/>
    <w:rsid w:val="00451339"/>
    <w:rsid w:val="004519DE"/>
    <w:rsid w:val="00451E71"/>
    <w:rsid w:val="00455539"/>
    <w:rsid w:val="00455553"/>
    <w:rsid w:val="00455B96"/>
    <w:rsid w:val="004570E7"/>
    <w:rsid w:val="0046101B"/>
    <w:rsid w:val="00462AEB"/>
    <w:rsid w:val="0046475B"/>
    <w:rsid w:val="00465D90"/>
    <w:rsid w:val="00466473"/>
    <w:rsid w:val="00466689"/>
    <w:rsid w:val="004668F6"/>
    <w:rsid w:val="004676C3"/>
    <w:rsid w:val="004711A0"/>
    <w:rsid w:val="00475D39"/>
    <w:rsid w:val="00476476"/>
    <w:rsid w:val="00477A68"/>
    <w:rsid w:val="00480F84"/>
    <w:rsid w:val="00481898"/>
    <w:rsid w:val="00481FA6"/>
    <w:rsid w:val="00482C3A"/>
    <w:rsid w:val="00484053"/>
    <w:rsid w:val="00486A6F"/>
    <w:rsid w:val="00486B32"/>
    <w:rsid w:val="00490E9B"/>
    <w:rsid w:val="00493062"/>
    <w:rsid w:val="00497C2A"/>
    <w:rsid w:val="004B33B5"/>
    <w:rsid w:val="004B4405"/>
    <w:rsid w:val="004B509B"/>
    <w:rsid w:val="004B5AE4"/>
    <w:rsid w:val="004B7772"/>
    <w:rsid w:val="004C01B0"/>
    <w:rsid w:val="004C3A90"/>
    <w:rsid w:val="004C5D19"/>
    <w:rsid w:val="004C658D"/>
    <w:rsid w:val="004D1BDA"/>
    <w:rsid w:val="004D416B"/>
    <w:rsid w:val="004D4D99"/>
    <w:rsid w:val="004E5A9D"/>
    <w:rsid w:val="004F2FA3"/>
    <w:rsid w:val="004F5199"/>
    <w:rsid w:val="004F5D25"/>
    <w:rsid w:val="004F76BF"/>
    <w:rsid w:val="004F79DE"/>
    <w:rsid w:val="004F7B7B"/>
    <w:rsid w:val="00502BC3"/>
    <w:rsid w:val="00502C3F"/>
    <w:rsid w:val="0050300B"/>
    <w:rsid w:val="00503C5F"/>
    <w:rsid w:val="00510C1C"/>
    <w:rsid w:val="00511DAD"/>
    <w:rsid w:val="00512244"/>
    <w:rsid w:val="0051272D"/>
    <w:rsid w:val="00514E2E"/>
    <w:rsid w:val="00516BB6"/>
    <w:rsid w:val="005208B3"/>
    <w:rsid w:val="00521A62"/>
    <w:rsid w:val="00521CE7"/>
    <w:rsid w:val="00522730"/>
    <w:rsid w:val="0052287E"/>
    <w:rsid w:val="00522F8E"/>
    <w:rsid w:val="00524296"/>
    <w:rsid w:val="00525007"/>
    <w:rsid w:val="00527116"/>
    <w:rsid w:val="0053305E"/>
    <w:rsid w:val="00533C10"/>
    <w:rsid w:val="005344BB"/>
    <w:rsid w:val="00536AA7"/>
    <w:rsid w:val="00541281"/>
    <w:rsid w:val="00542209"/>
    <w:rsid w:val="005428DC"/>
    <w:rsid w:val="00545ED8"/>
    <w:rsid w:val="005465A4"/>
    <w:rsid w:val="00550F6C"/>
    <w:rsid w:val="0055691D"/>
    <w:rsid w:val="00560229"/>
    <w:rsid w:val="00562037"/>
    <w:rsid w:val="00562D37"/>
    <w:rsid w:val="00564976"/>
    <w:rsid w:val="005653A2"/>
    <w:rsid w:val="00566941"/>
    <w:rsid w:val="0057096E"/>
    <w:rsid w:val="005714C5"/>
    <w:rsid w:val="00572002"/>
    <w:rsid w:val="00573E57"/>
    <w:rsid w:val="00575041"/>
    <w:rsid w:val="005779CA"/>
    <w:rsid w:val="005817A0"/>
    <w:rsid w:val="00581EE1"/>
    <w:rsid w:val="00586493"/>
    <w:rsid w:val="005912F2"/>
    <w:rsid w:val="00592667"/>
    <w:rsid w:val="0059269E"/>
    <w:rsid w:val="00593341"/>
    <w:rsid w:val="005942A7"/>
    <w:rsid w:val="005946CD"/>
    <w:rsid w:val="00597F08"/>
    <w:rsid w:val="005A0C20"/>
    <w:rsid w:val="005A1474"/>
    <w:rsid w:val="005A38CD"/>
    <w:rsid w:val="005B2468"/>
    <w:rsid w:val="005C1893"/>
    <w:rsid w:val="005C6023"/>
    <w:rsid w:val="005C6B57"/>
    <w:rsid w:val="005D10AC"/>
    <w:rsid w:val="005D1CEE"/>
    <w:rsid w:val="005D2400"/>
    <w:rsid w:val="005D4626"/>
    <w:rsid w:val="005E08A5"/>
    <w:rsid w:val="005E1519"/>
    <w:rsid w:val="005E2B34"/>
    <w:rsid w:val="005E2CC3"/>
    <w:rsid w:val="005E5DAF"/>
    <w:rsid w:val="005E6984"/>
    <w:rsid w:val="005F0B55"/>
    <w:rsid w:val="005F122D"/>
    <w:rsid w:val="005F12F6"/>
    <w:rsid w:val="005F4AE2"/>
    <w:rsid w:val="005F6397"/>
    <w:rsid w:val="005F6CE0"/>
    <w:rsid w:val="00604122"/>
    <w:rsid w:val="00611AB9"/>
    <w:rsid w:val="00613431"/>
    <w:rsid w:val="006151E0"/>
    <w:rsid w:val="006153D8"/>
    <w:rsid w:val="00615569"/>
    <w:rsid w:val="00616B64"/>
    <w:rsid w:val="00620F1A"/>
    <w:rsid w:val="00622DC8"/>
    <w:rsid w:val="00623BCE"/>
    <w:rsid w:val="00623E1A"/>
    <w:rsid w:val="0062493B"/>
    <w:rsid w:val="006261C0"/>
    <w:rsid w:val="006278AB"/>
    <w:rsid w:val="00630D68"/>
    <w:rsid w:val="006316BF"/>
    <w:rsid w:val="006325A7"/>
    <w:rsid w:val="006338A2"/>
    <w:rsid w:val="006372D1"/>
    <w:rsid w:val="00637F18"/>
    <w:rsid w:val="00640919"/>
    <w:rsid w:val="006420F3"/>
    <w:rsid w:val="00645B16"/>
    <w:rsid w:val="00647B8A"/>
    <w:rsid w:val="006502A0"/>
    <w:rsid w:val="00650C85"/>
    <w:rsid w:val="00652264"/>
    <w:rsid w:val="00652D36"/>
    <w:rsid w:val="00663A7B"/>
    <w:rsid w:val="0066751B"/>
    <w:rsid w:val="00671C14"/>
    <w:rsid w:val="00671EB9"/>
    <w:rsid w:val="00672358"/>
    <w:rsid w:val="00673127"/>
    <w:rsid w:val="00676627"/>
    <w:rsid w:val="006838F1"/>
    <w:rsid w:val="00683E9E"/>
    <w:rsid w:val="006850AA"/>
    <w:rsid w:val="00686CDB"/>
    <w:rsid w:val="00686F0E"/>
    <w:rsid w:val="00687C34"/>
    <w:rsid w:val="00690E6E"/>
    <w:rsid w:val="006918AE"/>
    <w:rsid w:val="006932CA"/>
    <w:rsid w:val="00694238"/>
    <w:rsid w:val="00695E0C"/>
    <w:rsid w:val="006A151A"/>
    <w:rsid w:val="006A1D9D"/>
    <w:rsid w:val="006A6DF4"/>
    <w:rsid w:val="006B093A"/>
    <w:rsid w:val="006B2940"/>
    <w:rsid w:val="006B3318"/>
    <w:rsid w:val="006C05E8"/>
    <w:rsid w:val="006C160C"/>
    <w:rsid w:val="006C1C53"/>
    <w:rsid w:val="006C1DE4"/>
    <w:rsid w:val="006C2695"/>
    <w:rsid w:val="006C2C13"/>
    <w:rsid w:val="006C4198"/>
    <w:rsid w:val="006C5722"/>
    <w:rsid w:val="006C6AF2"/>
    <w:rsid w:val="006C6C3E"/>
    <w:rsid w:val="006C7BDC"/>
    <w:rsid w:val="006D1EC0"/>
    <w:rsid w:val="006D6D8D"/>
    <w:rsid w:val="006D7988"/>
    <w:rsid w:val="006E0DAD"/>
    <w:rsid w:val="006E1B64"/>
    <w:rsid w:val="006E3044"/>
    <w:rsid w:val="006E4A26"/>
    <w:rsid w:val="006E78AB"/>
    <w:rsid w:val="006F2978"/>
    <w:rsid w:val="006F600C"/>
    <w:rsid w:val="006F6ED2"/>
    <w:rsid w:val="007008E3"/>
    <w:rsid w:val="00704703"/>
    <w:rsid w:val="0070640F"/>
    <w:rsid w:val="007135C3"/>
    <w:rsid w:val="0071397E"/>
    <w:rsid w:val="00714E18"/>
    <w:rsid w:val="00715DED"/>
    <w:rsid w:val="0071767F"/>
    <w:rsid w:val="0071770A"/>
    <w:rsid w:val="007201C7"/>
    <w:rsid w:val="00724E3B"/>
    <w:rsid w:val="00725613"/>
    <w:rsid w:val="00725FB6"/>
    <w:rsid w:val="0072624B"/>
    <w:rsid w:val="0072661E"/>
    <w:rsid w:val="00727206"/>
    <w:rsid w:val="007309C2"/>
    <w:rsid w:val="0073602A"/>
    <w:rsid w:val="00737850"/>
    <w:rsid w:val="00741440"/>
    <w:rsid w:val="00741E32"/>
    <w:rsid w:val="007432F8"/>
    <w:rsid w:val="00744449"/>
    <w:rsid w:val="00752075"/>
    <w:rsid w:val="0075257C"/>
    <w:rsid w:val="007529F1"/>
    <w:rsid w:val="007633E1"/>
    <w:rsid w:val="00765EAD"/>
    <w:rsid w:val="00766808"/>
    <w:rsid w:val="00770B55"/>
    <w:rsid w:val="007731EB"/>
    <w:rsid w:val="00774670"/>
    <w:rsid w:val="0077573D"/>
    <w:rsid w:val="007803CD"/>
    <w:rsid w:val="00782A2B"/>
    <w:rsid w:val="007847F9"/>
    <w:rsid w:val="0078525A"/>
    <w:rsid w:val="007876C7"/>
    <w:rsid w:val="007907B8"/>
    <w:rsid w:val="00790FB6"/>
    <w:rsid w:val="007918BA"/>
    <w:rsid w:val="0079309C"/>
    <w:rsid w:val="007936F1"/>
    <w:rsid w:val="00794233"/>
    <w:rsid w:val="00797321"/>
    <w:rsid w:val="007A097C"/>
    <w:rsid w:val="007A4E3A"/>
    <w:rsid w:val="007A56A5"/>
    <w:rsid w:val="007B3B4F"/>
    <w:rsid w:val="007B6094"/>
    <w:rsid w:val="007B64CB"/>
    <w:rsid w:val="007B702B"/>
    <w:rsid w:val="007B7E38"/>
    <w:rsid w:val="007C00A9"/>
    <w:rsid w:val="007C18FC"/>
    <w:rsid w:val="007C1F73"/>
    <w:rsid w:val="007C27CF"/>
    <w:rsid w:val="007C2DD7"/>
    <w:rsid w:val="007C3F85"/>
    <w:rsid w:val="007D2753"/>
    <w:rsid w:val="007D36E4"/>
    <w:rsid w:val="007D6B07"/>
    <w:rsid w:val="007E4414"/>
    <w:rsid w:val="007E4731"/>
    <w:rsid w:val="007E4E01"/>
    <w:rsid w:val="007E6C8E"/>
    <w:rsid w:val="007E7A4C"/>
    <w:rsid w:val="007F4D06"/>
    <w:rsid w:val="007F70E0"/>
    <w:rsid w:val="007F7BF3"/>
    <w:rsid w:val="00801EB1"/>
    <w:rsid w:val="008021B1"/>
    <w:rsid w:val="00803531"/>
    <w:rsid w:val="00804839"/>
    <w:rsid w:val="0080621A"/>
    <w:rsid w:val="00807023"/>
    <w:rsid w:val="00810B1D"/>
    <w:rsid w:val="008139A1"/>
    <w:rsid w:val="00820B22"/>
    <w:rsid w:val="008259F5"/>
    <w:rsid w:val="00832CF6"/>
    <w:rsid w:val="008369B1"/>
    <w:rsid w:val="00841E1C"/>
    <w:rsid w:val="008422D7"/>
    <w:rsid w:val="00843627"/>
    <w:rsid w:val="0084397A"/>
    <w:rsid w:val="00843F25"/>
    <w:rsid w:val="0084666F"/>
    <w:rsid w:val="00847773"/>
    <w:rsid w:val="008478BF"/>
    <w:rsid w:val="00855546"/>
    <w:rsid w:val="0085571B"/>
    <w:rsid w:val="00856E9C"/>
    <w:rsid w:val="00857556"/>
    <w:rsid w:val="00862711"/>
    <w:rsid w:val="008642DB"/>
    <w:rsid w:val="00871674"/>
    <w:rsid w:val="0087380C"/>
    <w:rsid w:val="00874300"/>
    <w:rsid w:val="00874DE2"/>
    <w:rsid w:val="0087655A"/>
    <w:rsid w:val="00877428"/>
    <w:rsid w:val="0088018F"/>
    <w:rsid w:val="00883861"/>
    <w:rsid w:val="00884DAE"/>
    <w:rsid w:val="00887E18"/>
    <w:rsid w:val="008904D1"/>
    <w:rsid w:val="00890A59"/>
    <w:rsid w:val="008916FE"/>
    <w:rsid w:val="00896DA1"/>
    <w:rsid w:val="008A18EA"/>
    <w:rsid w:val="008A1C86"/>
    <w:rsid w:val="008A30A6"/>
    <w:rsid w:val="008A7973"/>
    <w:rsid w:val="008B24F1"/>
    <w:rsid w:val="008B7C35"/>
    <w:rsid w:val="008C0595"/>
    <w:rsid w:val="008C1EB6"/>
    <w:rsid w:val="008C2552"/>
    <w:rsid w:val="008C2FA1"/>
    <w:rsid w:val="008C35EC"/>
    <w:rsid w:val="008C3797"/>
    <w:rsid w:val="008D0EC0"/>
    <w:rsid w:val="008D53E9"/>
    <w:rsid w:val="008D564E"/>
    <w:rsid w:val="008D5B9C"/>
    <w:rsid w:val="008D798F"/>
    <w:rsid w:val="008E00A1"/>
    <w:rsid w:val="008E0D98"/>
    <w:rsid w:val="008E174A"/>
    <w:rsid w:val="008E1D99"/>
    <w:rsid w:val="008E20BF"/>
    <w:rsid w:val="008E3CD8"/>
    <w:rsid w:val="008E3EA2"/>
    <w:rsid w:val="008E481B"/>
    <w:rsid w:val="008E492B"/>
    <w:rsid w:val="008E50C4"/>
    <w:rsid w:val="008E557B"/>
    <w:rsid w:val="008E5ADE"/>
    <w:rsid w:val="008F2CD3"/>
    <w:rsid w:val="008F5E54"/>
    <w:rsid w:val="008F6960"/>
    <w:rsid w:val="00901F51"/>
    <w:rsid w:val="009027B9"/>
    <w:rsid w:val="00903658"/>
    <w:rsid w:val="00904275"/>
    <w:rsid w:val="00904725"/>
    <w:rsid w:val="009069C9"/>
    <w:rsid w:val="00907721"/>
    <w:rsid w:val="0091673B"/>
    <w:rsid w:val="0091707B"/>
    <w:rsid w:val="00917C40"/>
    <w:rsid w:val="0092254A"/>
    <w:rsid w:val="00923481"/>
    <w:rsid w:val="00925702"/>
    <w:rsid w:val="00927EF4"/>
    <w:rsid w:val="009322C7"/>
    <w:rsid w:val="009359C2"/>
    <w:rsid w:val="00936AF4"/>
    <w:rsid w:val="009373E9"/>
    <w:rsid w:val="0094245A"/>
    <w:rsid w:val="00943C54"/>
    <w:rsid w:val="009447C6"/>
    <w:rsid w:val="0094631A"/>
    <w:rsid w:val="00947F07"/>
    <w:rsid w:val="00951CE9"/>
    <w:rsid w:val="00957249"/>
    <w:rsid w:val="009605CB"/>
    <w:rsid w:val="0096245A"/>
    <w:rsid w:val="009645AE"/>
    <w:rsid w:val="00966174"/>
    <w:rsid w:val="0096631E"/>
    <w:rsid w:val="00970E42"/>
    <w:rsid w:val="009728AC"/>
    <w:rsid w:val="00974F0D"/>
    <w:rsid w:val="00975C67"/>
    <w:rsid w:val="0098121E"/>
    <w:rsid w:val="00981BD5"/>
    <w:rsid w:val="00982827"/>
    <w:rsid w:val="00982F1C"/>
    <w:rsid w:val="009843E2"/>
    <w:rsid w:val="00985ADE"/>
    <w:rsid w:val="009872CB"/>
    <w:rsid w:val="00990A83"/>
    <w:rsid w:val="00992D69"/>
    <w:rsid w:val="00995728"/>
    <w:rsid w:val="009967A9"/>
    <w:rsid w:val="009972A1"/>
    <w:rsid w:val="009A1D79"/>
    <w:rsid w:val="009A3808"/>
    <w:rsid w:val="009A5DC8"/>
    <w:rsid w:val="009A6970"/>
    <w:rsid w:val="009B00D7"/>
    <w:rsid w:val="009B04FB"/>
    <w:rsid w:val="009B0EDE"/>
    <w:rsid w:val="009B198F"/>
    <w:rsid w:val="009B36C5"/>
    <w:rsid w:val="009C2781"/>
    <w:rsid w:val="009C2F5B"/>
    <w:rsid w:val="009C3C84"/>
    <w:rsid w:val="009C47BB"/>
    <w:rsid w:val="009C4A40"/>
    <w:rsid w:val="009D0CE8"/>
    <w:rsid w:val="009D4472"/>
    <w:rsid w:val="009D60C9"/>
    <w:rsid w:val="009D6C37"/>
    <w:rsid w:val="009D70EC"/>
    <w:rsid w:val="009D7F4F"/>
    <w:rsid w:val="009E0762"/>
    <w:rsid w:val="009E27D3"/>
    <w:rsid w:val="009E4E3B"/>
    <w:rsid w:val="009E6626"/>
    <w:rsid w:val="009E7027"/>
    <w:rsid w:val="009E7A40"/>
    <w:rsid w:val="009F02C0"/>
    <w:rsid w:val="009F108B"/>
    <w:rsid w:val="009F4DD4"/>
    <w:rsid w:val="009F57D3"/>
    <w:rsid w:val="009F6369"/>
    <w:rsid w:val="009F7953"/>
    <w:rsid w:val="00A00E2D"/>
    <w:rsid w:val="00A041BD"/>
    <w:rsid w:val="00A0485B"/>
    <w:rsid w:val="00A05F03"/>
    <w:rsid w:val="00A106F0"/>
    <w:rsid w:val="00A1286B"/>
    <w:rsid w:val="00A13CCB"/>
    <w:rsid w:val="00A1405C"/>
    <w:rsid w:val="00A21EDB"/>
    <w:rsid w:val="00A26321"/>
    <w:rsid w:val="00A269EB"/>
    <w:rsid w:val="00A26ADD"/>
    <w:rsid w:val="00A30029"/>
    <w:rsid w:val="00A33A66"/>
    <w:rsid w:val="00A33D5B"/>
    <w:rsid w:val="00A355CF"/>
    <w:rsid w:val="00A3585F"/>
    <w:rsid w:val="00A361B5"/>
    <w:rsid w:val="00A36292"/>
    <w:rsid w:val="00A37625"/>
    <w:rsid w:val="00A42AC1"/>
    <w:rsid w:val="00A441AF"/>
    <w:rsid w:val="00A441EE"/>
    <w:rsid w:val="00A44FFD"/>
    <w:rsid w:val="00A45D8E"/>
    <w:rsid w:val="00A52FC1"/>
    <w:rsid w:val="00A540F3"/>
    <w:rsid w:val="00A61EB6"/>
    <w:rsid w:val="00A6296E"/>
    <w:rsid w:val="00A64DBD"/>
    <w:rsid w:val="00A70785"/>
    <w:rsid w:val="00A7097D"/>
    <w:rsid w:val="00A719EE"/>
    <w:rsid w:val="00A71FEB"/>
    <w:rsid w:val="00A72725"/>
    <w:rsid w:val="00A72ED1"/>
    <w:rsid w:val="00A748E9"/>
    <w:rsid w:val="00A75DEB"/>
    <w:rsid w:val="00A76068"/>
    <w:rsid w:val="00A76322"/>
    <w:rsid w:val="00A76441"/>
    <w:rsid w:val="00A842F5"/>
    <w:rsid w:val="00A84B2A"/>
    <w:rsid w:val="00A8509C"/>
    <w:rsid w:val="00A8527A"/>
    <w:rsid w:val="00A87537"/>
    <w:rsid w:val="00A925EF"/>
    <w:rsid w:val="00A93C9D"/>
    <w:rsid w:val="00A96319"/>
    <w:rsid w:val="00A97E6E"/>
    <w:rsid w:val="00AA0BED"/>
    <w:rsid w:val="00AA16C5"/>
    <w:rsid w:val="00AA4462"/>
    <w:rsid w:val="00AA5773"/>
    <w:rsid w:val="00AA7142"/>
    <w:rsid w:val="00AB06BE"/>
    <w:rsid w:val="00AB09A3"/>
    <w:rsid w:val="00AB1D69"/>
    <w:rsid w:val="00AB70E4"/>
    <w:rsid w:val="00AC1B7C"/>
    <w:rsid w:val="00AC5094"/>
    <w:rsid w:val="00AC796A"/>
    <w:rsid w:val="00AD03CB"/>
    <w:rsid w:val="00AD3B0D"/>
    <w:rsid w:val="00AD458D"/>
    <w:rsid w:val="00AE00FF"/>
    <w:rsid w:val="00AE1227"/>
    <w:rsid w:val="00AE3817"/>
    <w:rsid w:val="00AE3F09"/>
    <w:rsid w:val="00AF04B7"/>
    <w:rsid w:val="00AF173A"/>
    <w:rsid w:val="00AF2E40"/>
    <w:rsid w:val="00AF3DDA"/>
    <w:rsid w:val="00AF4FBD"/>
    <w:rsid w:val="00AF6748"/>
    <w:rsid w:val="00AF7805"/>
    <w:rsid w:val="00B05E54"/>
    <w:rsid w:val="00B126DF"/>
    <w:rsid w:val="00B134C9"/>
    <w:rsid w:val="00B143C1"/>
    <w:rsid w:val="00B1533C"/>
    <w:rsid w:val="00B155E1"/>
    <w:rsid w:val="00B16A54"/>
    <w:rsid w:val="00B16B90"/>
    <w:rsid w:val="00B20BAC"/>
    <w:rsid w:val="00B26F7B"/>
    <w:rsid w:val="00B322AC"/>
    <w:rsid w:val="00B32FD1"/>
    <w:rsid w:val="00B37209"/>
    <w:rsid w:val="00B3795C"/>
    <w:rsid w:val="00B40915"/>
    <w:rsid w:val="00B42849"/>
    <w:rsid w:val="00B4444C"/>
    <w:rsid w:val="00B46543"/>
    <w:rsid w:val="00B52602"/>
    <w:rsid w:val="00B5291F"/>
    <w:rsid w:val="00B546B2"/>
    <w:rsid w:val="00B546C7"/>
    <w:rsid w:val="00B61C9D"/>
    <w:rsid w:val="00B63F4A"/>
    <w:rsid w:val="00B64298"/>
    <w:rsid w:val="00B645EB"/>
    <w:rsid w:val="00B662CB"/>
    <w:rsid w:val="00B7382A"/>
    <w:rsid w:val="00B73873"/>
    <w:rsid w:val="00B74415"/>
    <w:rsid w:val="00B75931"/>
    <w:rsid w:val="00B765CA"/>
    <w:rsid w:val="00B7677C"/>
    <w:rsid w:val="00B810DB"/>
    <w:rsid w:val="00B82D8F"/>
    <w:rsid w:val="00B84714"/>
    <w:rsid w:val="00B85220"/>
    <w:rsid w:val="00B872D8"/>
    <w:rsid w:val="00B8794F"/>
    <w:rsid w:val="00B9015D"/>
    <w:rsid w:val="00B901EB"/>
    <w:rsid w:val="00B917F7"/>
    <w:rsid w:val="00B918CA"/>
    <w:rsid w:val="00B94016"/>
    <w:rsid w:val="00B9663F"/>
    <w:rsid w:val="00B96B5D"/>
    <w:rsid w:val="00BA038E"/>
    <w:rsid w:val="00BA0518"/>
    <w:rsid w:val="00BA3275"/>
    <w:rsid w:val="00BA5434"/>
    <w:rsid w:val="00BA5561"/>
    <w:rsid w:val="00BB192E"/>
    <w:rsid w:val="00BB4E16"/>
    <w:rsid w:val="00BB7403"/>
    <w:rsid w:val="00BC0102"/>
    <w:rsid w:val="00BC0DCB"/>
    <w:rsid w:val="00BC1C47"/>
    <w:rsid w:val="00BC495C"/>
    <w:rsid w:val="00BC6272"/>
    <w:rsid w:val="00BC6A53"/>
    <w:rsid w:val="00BD1BCD"/>
    <w:rsid w:val="00BD2773"/>
    <w:rsid w:val="00BD3C95"/>
    <w:rsid w:val="00BD44EF"/>
    <w:rsid w:val="00BD594D"/>
    <w:rsid w:val="00BD64FD"/>
    <w:rsid w:val="00BD6D8B"/>
    <w:rsid w:val="00BE0A72"/>
    <w:rsid w:val="00BE4B5C"/>
    <w:rsid w:val="00BE7C05"/>
    <w:rsid w:val="00BF09D7"/>
    <w:rsid w:val="00BF278C"/>
    <w:rsid w:val="00BF417E"/>
    <w:rsid w:val="00BF41C9"/>
    <w:rsid w:val="00BF53DA"/>
    <w:rsid w:val="00BF544A"/>
    <w:rsid w:val="00BF7050"/>
    <w:rsid w:val="00C00B9C"/>
    <w:rsid w:val="00C01203"/>
    <w:rsid w:val="00C04017"/>
    <w:rsid w:val="00C04C71"/>
    <w:rsid w:val="00C04EFE"/>
    <w:rsid w:val="00C0731B"/>
    <w:rsid w:val="00C108EB"/>
    <w:rsid w:val="00C11CE9"/>
    <w:rsid w:val="00C1379D"/>
    <w:rsid w:val="00C14712"/>
    <w:rsid w:val="00C15D3D"/>
    <w:rsid w:val="00C171CF"/>
    <w:rsid w:val="00C21C21"/>
    <w:rsid w:val="00C24A27"/>
    <w:rsid w:val="00C255D7"/>
    <w:rsid w:val="00C25FB2"/>
    <w:rsid w:val="00C27968"/>
    <w:rsid w:val="00C31C4D"/>
    <w:rsid w:val="00C34C88"/>
    <w:rsid w:val="00C35CEA"/>
    <w:rsid w:val="00C36F20"/>
    <w:rsid w:val="00C37A21"/>
    <w:rsid w:val="00C43005"/>
    <w:rsid w:val="00C43750"/>
    <w:rsid w:val="00C44F2E"/>
    <w:rsid w:val="00C46CD7"/>
    <w:rsid w:val="00C52986"/>
    <w:rsid w:val="00C52E19"/>
    <w:rsid w:val="00C53CB1"/>
    <w:rsid w:val="00C5582E"/>
    <w:rsid w:val="00C57A4A"/>
    <w:rsid w:val="00C57EDA"/>
    <w:rsid w:val="00C62BCC"/>
    <w:rsid w:val="00C64042"/>
    <w:rsid w:val="00C64669"/>
    <w:rsid w:val="00C669F2"/>
    <w:rsid w:val="00C67053"/>
    <w:rsid w:val="00C73F20"/>
    <w:rsid w:val="00C76386"/>
    <w:rsid w:val="00C81A18"/>
    <w:rsid w:val="00C81FDF"/>
    <w:rsid w:val="00C823A2"/>
    <w:rsid w:val="00C842B4"/>
    <w:rsid w:val="00C845A5"/>
    <w:rsid w:val="00C84C60"/>
    <w:rsid w:val="00C86968"/>
    <w:rsid w:val="00C86DB5"/>
    <w:rsid w:val="00C9037B"/>
    <w:rsid w:val="00C920EA"/>
    <w:rsid w:val="00C92457"/>
    <w:rsid w:val="00C9411B"/>
    <w:rsid w:val="00C942EC"/>
    <w:rsid w:val="00C945CD"/>
    <w:rsid w:val="00CA023B"/>
    <w:rsid w:val="00CA1A8B"/>
    <w:rsid w:val="00CA272C"/>
    <w:rsid w:val="00CA6DEE"/>
    <w:rsid w:val="00CB03BC"/>
    <w:rsid w:val="00CB4AB1"/>
    <w:rsid w:val="00CC3EE2"/>
    <w:rsid w:val="00CD052A"/>
    <w:rsid w:val="00CD370E"/>
    <w:rsid w:val="00CD4C21"/>
    <w:rsid w:val="00CD588B"/>
    <w:rsid w:val="00CD6DF9"/>
    <w:rsid w:val="00CE0463"/>
    <w:rsid w:val="00CE1F0B"/>
    <w:rsid w:val="00CE4734"/>
    <w:rsid w:val="00CE656E"/>
    <w:rsid w:val="00CE7B46"/>
    <w:rsid w:val="00CF2037"/>
    <w:rsid w:val="00CF2118"/>
    <w:rsid w:val="00CF2EE4"/>
    <w:rsid w:val="00CF2F85"/>
    <w:rsid w:val="00CF390C"/>
    <w:rsid w:val="00CF3E0A"/>
    <w:rsid w:val="00CF4A40"/>
    <w:rsid w:val="00D00CB2"/>
    <w:rsid w:val="00D01559"/>
    <w:rsid w:val="00D01B2B"/>
    <w:rsid w:val="00D02995"/>
    <w:rsid w:val="00D02AB1"/>
    <w:rsid w:val="00D03610"/>
    <w:rsid w:val="00D05067"/>
    <w:rsid w:val="00D053C2"/>
    <w:rsid w:val="00D064D1"/>
    <w:rsid w:val="00D10889"/>
    <w:rsid w:val="00D12FE1"/>
    <w:rsid w:val="00D13389"/>
    <w:rsid w:val="00D13FEC"/>
    <w:rsid w:val="00D14ABB"/>
    <w:rsid w:val="00D20B4D"/>
    <w:rsid w:val="00D2185F"/>
    <w:rsid w:val="00D2466A"/>
    <w:rsid w:val="00D261B4"/>
    <w:rsid w:val="00D26209"/>
    <w:rsid w:val="00D33BB4"/>
    <w:rsid w:val="00D353B7"/>
    <w:rsid w:val="00D35C49"/>
    <w:rsid w:val="00D3651B"/>
    <w:rsid w:val="00D533AE"/>
    <w:rsid w:val="00D55396"/>
    <w:rsid w:val="00D6032E"/>
    <w:rsid w:val="00D609C9"/>
    <w:rsid w:val="00D63737"/>
    <w:rsid w:val="00D638CE"/>
    <w:rsid w:val="00D66C5A"/>
    <w:rsid w:val="00D67CE9"/>
    <w:rsid w:val="00D707DF"/>
    <w:rsid w:val="00D70C3C"/>
    <w:rsid w:val="00D72047"/>
    <w:rsid w:val="00D73EBF"/>
    <w:rsid w:val="00D85ADD"/>
    <w:rsid w:val="00D92BCB"/>
    <w:rsid w:val="00DA2E1E"/>
    <w:rsid w:val="00DA50A4"/>
    <w:rsid w:val="00DA716A"/>
    <w:rsid w:val="00DA7718"/>
    <w:rsid w:val="00DA784A"/>
    <w:rsid w:val="00DB2F9F"/>
    <w:rsid w:val="00DB45BF"/>
    <w:rsid w:val="00DB4DCD"/>
    <w:rsid w:val="00DC0A2A"/>
    <w:rsid w:val="00DC21D7"/>
    <w:rsid w:val="00DC23F0"/>
    <w:rsid w:val="00DC5651"/>
    <w:rsid w:val="00DD069C"/>
    <w:rsid w:val="00DD0E02"/>
    <w:rsid w:val="00DD2117"/>
    <w:rsid w:val="00DD23CD"/>
    <w:rsid w:val="00DD3F51"/>
    <w:rsid w:val="00DD6F39"/>
    <w:rsid w:val="00DD7AA6"/>
    <w:rsid w:val="00DE2E88"/>
    <w:rsid w:val="00DE633F"/>
    <w:rsid w:val="00DE6D2B"/>
    <w:rsid w:val="00DE7246"/>
    <w:rsid w:val="00DF0647"/>
    <w:rsid w:val="00DF2800"/>
    <w:rsid w:val="00DF3C3C"/>
    <w:rsid w:val="00DF4F5E"/>
    <w:rsid w:val="00DF6881"/>
    <w:rsid w:val="00DF6E99"/>
    <w:rsid w:val="00E02069"/>
    <w:rsid w:val="00E033CB"/>
    <w:rsid w:val="00E0403A"/>
    <w:rsid w:val="00E074A4"/>
    <w:rsid w:val="00E10FC0"/>
    <w:rsid w:val="00E13CA8"/>
    <w:rsid w:val="00E1593E"/>
    <w:rsid w:val="00E16894"/>
    <w:rsid w:val="00E179E2"/>
    <w:rsid w:val="00E17FBA"/>
    <w:rsid w:val="00E20A20"/>
    <w:rsid w:val="00E21C93"/>
    <w:rsid w:val="00E27B87"/>
    <w:rsid w:val="00E33092"/>
    <w:rsid w:val="00E33D79"/>
    <w:rsid w:val="00E35778"/>
    <w:rsid w:val="00E4074E"/>
    <w:rsid w:val="00E42421"/>
    <w:rsid w:val="00E42799"/>
    <w:rsid w:val="00E4327A"/>
    <w:rsid w:val="00E43C8E"/>
    <w:rsid w:val="00E50483"/>
    <w:rsid w:val="00E55670"/>
    <w:rsid w:val="00E558DF"/>
    <w:rsid w:val="00E55EE2"/>
    <w:rsid w:val="00E56A89"/>
    <w:rsid w:val="00E56F4F"/>
    <w:rsid w:val="00E60FA6"/>
    <w:rsid w:val="00E66314"/>
    <w:rsid w:val="00E663D8"/>
    <w:rsid w:val="00E67830"/>
    <w:rsid w:val="00E70882"/>
    <w:rsid w:val="00E7172E"/>
    <w:rsid w:val="00E77F58"/>
    <w:rsid w:val="00E8214B"/>
    <w:rsid w:val="00E82F25"/>
    <w:rsid w:val="00E85439"/>
    <w:rsid w:val="00E8575C"/>
    <w:rsid w:val="00E912B0"/>
    <w:rsid w:val="00E94F92"/>
    <w:rsid w:val="00E97847"/>
    <w:rsid w:val="00EA0F12"/>
    <w:rsid w:val="00EA1EAB"/>
    <w:rsid w:val="00EA3214"/>
    <w:rsid w:val="00EA5757"/>
    <w:rsid w:val="00EA70E8"/>
    <w:rsid w:val="00EA7D9C"/>
    <w:rsid w:val="00EB283D"/>
    <w:rsid w:val="00EB4F31"/>
    <w:rsid w:val="00EB590C"/>
    <w:rsid w:val="00EB7407"/>
    <w:rsid w:val="00EC41B4"/>
    <w:rsid w:val="00EC41CF"/>
    <w:rsid w:val="00EC60B6"/>
    <w:rsid w:val="00EC6EFC"/>
    <w:rsid w:val="00EC7F1D"/>
    <w:rsid w:val="00ED2C5F"/>
    <w:rsid w:val="00ED45AE"/>
    <w:rsid w:val="00ED5369"/>
    <w:rsid w:val="00ED64E9"/>
    <w:rsid w:val="00EE48E8"/>
    <w:rsid w:val="00EE4CE8"/>
    <w:rsid w:val="00EE7013"/>
    <w:rsid w:val="00EE70FE"/>
    <w:rsid w:val="00EF01D1"/>
    <w:rsid w:val="00EF1117"/>
    <w:rsid w:val="00EF30C8"/>
    <w:rsid w:val="00EF37CB"/>
    <w:rsid w:val="00EF4382"/>
    <w:rsid w:val="00EF4D2B"/>
    <w:rsid w:val="00EF585F"/>
    <w:rsid w:val="00EF7DAF"/>
    <w:rsid w:val="00F00E88"/>
    <w:rsid w:val="00F03D57"/>
    <w:rsid w:val="00F04A61"/>
    <w:rsid w:val="00F04B2A"/>
    <w:rsid w:val="00F06381"/>
    <w:rsid w:val="00F06DF0"/>
    <w:rsid w:val="00F10F65"/>
    <w:rsid w:val="00F110BA"/>
    <w:rsid w:val="00F11F88"/>
    <w:rsid w:val="00F154C7"/>
    <w:rsid w:val="00F15CDF"/>
    <w:rsid w:val="00F17000"/>
    <w:rsid w:val="00F22BAC"/>
    <w:rsid w:val="00F2546E"/>
    <w:rsid w:val="00F25729"/>
    <w:rsid w:val="00F25C93"/>
    <w:rsid w:val="00F266E4"/>
    <w:rsid w:val="00F27E18"/>
    <w:rsid w:val="00F306EA"/>
    <w:rsid w:val="00F348D7"/>
    <w:rsid w:val="00F360E8"/>
    <w:rsid w:val="00F37068"/>
    <w:rsid w:val="00F40001"/>
    <w:rsid w:val="00F41B80"/>
    <w:rsid w:val="00F44EBC"/>
    <w:rsid w:val="00F4611C"/>
    <w:rsid w:val="00F47822"/>
    <w:rsid w:val="00F47E3C"/>
    <w:rsid w:val="00F50EAD"/>
    <w:rsid w:val="00F50EB7"/>
    <w:rsid w:val="00F52642"/>
    <w:rsid w:val="00F53491"/>
    <w:rsid w:val="00F6073F"/>
    <w:rsid w:val="00F61E31"/>
    <w:rsid w:val="00F62E74"/>
    <w:rsid w:val="00F6423C"/>
    <w:rsid w:val="00F652F7"/>
    <w:rsid w:val="00F66815"/>
    <w:rsid w:val="00F730ED"/>
    <w:rsid w:val="00F736AD"/>
    <w:rsid w:val="00F75389"/>
    <w:rsid w:val="00F75EE0"/>
    <w:rsid w:val="00F76B50"/>
    <w:rsid w:val="00F77720"/>
    <w:rsid w:val="00F80FFC"/>
    <w:rsid w:val="00F819E2"/>
    <w:rsid w:val="00F84BF1"/>
    <w:rsid w:val="00F868DB"/>
    <w:rsid w:val="00F8765D"/>
    <w:rsid w:val="00F9118B"/>
    <w:rsid w:val="00F9194B"/>
    <w:rsid w:val="00F922A9"/>
    <w:rsid w:val="00F92F0D"/>
    <w:rsid w:val="00F94AB0"/>
    <w:rsid w:val="00F94E4E"/>
    <w:rsid w:val="00F97C80"/>
    <w:rsid w:val="00FA3A60"/>
    <w:rsid w:val="00FA4E05"/>
    <w:rsid w:val="00FB3D6A"/>
    <w:rsid w:val="00FB5FB8"/>
    <w:rsid w:val="00FB66BD"/>
    <w:rsid w:val="00FB6A21"/>
    <w:rsid w:val="00FB7B89"/>
    <w:rsid w:val="00FC2B5A"/>
    <w:rsid w:val="00FC73C9"/>
    <w:rsid w:val="00FD0187"/>
    <w:rsid w:val="00FD3202"/>
    <w:rsid w:val="00FD448A"/>
    <w:rsid w:val="00FD4B31"/>
    <w:rsid w:val="00FD4E73"/>
    <w:rsid w:val="00FD5DB9"/>
    <w:rsid w:val="00FD6966"/>
    <w:rsid w:val="00FD6A89"/>
    <w:rsid w:val="00FE1ADE"/>
    <w:rsid w:val="00FE4C31"/>
    <w:rsid w:val="00FE611E"/>
    <w:rsid w:val="00FE7055"/>
    <w:rsid w:val="00FF1224"/>
    <w:rsid w:val="00FF48E9"/>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CE8"/>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9D0CE8"/>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0CE8"/>
    <w:rPr>
      <w:rFonts w:ascii="Garamond" w:hAnsi="Garamond" w:cs="Times New Roman"/>
      <w:b/>
      <w:sz w:val="24"/>
      <w:szCs w:val="24"/>
      <w:lang w:val="x-none"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974F0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lii.org/za/cases/ZACC/2021/7.html" TargetMode="External"/><Relationship Id="rId18" Type="http://schemas.openxmlformats.org/officeDocument/2006/relationships/hyperlink" Target="https://www.supremecourt.gov/opinions/20pdf/19-508_l6gn.pdf" TargetMode="External"/><Relationship Id="rId26" Type="http://schemas.openxmlformats.org/officeDocument/2006/relationships/hyperlink" Target="https://www.supremecourt.gov/opinions/20pdf/19-438_j4el.pdf" TargetMode="External"/><Relationship Id="rId39" Type="http://schemas.openxmlformats.org/officeDocument/2006/relationships/fontTable" Target="fontTable.xml"/><Relationship Id="rId21" Type="http://schemas.openxmlformats.org/officeDocument/2006/relationships/hyperlink" Target="https://scc-csc.lexum.com/scc-csc/scc-csc/en/item/18752/index.do" TargetMode="External"/><Relationship Id="rId34" Type="http://schemas.openxmlformats.org/officeDocument/2006/relationships/hyperlink" Target="https://www.supremecourt.uk/cases/docs/uksc-2019-0103-judgment.pdf" TargetMode="External"/><Relationship Id="rId7" Type="http://schemas.openxmlformats.org/officeDocument/2006/relationships/endnotes" Target="endnotes.xml"/><Relationship Id="rId12" Type="http://schemas.openxmlformats.org/officeDocument/2006/relationships/hyperlink" Target="https://scc-csc.lexum.com/scc-csc/scc-csc/en/item/18836/index.do" TargetMode="External"/><Relationship Id="rId17" Type="http://schemas.openxmlformats.org/officeDocument/2006/relationships/hyperlink" Target="https://www.supremecourt.gov/opinions/20pdf/19-292_21p3.pdf" TargetMode="External"/><Relationship Id="rId25" Type="http://schemas.openxmlformats.org/officeDocument/2006/relationships/hyperlink" Target="https://www.supremecourt.uk/cases/docs/uksc-2020-0191-judgment.pdf" TargetMode="External"/><Relationship Id="rId33" Type="http://schemas.openxmlformats.org/officeDocument/2006/relationships/hyperlink" Target="https://www.supremecourt.uk/cases/docs/uksc-2019-0062-judgment.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upremecourt.gov/opinions/20pdf/19-368_febh.pdf" TargetMode="External"/><Relationship Id="rId20" Type="http://schemas.openxmlformats.org/officeDocument/2006/relationships/hyperlink" Target="https://www.supremecourt.gov/opinions/20pdf/18-1259_8njq.pdf" TargetMode="External"/><Relationship Id="rId29" Type="http://schemas.openxmlformats.org/officeDocument/2006/relationships/hyperlink" Target="https://www.supremecourt.uk/cases/docs/uksc-2019-0121-judg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remecourt.gov/opinions/20pdf/19-547_new_i42k.pdf" TargetMode="External"/><Relationship Id="rId24" Type="http://schemas.openxmlformats.org/officeDocument/2006/relationships/hyperlink" Target="https://www.supremecourt.gov/opinions/20pdf/19-863_new_5426.pdf" TargetMode="External"/><Relationship Id="rId32" Type="http://schemas.openxmlformats.org/officeDocument/2006/relationships/hyperlink" Target="https://www.supremecourt.gov/opinions/20pdf/19-968_8nj9.pdf" TargetMode="External"/><Relationship Id="rId37" Type="http://schemas.openxmlformats.org/officeDocument/2006/relationships/hyperlink" Target="http://www.saflii.org/za/cases/ZACC/2021/8.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c-csc.lexum.com/scc-csc/scc-csc/en/item/18781/index.do" TargetMode="External"/><Relationship Id="rId23" Type="http://schemas.openxmlformats.org/officeDocument/2006/relationships/hyperlink" Target="https://www.supremecourt.uk/cases/docs/uksc-2019-0210-judgment.pdf" TargetMode="External"/><Relationship Id="rId28" Type="http://schemas.openxmlformats.org/officeDocument/2006/relationships/hyperlink" Target="https://www.supremecourt.uk/cases/docs/uksc-2018-0160-judgment.pdf" TargetMode="External"/><Relationship Id="rId36" Type="http://schemas.openxmlformats.org/officeDocument/2006/relationships/hyperlink" Target="https://www.courtsofnz.govt.nz/assets/cases/2021/2021-NZSC-30.pdf" TargetMode="External"/><Relationship Id="rId10" Type="http://schemas.openxmlformats.org/officeDocument/2006/relationships/hyperlink" Target="https://www.supremecourt.gov/opinions/20pdf/19-1231_i425.pdf" TargetMode="External"/><Relationship Id="rId19" Type="http://schemas.openxmlformats.org/officeDocument/2006/relationships/hyperlink" Target="https://www.supremecourt.gov/opinions/20pdf/19-511_p86b.pdf" TargetMode="External"/><Relationship Id="rId31" Type="http://schemas.openxmlformats.org/officeDocument/2006/relationships/hyperlink" Target="http://www.saflii.org/za/cases/ZACC/2021/6.html" TargetMode="External"/><Relationship Id="rId4" Type="http://schemas.openxmlformats.org/officeDocument/2006/relationships/settings" Target="settings.xml"/><Relationship Id="rId9" Type="http://schemas.openxmlformats.org/officeDocument/2006/relationships/hyperlink" Target="https://www.supremecourt.gov/opinions/20pdf/19-1442_971e.pdf" TargetMode="External"/><Relationship Id="rId14" Type="http://schemas.openxmlformats.org/officeDocument/2006/relationships/hyperlink" Target="https://www.supremecourt.gov/opinions/20pdf/22o142_m648.pdf" TargetMode="External"/><Relationship Id="rId22" Type="http://schemas.openxmlformats.org/officeDocument/2006/relationships/hyperlink" Target="https://scc-csc.lexum.com/scc-csc/scc-csc/en/item/18734/index.do" TargetMode="External"/><Relationship Id="rId27" Type="http://schemas.openxmlformats.org/officeDocument/2006/relationships/hyperlink" Target="https://www.supremecourt.uk/cases/docs/uksc-2019-0039-judgment.pdf" TargetMode="External"/><Relationship Id="rId30" Type="http://schemas.openxmlformats.org/officeDocument/2006/relationships/hyperlink" Target="https://www.supremecourt.gov/opinions/20pdf/18-956_new_o7jp.pdf" TargetMode="External"/><Relationship Id="rId35" Type="http://schemas.openxmlformats.org/officeDocument/2006/relationships/hyperlink" Target="https://scc-csc.lexum.com/scc-csc/scc-csc/en/item/18855/index.do"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9F32-42D4-4331-B4D9-9AC54B6B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5552</Words>
  <Characters>31648</Characters>
  <Application>Microsoft Office Word</Application>
  <DocSecurity>0</DocSecurity>
  <Lines>263</Lines>
  <Paragraphs>74</Paragraphs>
  <ScaleCrop>false</ScaleCrop>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2021-05-13T23:53:00Z</dcterms:created>
  <dcterms:modified xsi:type="dcterms:W3CDTF">2021-05-13T23:53:00Z</dcterms:modified>
</cp:coreProperties>
</file>